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sz w:val="28"/>
        </w:rPr>
      </w:pPr>
      <w:r>
        <w:rPr>
          <w:sz w:val="28"/>
        </w:rPr>
        <w:t xml:space="preserve">Brouillon sur la réflexion d’une bibliothèque numérique</w:t>
      </w:r>
      <w:r>
        <w:rPr>
          <w:sz w:val="28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Bibliothèque numérique : travail à la croisée de la documentation, recherche et de l’édition numérique.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Mode projet :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Définition des objectifs et publics cibles (</w:t>
      </w:r>
      <w:r>
        <w:rPr>
          <w:sz w:val="24"/>
        </w:rPr>
        <w:t xml:space="preserve">elevator</w:t>
      </w:r>
      <w:r>
        <w:rPr>
          <w:sz w:val="24"/>
        </w:rPr>
        <w:t xml:space="preserve"> pitch, </w:t>
      </w:r>
      <w:r>
        <w:rPr>
          <w:sz w:val="24"/>
        </w:rPr>
        <w:t xml:space="preserve">personas</w:t>
      </w:r>
      <w:r>
        <w:rPr>
          <w:sz w:val="24"/>
        </w:rPr>
        <w:t xml:space="preserve">…)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Choix techniques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Projet </w:t>
      </w:r>
      <w:r>
        <w:rPr>
          <w:rFonts w:cstheme="minorHAnsi"/>
          <w:sz w:val="24"/>
        </w:rPr>
        <w:t xml:space="preserve">≠</w:t>
      </w:r>
      <w:r>
        <w:rPr>
          <w:sz w:val="24"/>
        </w:rPr>
        <w:t xml:space="preserve"> Produit : bibliothèque numérique ne s’arrête pas à la mise en ligne, et pas seulement un site web adossé à une base de données (BDD).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Bibliothèque numérique = résultat final d’une chaîne de production permanente faisant appel à des expertises très variées.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Objectif : assurer plusieurs bascules 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Du PO/SM/équipe de développeurs à une équipe pluridisciplinaire, pas forcément sensibilisée aux contraintes techniques ou aux standard du Web (implication, formation des autres acteurs).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Création à la production continue = mise en place d’un workflow soutenable et robuste (</w:t>
      </w:r>
      <w:r>
        <w:rPr>
          <w:sz w:val="24"/>
        </w:rPr>
        <w:t xml:space="preserve">/!\</w:t>
      </w:r>
      <w:r>
        <w:rPr>
          <w:sz w:val="24"/>
        </w:rPr>
        <w:t xml:space="preserve"> dette technique)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De l’objet fini à la plateforme vivante = mise en place de canaux de communication entrants et sortants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Acteurs : comité éditorial / politique documentaire, responsables scientif</w:t>
      </w:r>
      <w:r>
        <w:rPr>
          <w:sz w:val="24"/>
        </w:rPr>
        <w:t xml:space="preserve">iques, service juridique, Si documentaire, techniciens de numérisation (interne) et/ou prestataire de numérisation (externe), catalogueurs, magasiniers, restaurateurs, communication, ressources humaines, ou toute autre personne dépendant de l’établissement</w:t>
      </w:r>
      <w:r>
        <w:rPr>
          <w:sz w:val="24"/>
        </w:rPr>
      </w:r>
    </w:p>
    <w:p>
      <w:pPr>
        <w:pBdr/>
        <w:spacing w:line="360" w:lineRule="auto"/>
        <w:ind w:left="360"/>
        <w:jc w:val="both"/>
        <w:rPr>
          <w:sz w:val="24"/>
        </w:rPr>
      </w:pPr>
      <w:r>
        <w:rPr>
          <w:sz w:val="24"/>
        </w:rPr>
        <w:t xml:space="preserve">Enjeux de la numérisation :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Maîtriser la chaîne de la numérisation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Former / sensibiliser / acculturer : aux enjeux de la valorisation ou de la politique documentaire, aux usages des publics et aux contraintes techniques tels que les standards de métadonnées, Web ou BDD.</w:t>
      </w:r>
      <w:r>
        <w:rPr>
          <w:sz w:val="24"/>
        </w:rPr>
      </w:r>
    </w:p>
    <w:p>
      <w:pPr>
        <w:pBdr/>
        <w:spacing w:line="360" w:lineRule="auto"/>
        <w:ind w:left="360"/>
        <w:jc w:val="both"/>
        <w:rPr>
          <w:sz w:val="24"/>
        </w:rPr>
      </w:pPr>
      <w:r>
        <w:rPr>
          <w:sz w:val="24"/>
        </w:rPr>
        <w:t xml:space="preserve">Logiciels de bibliothèque numérique :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Déterminer ce qu’on veut, pour, etc. : produit, </w:t>
      </w:r>
      <w:r>
        <w:rPr>
          <w:sz w:val="24"/>
        </w:rPr>
        <w:t xml:space="preserve">personas</w:t>
      </w:r>
      <w:r>
        <w:rPr>
          <w:sz w:val="24"/>
        </w:rPr>
        <w:t xml:space="preserve">, user stories, …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Benchmark : 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Besoins fonctionnels : expositions virtuelles, possibilités de recherche, interopérabilité (OAI-PMH sortant, LOD, IIIF, …)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Contraintes techniques : architecture du serveur (Cloud, docker, LAMP/WAMP…), compétences requises, facilité de maintenance et de mise à jour.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Impacts organisationnels : courbe d’apprentissage, documentation disponible, support, communauté d’utilisateurs …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Politique open source : science ouverte, d</w:t>
      </w:r>
      <w:r>
        <w:rPr>
          <w:sz w:val="24"/>
        </w:rPr>
        <w:t xml:space="preserve">iffusion des savoirs, ouverture des données passe par l’adoption de standards et de formats ouverts, pas forcément gratuit = avoir un coût en personnel et infrastructure, possibilité de confier le développement, maintenance et hébergement à un prestataire.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Politique propr</w:t>
      </w:r>
      <w:r>
        <w:rPr>
          <w:sz w:val="24"/>
        </w:rPr>
        <w:t xml:space="preserve">iétaire : usage de l’application requiert la souscription à une licence annuelle payant auprès de l’éditeur, éditeur a la main sur les fonctionnalités, contrôle amoindrie du côté des bibliothèques sur le standard des métadonnées. Prise en main plus facile.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Exemple de logiciels de bibliothèque numérique : 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Logiciels propriétaires :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Limb</w:t>
      </w:r>
      <w:r>
        <w:rPr>
          <w:sz w:val="24"/>
        </w:rPr>
        <w:t xml:space="preserve"> </w:t>
      </w:r>
      <w:r>
        <w:rPr>
          <w:sz w:val="24"/>
        </w:rPr>
        <w:t xml:space="preserve">Gallery</w:t>
      </w:r>
      <w:r>
        <w:rPr>
          <w:sz w:val="24"/>
        </w:rPr>
        <w:t xml:space="preserve"> : I2S, France. Cf. : Bibliothèque numérique de l'Institut de France ou</w:t>
      </w:r>
      <w:r>
        <w:rPr>
          <w:sz w:val="24"/>
        </w:rPr>
        <w:t xml:space="preserve"> </w:t>
      </w:r>
      <w:r>
        <w:rPr>
          <w:sz w:val="24"/>
        </w:rPr>
        <w:t xml:space="preserve">Cariatide, la bibliothèque numérique de l'INHA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Mnesys</w:t>
      </w:r>
      <w:r>
        <w:rPr>
          <w:sz w:val="24"/>
        </w:rPr>
        <w:t xml:space="preserve"> Expo : </w:t>
      </w:r>
      <w:r>
        <w:rPr>
          <w:sz w:val="24"/>
        </w:rPr>
        <w:t xml:space="preserve">Naoned</w:t>
      </w:r>
      <w:r>
        <w:rPr>
          <w:sz w:val="24"/>
        </w:rPr>
        <w:t xml:space="preserve">, France. Cf. : L'</w:t>
      </w:r>
      <w:r>
        <w:rPr>
          <w:sz w:val="24"/>
        </w:rPr>
        <w:t xml:space="preserve">Argonnaute</w:t>
      </w:r>
      <w:r>
        <w:rPr>
          <w:sz w:val="24"/>
        </w:rPr>
        <w:t xml:space="preserve">, bibliothèque numérique de La Contemporaine (Paris X) ou la Bibliothèque numérique de la Bibliothèque littéraire Jacques Doucet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Inmedia</w:t>
      </w:r>
      <w:r>
        <w:rPr>
          <w:sz w:val="24"/>
        </w:rPr>
        <w:t xml:space="preserve"> : </w:t>
      </w:r>
      <w:r>
        <w:rPr>
          <w:sz w:val="24"/>
        </w:rPr>
        <w:t xml:space="preserve">Inmedia</w:t>
      </w:r>
      <w:r>
        <w:rPr>
          <w:sz w:val="24"/>
        </w:rPr>
        <w:t xml:space="preserve">, France. Cf. : Bibliothèques spécialisées de la Ville de Paris ou les Collections en ligne du Musée de l'Armée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Logiciels open source :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Pléade</w:t>
      </w:r>
      <w:r>
        <w:rPr>
          <w:sz w:val="24"/>
        </w:rPr>
        <w:t xml:space="preserve"> : AJLSM/Anaphore, France. Cf. : Archives départementales de la Mayenne ou Salamandre, la bibliothèque numérique patrimoniale et catalogue des archives du Collège de France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Omeka</w:t>
      </w:r>
      <w:r>
        <w:rPr>
          <w:sz w:val="24"/>
        </w:rPr>
        <w:t xml:space="preserve"> </w:t>
      </w:r>
      <w:r>
        <w:rPr>
          <w:sz w:val="24"/>
        </w:rPr>
        <w:t xml:space="preserve">Classic</w:t>
      </w:r>
      <w:r>
        <w:rPr>
          <w:sz w:val="24"/>
        </w:rPr>
        <w:t xml:space="preserve"> et </w:t>
      </w:r>
      <w:r>
        <w:rPr>
          <w:sz w:val="24"/>
        </w:rPr>
        <w:t xml:space="preserve">Omeka</w:t>
      </w:r>
      <w:r>
        <w:rPr>
          <w:sz w:val="24"/>
        </w:rPr>
        <w:t xml:space="preserve"> S : Digital </w:t>
      </w:r>
      <w:r>
        <w:rPr>
          <w:sz w:val="24"/>
        </w:rPr>
        <w:t xml:space="preserve">Scholar</w:t>
      </w:r>
      <w:r>
        <w:rPr>
          <w:sz w:val="24"/>
        </w:rPr>
        <w:t xml:space="preserve">, Etats-Unis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Modéliser ses données :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Obstacles si modélisation complexe des données = lourds à produire et à maintenir + demandent une expertise trop importante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Préférable pour un modèle de données simplifié, léger et maintenable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Possibilité d’utiliser le web sémantique = usage général sur quelques référentiels (auteurs, sujets, …), normes ISO 8601 et des ontologies RDF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Si création de son propre modèles possible de faire appel aux classes et propriétés RDF comme </w:t>
      </w:r>
      <w:r>
        <w:rPr>
          <w:sz w:val="24"/>
        </w:rPr>
        <w:t xml:space="preserve">DCTerms</w:t>
      </w:r>
      <w:r>
        <w:rPr>
          <w:sz w:val="24"/>
        </w:rPr>
        <w:t xml:space="preserve"> et BIBO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Modélisation des données sous </w:t>
      </w:r>
      <w:r>
        <w:rPr>
          <w:sz w:val="24"/>
        </w:rPr>
        <w:t xml:space="preserve">Omeka</w:t>
      </w:r>
      <w:r>
        <w:rPr>
          <w:sz w:val="24"/>
        </w:rPr>
        <w:t xml:space="preserve"> S :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Texte : type de données standard, description de ce qui n’est pas </w:t>
      </w:r>
      <w:r>
        <w:rPr>
          <w:sz w:val="24"/>
        </w:rPr>
        <w:t xml:space="preserve">reliable</w:t>
      </w:r>
      <w:r>
        <w:rPr>
          <w:sz w:val="24"/>
        </w:rPr>
        <w:t xml:space="preserve"> à un URI (champs Titre, Description, Notes, …) soit pour suppléer à un URI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URI : lien vers une ressource sur le Web (URL + libellé)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Ressource </w:t>
      </w:r>
      <w:r>
        <w:rPr>
          <w:sz w:val="24"/>
        </w:rPr>
        <w:t xml:space="preserve">Omeka</w:t>
      </w:r>
      <w:r>
        <w:rPr>
          <w:sz w:val="24"/>
        </w:rPr>
        <w:t xml:space="preserve"> : lien vers une autre notice créée dans BDD. Ce type de lien facilite la gestion de données et ouvre des options d’affichage contrairement au lien par URI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Date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Référence : pas un type de données mais permet l’interrogation des API en temps réel pour récupérer l’expression exacte issue de vocabulaires d’indexation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Omeka</w:t>
      </w:r>
      <w:r>
        <w:rPr>
          <w:sz w:val="24"/>
        </w:rPr>
        <w:t xml:space="preserve"> S peut être suffisant pour une Bib </w:t>
      </w:r>
      <w:r>
        <w:rPr>
          <w:sz w:val="24"/>
        </w:rPr>
        <w:t xml:space="preserve">num</w:t>
      </w:r>
      <w:r>
        <w:rPr>
          <w:sz w:val="24"/>
        </w:rPr>
        <w:t xml:space="preserve"> si elle est pensée comme un catalogue et appelée à décrire des corpus entiers de docs similaires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Possible également que ce ne soit qu’</w:t>
      </w:r>
      <w:r>
        <w:rPr>
          <w:sz w:val="24"/>
        </w:rPr>
        <w:t xml:space="preserve">un fragment/ brique relevant d’un instrument de recherche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Exemple : Data </w:t>
      </w:r>
      <w:r>
        <w:rPr>
          <w:sz w:val="24"/>
        </w:rPr>
        <w:t xml:space="preserve">BnF</w:t>
      </w:r>
      <w:r>
        <w:rPr>
          <w:sz w:val="24"/>
        </w:rPr>
        <w:t xml:space="preserve"> (inspiré d’IFLA-LRM) = niveau de complexité élevée avec l’intrication des données entre elles.</w:t>
      </w:r>
      <w:r>
        <w:rPr>
          <w:sz w:val="24"/>
        </w:rPr>
      </w:r>
    </w:p>
    <w:p>
      <w:pPr>
        <w:pStyle w:val="670"/>
        <w:numPr>
          <w:ilvl w:val="2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Niveau de complexité dépend de la nature des docs, de leur variété et des informations qu’ils mettent en évidence =&gt; influence la façon dont le public parcourra la bib </w:t>
      </w:r>
      <w:r>
        <w:rPr>
          <w:sz w:val="24"/>
        </w:rPr>
        <w:t xml:space="preserve">num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Questions possibles pour modéliser les données :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Quels documents </w:t>
      </w:r>
      <w:r>
        <w:rPr>
          <w:sz w:val="24"/>
        </w:rPr>
        <w:t xml:space="preserve">composen</w:t>
      </w:r>
      <w:r>
        <w:rPr>
          <w:sz w:val="24"/>
        </w:rPr>
        <w:t xml:space="preserve"> </w:t>
      </w:r>
      <w:r>
        <w:rPr>
          <w:sz w:val="24"/>
        </w:rPr>
        <w:t xml:space="preserve">tle</w:t>
      </w:r>
      <w:r>
        <w:rPr>
          <w:sz w:val="24"/>
        </w:rPr>
        <w:t xml:space="preserve"> fonds ?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Qu’est-ce qui est renseigné ou mentionné dans le fonds ?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Liens entre les éléments ?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Pointer vers un référentiel externe (URI) ou vers une notice locale (Ressource </w:t>
      </w:r>
      <w:r>
        <w:rPr>
          <w:sz w:val="24"/>
        </w:rPr>
        <w:t xml:space="preserve">Omeka</w:t>
      </w:r>
      <w:r>
        <w:rPr>
          <w:sz w:val="24"/>
        </w:rPr>
        <w:t xml:space="preserve">) ?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Quel impact nos choix ont-t-ils sur la navigation et sur l’expérience utilisateur ? Qu’est-ce qu’une modélisation plus complexe permet de visualiser ?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Quel impact nos choix ont-ils en termes de performance et de maintenance ?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Quand créer une collection ?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Collections : 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Pas partie de la modélisation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Pas des entités RDF à part entière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Outils de curation des données propre au back-office, pas présentées au public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Possible de servir de dispositif d’orientation à destination du public (souvent présentées en page d’accueil = accès à des notices à travers un prisme éditorial)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Si logique de catalogue pour la Bib </w:t>
      </w:r>
      <w:r>
        <w:rPr>
          <w:sz w:val="24"/>
        </w:rPr>
        <w:t xml:space="preserve">num</w:t>
      </w:r>
      <w:r>
        <w:rPr>
          <w:sz w:val="24"/>
        </w:rPr>
        <w:t xml:space="preserve"> = collection + recherche = un des points d’accès principaux aux contenus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Si logique de modélisation avancée orientée rebond = usager pas en mesure de se plonger instantanément dans la complexité du graphe. Collection : point d’entrée afin de réduire la complexité initiale.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Pertinence de la création d’une collection : restituer un</w:t>
      </w:r>
      <w:r>
        <w:rPr>
          <w:sz w:val="24"/>
        </w:rPr>
        <w:t xml:space="preserve">e provenance, suivre un corpus constitué à des fins éditoriales, restituer l’accroissement des collections numérisées (chantier de numérisation, projet spécifiques, partenariat, financement), Cas de corpus trop massif = fragmenter pour être plus accessible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Pas pertinent : présenter les typologies de documents (redondant), présenter des thématiques, collections trop spécifiques, trop res</w:t>
      </w:r>
      <w:r>
        <w:rPr>
          <w:sz w:val="24"/>
        </w:rPr>
        <w:t xml:space="preserve">t</w:t>
      </w:r>
      <w:r>
        <w:rPr>
          <w:sz w:val="24"/>
        </w:rPr>
        <w:t xml:space="preserve">reintes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front : les sites 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Création d’un nom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Importance navigation : thème choisi, menu bref max. 5- 6 éléments </w:t>
      </w:r>
      <w:r>
        <w:rPr>
          <w:sz w:val="24"/>
        </w:rPr>
        <w:t xml:space="preserve">de  premier</w:t>
      </w:r>
      <w:r>
        <w:rPr>
          <w:sz w:val="24"/>
        </w:rPr>
        <w:t xml:space="preserve"> niveau, titres concis, niveau de profondeurs : idéalement restreint à 1… voire absents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Structures plus complexe : possible d’envisager</w:t>
      </w:r>
      <w:r>
        <w:rPr>
          <w:sz w:val="24"/>
        </w:rPr>
        <w:t xml:space="preserve"> </w:t>
      </w:r>
      <w:bookmarkStart w:id="0" w:name="_GoBack"/>
      <w:r/>
      <w:bookmarkEnd w:id="0"/>
      <w:r>
        <w:rPr>
          <w:sz w:val="24"/>
        </w:rPr>
        <w:t xml:space="preserve">de créer une page avec le plan du site/des collections (si doute : est-ce que mon menu est présentable sur mobile ?)</w:t>
      </w:r>
      <w:r>
        <w:rPr>
          <w:sz w:val="24"/>
        </w:rPr>
      </w:r>
    </w:p>
    <w:p>
      <w:pPr>
        <w:pStyle w:val="670"/>
        <w:numPr>
          <w:ilvl w:val="1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Création page ‘A propos’ : pertinent, car identifiée et favorisée par les moteurs de recherche</w:t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A2A4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3</cp:revision>
  <dcterms:created xsi:type="dcterms:W3CDTF">2026-04-03T07:12:00Z</dcterms:created>
  <dcterms:modified xsi:type="dcterms:W3CDTF">2026-07-30T20:42:15Z</dcterms:modified>
</cp:coreProperties>
</file>