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sz w:val="28"/>
        </w:rPr>
      </w:pPr>
      <w:r>
        <w:rPr>
          <w:b/>
          <w:sz w:val="28"/>
        </w:rPr>
        <w:t xml:space="preserve">Synthèse du travail du mois d’avril :</w:t>
      </w:r>
      <w:r>
        <w:rPr>
          <w:b/>
          <w:sz w:val="28"/>
        </w:rPr>
      </w:r>
    </w:p>
    <w:p>
      <w:pPr>
        <w:pBdr/>
        <w:spacing/>
        <w:ind/>
        <w:jc w:val="both"/>
        <w:rPr>
          <w:sz w:val="24"/>
        </w:rPr>
      </w:pPr>
      <w:r>
        <w:rPr>
          <w:sz w:val="24"/>
        </w:rPr>
      </w:r>
      <w:r>
        <w:rPr>
          <w:sz w:val="24"/>
        </w:rPr>
      </w:r>
    </w:p>
    <w:p>
      <w:pPr>
        <w:pBdr/>
        <w:spacing/>
        <w:ind/>
        <w:jc w:val="both"/>
        <w:rPr>
          <w:sz w:val="24"/>
        </w:rPr>
      </w:pPr>
      <w:r>
        <w:rPr>
          <w:b/>
          <w:sz w:val="24"/>
        </w:rPr>
        <w:t xml:space="preserve">1829 :</w:t>
      </w:r>
      <w:r>
        <w:rPr>
          <w:sz w:val="24"/>
        </w:rPr>
        <w:t xml:space="preserve"> création de la bibliothèque de la Faculté de droit de Paris, un des anciens noms de la BIU Cujas actuelle.</w:t>
      </w:r>
      <w:r>
        <w:rPr>
          <w:sz w:val="24"/>
        </w:rPr>
      </w:r>
    </w:p>
    <w:p>
      <w:pPr>
        <w:pBdr/>
        <w:spacing/>
        <w:ind/>
        <w:jc w:val="both"/>
        <w:rPr>
          <w:sz w:val="24"/>
        </w:rPr>
      </w:pPr>
      <w:r>
        <w:rPr>
          <w:b/>
          <w:sz w:val="24"/>
        </w:rPr>
        <w:t xml:space="preserve">1970 :</w:t>
      </w:r>
      <w:r>
        <w:rPr>
          <w:sz w:val="24"/>
        </w:rPr>
        <w:t xml:space="preserve"> à la suite de réformes universitaires, la bibliothèque devient une bibliothèque interuniversitaire. Bibliothèque spécialisée dan</w:t>
      </w:r>
      <w:r>
        <w:rPr>
          <w:sz w:val="24"/>
        </w:rPr>
        <w:t xml:space="preserve">s le droit, l’économie et les sciences politiques. Pôle associé de la BNF en sciences juridiques. HOPPE-DROIT : outil d’observation des productions pédagogiques en droit, retraçant l’évolution du droit français depuis le XIXe siècle et de son enseignement.</w:t>
      </w:r>
      <w:r>
        <w:rPr>
          <w:sz w:val="24"/>
        </w:rPr>
      </w:r>
    </w:p>
    <w:p>
      <w:pPr>
        <w:pBdr/>
        <w:spacing/>
        <w:ind/>
        <w:jc w:val="both"/>
        <w:rPr>
          <w:sz w:val="24"/>
        </w:rPr>
      </w:pPr>
      <w:r>
        <w:rPr>
          <w:b/>
          <w:sz w:val="24"/>
        </w:rPr>
        <w:t xml:space="preserve">1475 :</w:t>
      </w:r>
      <w:r>
        <w:rPr>
          <w:sz w:val="24"/>
        </w:rPr>
        <w:t xml:space="preserve"> construction de la </w:t>
      </w:r>
      <w:r>
        <w:rPr>
          <w:sz w:val="24"/>
        </w:rPr>
        <w:t xml:space="preserve">Faculté de droit avec la </w:t>
      </w:r>
      <w:r>
        <w:rPr>
          <w:sz w:val="24"/>
        </w:rPr>
        <w:t xml:space="preserve">bibliothèque de droit.</w:t>
      </w:r>
      <w:r>
        <w:rPr>
          <w:sz w:val="24"/>
        </w:rPr>
      </w:r>
    </w:p>
    <w:p>
      <w:pPr>
        <w:pBdr/>
        <w:spacing/>
        <w:ind/>
        <w:jc w:val="both"/>
        <w:rPr>
          <w:sz w:val="24"/>
        </w:rPr>
      </w:pPr>
      <w:r>
        <w:rPr>
          <w:b/>
          <w:sz w:val="24"/>
        </w:rPr>
        <w:t xml:space="preserve">1979 :</w:t>
      </w:r>
      <w:r>
        <w:rPr>
          <w:sz w:val="24"/>
        </w:rPr>
        <w:t xml:space="preserve"> BIU Cujas est conventionnée entre les universités Panthéon-Sorbonne (Paris I) et Panthéon-Assas (Paris II). Conservation d’un riche fonds anciens plus de 40 000 documents constituant une partie de so</w:t>
      </w:r>
      <w:r>
        <w:rPr>
          <w:sz w:val="24"/>
        </w:rPr>
        <w:t xml:space="preserve">n patrimoine documentaire. Conserve un ensemble unique de ressources de collections de sciences juridiques, économiques et politiques remarquables : thèses et mémoires, publications officielles de la Société des Nations, des Nations Unies, du Journal offic</w:t>
      </w:r>
      <w:r>
        <w:rPr>
          <w:sz w:val="24"/>
        </w:rPr>
        <w:t xml:space="preserve">iel France et des anciennes colonies, une collection de travaux académiques imprimés en Allemagne aux XVIe et XIXe siècles (fonds Jean-Marie Pardessus), des documents retraçant la sociabilité universitaire et l’histoire de l’enseignement de l’ancienne Facu</w:t>
      </w:r>
      <w:r>
        <w:rPr>
          <w:sz w:val="24"/>
        </w:rPr>
        <w:t xml:space="preserve">l</w:t>
      </w:r>
      <w:r>
        <w:rPr>
          <w:sz w:val="24"/>
        </w:rPr>
        <w:t xml:space="preserve">té de Droit de Paris. Continue de collectés les thèses de droit, d’économie </w:t>
      </w:r>
      <w:r>
        <w:rPr>
          <w:sz w:val="24"/>
        </w:rPr>
        <w:t xml:space="preserve">et de sciences politiques soutenues à Paris I et Paris II sous forme imprimée, </w:t>
      </w:r>
      <w:r>
        <w:rPr>
          <w:sz w:val="24"/>
        </w:rPr>
        <w:t xml:space="preserve">microfichée</w:t>
      </w:r>
      <w:r>
        <w:rPr>
          <w:sz w:val="24"/>
        </w:rPr>
        <w:t xml:space="preserve"> ou numérique selon les périodes comprenant également des mémoires, dissertations d’agrégation de droit, des manuels de pédagogie du droit (projet </w:t>
      </w:r>
      <w:r>
        <w:rPr>
          <w:sz w:val="24"/>
        </w:rPr>
        <w:t xml:space="preserve">Hoppe</w:t>
      </w:r>
      <w:r>
        <w:rPr>
          <w:sz w:val="24"/>
        </w:rPr>
        <w:t xml:space="preserve">-Droit).</w:t>
      </w:r>
      <w:r>
        <w:rPr>
          <w:sz w:val="24"/>
        </w:rPr>
      </w:r>
    </w:p>
    <w:p>
      <w:pPr>
        <w:pBdr/>
        <w:spacing/>
        <w:ind/>
        <w:jc w:val="both"/>
        <w:rPr>
          <w:sz w:val="24"/>
        </w:rPr>
      </w:pPr>
      <w:r>
        <w:rPr>
          <w:sz w:val="24"/>
          <w:u w:val="single"/>
        </w:rPr>
        <w:t xml:space="preserve">Collections :</w:t>
      </w:r>
      <w:r>
        <w:rPr>
          <w:sz w:val="24"/>
        </w:rPr>
        <w:t xml:space="preserve"> coutumiers, œuvres de juristes, corpus et encyclopédies, couvrant les grands courant du droit (civil, criminel, canonique, ancien et nouveau).</w:t>
      </w:r>
      <w:r>
        <w:rPr>
          <w:sz w:val="24"/>
        </w:rPr>
        <w:t xml:space="preserve"> Ces ouvrages reflètent les mé</w:t>
      </w:r>
      <w:r>
        <w:rPr>
          <w:sz w:val="24"/>
        </w:rPr>
        <w:t xml:space="preserve">thodes de travail des juristes, des enseignants et des étudiants. Environ 50 volumes s’ajoutent à ces collections rassemblent des coutumes locales, des traités de droit et de finances, des textes politiques et économiques, ainsi que des pièces singulières.</w:t>
      </w:r>
      <w:r>
        <w:rPr>
          <w:sz w:val="24"/>
        </w:rPr>
      </w:r>
    </w:p>
    <w:p>
      <w:pPr>
        <w:pBdr/>
        <w:spacing/>
        <w:ind/>
        <w:jc w:val="both"/>
        <w:rPr>
          <w:sz w:val="24"/>
        </w:rPr>
      </w:pPr>
      <w:r>
        <w:rPr>
          <w:sz w:val="24"/>
          <w:u w:val="single"/>
        </w:rPr>
        <w:t xml:space="preserve">Volumétrie des documents : </w:t>
      </w:r>
      <w:r>
        <w:rPr>
          <w:sz w:val="24"/>
        </w:rPr>
        <w:t xml:space="preserve">au total environ 441 100 ouvrages dont environ 6 000 imprimés ancien (avant 1830) et 7 incunables. Environ 205 </w:t>
      </w:r>
      <w:r>
        <w:rPr>
          <w:sz w:val="24"/>
        </w:rPr>
        <w:t xml:space="preserve">manuscrits (XVIIe-XIXe siècles) des fonds d’estampes, de médailles et d’objets liés à la sociabilité universitaire. 9 000 notices de périodiques dans le SUDOC, dont environ 1 100 titres vivants.</w:t>
      </w:r>
      <w:r>
        <w:rPr>
          <w:sz w:val="24"/>
        </w:rPr>
      </w:r>
    </w:p>
    <w:p>
      <w:pPr>
        <w:pBdr/>
        <w:spacing/>
        <w:ind/>
        <w:jc w:val="both"/>
        <w:rPr>
          <w:sz w:val="24"/>
        </w:rPr>
      </w:pPr>
      <w:r>
        <w:rPr>
          <w:sz w:val="24"/>
          <w:u w:val="single"/>
        </w:rPr>
        <w:t xml:space="preserve">Historique de la numérisation de Cujas : </w:t>
      </w:r>
      <w:r>
        <w:rPr>
          <w:sz w:val="24"/>
        </w:rPr>
        <w:t xml:space="preserve">programme de numérisation vise à créer un réseau documentaire thématique, rassemblant des institutions de tout statut et de toute taille qui mènent des projets en matière de numérisation du patrimoine juridique.</w:t>
      </w:r>
      <w:r>
        <w:rPr>
          <w:sz w:val="24"/>
        </w:rPr>
      </w:r>
    </w:p>
    <w:p>
      <w:pPr>
        <w:pBdr/>
        <w:spacing/>
        <w:ind/>
        <w:jc w:val="both"/>
        <w:rPr>
          <w:sz w:val="24"/>
        </w:rPr>
      </w:pPr>
      <w:r>
        <w:rPr>
          <w:b/>
          <w:sz w:val="24"/>
        </w:rPr>
        <w:t xml:space="preserve">Avant 2004 :</w:t>
      </w:r>
      <w:r>
        <w:rPr>
          <w:sz w:val="24"/>
        </w:rPr>
        <w:t xml:space="preserve"> le fonds </w:t>
      </w:r>
      <w:r>
        <w:rPr>
          <w:sz w:val="24"/>
        </w:rPr>
        <w:t xml:space="preserve">Safig</w:t>
      </w:r>
      <w:r>
        <w:rPr>
          <w:sz w:val="24"/>
        </w:rPr>
        <w:t xml:space="preserve"> est le premier fonds numérisé à Cujas.</w:t>
      </w:r>
      <w:r>
        <w:rPr>
          <w:sz w:val="24"/>
        </w:rPr>
      </w:r>
    </w:p>
    <w:p>
      <w:pPr>
        <w:pBdr/>
        <w:spacing/>
        <w:ind/>
        <w:jc w:val="both"/>
        <w:rPr>
          <w:sz w:val="24"/>
        </w:rPr>
      </w:pPr>
      <w:r>
        <w:rPr>
          <w:b/>
          <w:sz w:val="24"/>
        </w:rPr>
        <w:t xml:space="preserve">2000/2001 :</w:t>
      </w:r>
      <w:r>
        <w:rPr>
          <w:sz w:val="24"/>
        </w:rPr>
        <w:t xml:space="preserve"> prestation </w:t>
      </w:r>
      <w:r>
        <w:rPr>
          <w:sz w:val="24"/>
        </w:rPr>
        <w:t xml:space="preserve">Safig</w:t>
      </w:r>
      <w:r>
        <w:rPr>
          <w:sz w:val="24"/>
        </w:rPr>
        <w:t xml:space="preserve"> pour la numérisation de 17 / 22 documents. Cette prestation comprenait la numérisat</w:t>
      </w:r>
      <w:r>
        <w:rPr>
          <w:sz w:val="24"/>
        </w:rPr>
        <w:t xml:space="preserve">ion, la création et l’entretien d’un site pour la consultation, la mise en ligne. Numérisation en TIF et PDF. Piratage du site par les Kurdes =&gt; arrêt du site et récupération des images TIF et PDF sur des cédéroms. Tous sont avérés illisibles = tout perdu.</w:t>
      </w:r>
      <w:r>
        <w:rPr>
          <w:sz w:val="24"/>
        </w:rPr>
      </w:r>
    </w:p>
    <w:p>
      <w:pPr>
        <w:pBdr/>
        <w:spacing/>
        <w:ind/>
        <w:jc w:val="both"/>
        <w:rPr>
          <w:sz w:val="24"/>
        </w:rPr>
      </w:pPr>
      <w:r>
        <w:rPr>
          <w:b/>
          <w:sz w:val="24"/>
        </w:rPr>
        <w:t xml:space="preserve">2005/2006 :</w:t>
      </w:r>
      <w:r>
        <w:rPr>
          <w:sz w:val="24"/>
        </w:rPr>
        <w:t xml:space="preserve"> projet de créer une bibliothèque numérique juridique. Etablissement d’une liste =&gt; liste </w:t>
      </w:r>
      <w:r>
        <w:rPr>
          <w:sz w:val="24"/>
        </w:rPr>
        <w:t xml:space="preserve">Pfister-Roumy</w:t>
      </w:r>
      <w:r>
        <w:rPr>
          <w:sz w:val="24"/>
        </w:rPr>
        <w:t xml:space="preserve"> comprenant à l’origine 800 ouvrages. Même moment BNF établit aussi une liste =&gt; liste </w:t>
      </w:r>
      <w:r>
        <w:rPr>
          <w:sz w:val="24"/>
        </w:rPr>
        <w:t xml:space="preserve">Kerbrat</w:t>
      </w:r>
      <w:r>
        <w:rPr>
          <w:sz w:val="24"/>
        </w:rPr>
        <w:t xml:space="preserve">. Nécessaire de faire un point en vue de ne pas numériser les mêmes ouvrages de droit, ce qui amène à un problème de cohérence dans les titres. Dans certains cas, il a été envisagé de conserver ces ouvrages mais de numériser dans une autre édition. Liste </w:t>
      </w:r>
      <w:r>
        <w:rPr>
          <w:sz w:val="24"/>
        </w:rPr>
        <w:t xml:space="preserve">Pfister-Roumy</w:t>
      </w:r>
      <w:r>
        <w:rPr>
          <w:sz w:val="24"/>
        </w:rPr>
        <w:t xml:space="preserve"> : tous les ouvrages ne sont pas numérisés. But/piste de travail : récupérer les fichiers ou un lien pour tout reconstituer.</w:t>
      </w:r>
      <w:r>
        <w:rPr>
          <w:sz w:val="24"/>
        </w:rPr>
      </w:r>
    </w:p>
    <w:p>
      <w:pPr>
        <w:pBdr/>
        <w:spacing/>
        <w:ind/>
        <w:jc w:val="both"/>
        <w:rPr>
          <w:sz w:val="24"/>
        </w:rPr>
      </w:pPr>
      <w:r>
        <w:rPr>
          <w:b/>
          <w:sz w:val="24"/>
        </w:rPr>
        <w:t xml:space="preserve">A partir de 2006/2007 :</w:t>
      </w:r>
      <w:r>
        <w:rPr>
          <w:sz w:val="24"/>
        </w:rPr>
        <w:t xml:space="preserve"> le projet de Cujas est de devenir un pôle de réplication Persée pour les périodiques. Numérisation de masse avec </w:t>
      </w:r>
      <w:r>
        <w:rPr>
          <w:sz w:val="24"/>
        </w:rPr>
        <w:t xml:space="preserve">massicotage</w:t>
      </w:r>
      <w:r>
        <w:rPr>
          <w:sz w:val="24"/>
        </w:rPr>
        <w:t xml:space="preserve"> des collections de périodiques =&gt; refus de Cujas. Cela ne se fait pas.</w:t>
      </w:r>
      <w:r>
        <w:rPr>
          <w:sz w:val="24"/>
        </w:rPr>
      </w:r>
    </w:p>
    <w:p>
      <w:pPr>
        <w:pBdr/>
        <w:spacing/>
        <w:ind/>
        <w:jc w:val="both"/>
        <w:rPr>
          <w:sz w:val="24"/>
        </w:rPr>
      </w:pPr>
      <w:r>
        <w:rPr>
          <w:b/>
          <w:sz w:val="24"/>
        </w:rPr>
        <w:t xml:space="preserve">2007 :</w:t>
      </w:r>
      <w:r>
        <w:rPr>
          <w:sz w:val="24"/>
        </w:rPr>
        <w:t xml:space="preserve"> achat du </w:t>
      </w:r>
      <w:r>
        <w:rPr>
          <w:sz w:val="24"/>
        </w:rPr>
        <w:t xml:space="preserve">numérisateur</w:t>
      </w:r>
      <w:r>
        <w:rPr>
          <w:sz w:val="24"/>
        </w:rPr>
        <w:t xml:space="preserve"> </w:t>
      </w:r>
      <w:r>
        <w:rPr>
          <w:sz w:val="24"/>
        </w:rPr>
        <w:t xml:space="preserve">Kirtas</w:t>
      </w:r>
      <w:r>
        <w:rPr>
          <w:sz w:val="24"/>
        </w:rPr>
        <w:t xml:space="preserve">, coût : 260 000 euros. Normalement : appareil maintenant et tournant les pages tout seul.</w:t>
      </w:r>
      <w:r>
        <w:rPr>
          <w:sz w:val="24"/>
        </w:rPr>
        <w:t xml:space="preserve"> Pb : appareil est un prototype =&gt; pas commercialisé = difficultés de maintenance. Appareil ne pouvait pas tout numériser (=&gt; marché extérieur : </w:t>
      </w:r>
      <w:r>
        <w:rPr>
          <w:sz w:val="24"/>
        </w:rPr>
        <w:t xml:space="preserve">Archénum</w:t>
      </w:r>
      <w:r>
        <w:rPr>
          <w:sz w:val="24"/>
        </w:rPr>
        <w:t xml:space="preserve">). Workflow : en 2009 pas d’outils de workflow à proprement parler, mais des dossiers successifs sur des NAS (petits serveurs). BSE : software pour générer les différents traitements de images =&gt; mis régulièrement à jour. Achat d’un nouveau scanner : </w:t>
      </w:r>
      <w:r>
        <w:rPr>
          <w:sz w:val="24"/>
        </w:rPr>
        <w:t xml:space="preserve">Kirtas</w:t>
      </w:r>
      <w:r>
        <w:rPr>
          <w:sz w:val="24"/>
        </w:rPr>
        <w:t xml:space="preserve"> I2S : tests avec suite LIMB. </w:t>
      </w:r>
      <w:r>
        <w:rPr>
          <w:sz w:val="24"/>
        </w:rPr>
      </w:r>
    </w:p>
    <w:p>
      <w:pPr>
        <w:pBdr/>
        <w:spacing/>
        <w:ind/>
        <w:jc w:val="both"/>
        <w:rPr>
          <w:sz w:val="24"/>
        </w:rPr>
      </w:pPr>
      <w:r>
        <w:rPr>
          <w:b/>
          <w:sz w:val="24"/>
        </w:rPr>
        <w:t xml:space="preserve">2017 :</w:t>
      </w:r>
      <w:r>
        <w:rPr>
          <w:sz w:val="24"/>
        </w:rPr>
        <w:t xml:space="preserve"> tentative de </w:t>
      </w:r>
      <w:r>
        <w:rPr>
          <w:sz w:val="24"/>
        </w:rPr>
        <w:t xml:space="preserve">rançonware</w:t>
      </w:r>
      <w:r>
        <w:rPr>
          <w:sz w:val="24"/>
        </w:rPr>
        <w:t xml:space="preserve"> par cryptage, perte de fichiers, quelques documents récupérés grâce au CINES.</w:t>
      </w:r>
      <w:r>
        <w:rPr>
          <w:sz w:val="24"/>
        </w:rPr>
      </w:r>
    </w:p>
    <w:p>
      <w:pPr>
        <w:pBdr/>
        <w:spacing/>
        <w:ind/>
        <w:jc w:val="both"/>
        <w:rPr>
          <w:sz w:val="24"/>
        </w:rPr>
      </w:pPr>
      <w:r>
        <w:rPr>
          <w:sz w:val="24"/>
          <w:u w:val="single"/>
        </w:rPr>
        <w:t xml:space="preserve">Workflow </w:t>
      </w:r>
      <w:r>
        <w:rPr>
          <w:b/>
          <w:sz w:val="24"/>
          <w:u w:val="single"/>
        </w:rPr>
        <w:t xml:space="preserve">:</w:t>
      </w:r>
      <w:r>
        <w:rPr>
          <w:b/>
          <w:sz w:val="24"/>
        </w:rPr>
        <w:t xml:space="preserve"> étape 1</w:t>
      </w:r>
      <w:r>
        <w:rPr>
          <w:sz w:val="24"/>
        </w:rPr>
        <w:t xml:space="preserve"> =&gt; acquisition des images + espace de baie de numérisation</w:t>
      </w:r>
      <w:r>
        <w:rPr>
          <w:sz w:val="24"/>
        </w:rPr>
      </w:r>
    </w:p>
    <w:p>
      <w:pPr>
        <w:pBdr/>
        <w:spacing/>
        <w:ind/>
        <w:jc w:val="both"/>
        <w:rPr>
          <w:sz w:val="24"/>
        </w:rPr>
      </w:pPr>
      <w:r>
        <w:rPr>
          <w:b/>
          <w:sz w:val="24"/>
        </w:rPr>
        <w:t xml:space="preserve">Etape 2 :</w:t>
      </w:r>
      <w:r>
        <w:rPr>
          <w:sz w:val="24"/>
        </w:rPr>
        <w:t xml:space="preserve"> traitement des images. Images : différents formats (jpeg, </w:t>
      </w:r>
      <w:r>
        <w:rPr>
          <w:sz w:val="24"/>
        </w:rPr>
        <w:t xml:space="preserve">pdf</w:t>
      </w:r>
      <w:r>
        <w:rPr>
          <w:sz w:val="24"/>
        </w:rPr>
        <w:t xml:space="preserve">) + vérification / production en interne de la table de concordance (correspondance page/images). 3 métadonnées : DC, </w:t>
      </w:r>
      <w:r>
        <w:rPr>
          <w:sz w:val="24"/>
        </w:rPr>
        <w:t xml:space="preserve">tdm</w:t>
      </w:r>
      <w:r>
        <w:rPr>
          <w:sz w:val="24"/>
        </w:rPr>
        <w:t xml:space="preserve"> insérés dans le PDF.</w:t>
      </w:r>
      <w:r>
        <w:rPr>
          <w:sz w:val="24"/>
        </w:rPr>
      </w:r>
    </w:p>
    <w:p>
      <w:pPr>
        <w:pBdr/>
        <w:spacing/>
        <w:ind/>
        <w:jc w:val="both"/>
        <w:rPr>
          <w:sz w:val="24"/>
        </w:rPr>
      </w:pPr>
      <w:r>
        <w:rPr>
          <w:sz w:val="24"/>
        </w:rPr>
        <w:t xml:space="preserve">Etape 3 : validation : contrôle qualité ava</w:t>
      </w:r>
      <w:r>
        <w:rPr>
          <w:sz w:val="24"/>
        </w:rPr>
        <w:t xml:space="preserve">nt mise en ligne. Contrôle des images, des DC (déclaration du schéma http et non https), présence de caractères interdits dans le titre = à enlever, présence d’un auteur = à ajouter sinon, que la date est bien formatée, encodage de la langue. Valider dans </w:t>
      </w:r>
      <w:r>
        <w:rPr>
          <w:sz w:val="24"/>
        </w:rPr>
        <w:t xml:space="preserve">Oxygen</w:t>
      </w:r>
      <w:r>
        <w:rPr>
          <w:sz w:val="24"/>
        </w:rPr>
        <w:t xml:space="preserve"> + outil du CINES.</w:t>
      </w:r>
      <w:r>
        <w:rPr>
          <w:sz w:val="24"/>
        </w:rPr>
      </w:r>
    </w:p>
    <w:p>
      <w:pPr>
        <w:pBdr/>
        <w:spacing/>
        <w:ind/>
        <w:jc w:val="both"/>
        <w:rPr>
          <w:sz w:val="24"/>
        </w:rPr>
      </w:pPr>
      <w:r>
        <w:rPr>
          <w:sz w:val="24"/>
        </w:rPr>
        <w:t xml:space="preserve">Pré-étape : transfert des données dans l’espace de travail de publication. Chargement dans un nouveau serveur sous SFTP.</w:t>
      </w:r>
      <w:r>
        <w:rPr>
          <w:sz w:val="24"/>
        </w:rPr>
      </w:r>
    </w:p>
    <w:p>
      <w:pPr>
        <w:pBdr/>
        <w:spacing/>
        <w:ind/>
        <w:jc w:val="both"/>
        <w:rPr>
          <w:sz w:val="24"/>
        </w:rPr>
      </w:pPr>
      <w:r>
        <w:rPr>
          <w:sz w:val="24"/>
        </w:rPr>
        <w:t xml:space="preserve">Etape 4 : publication. Workflow créer par le responsable du SIT sécurisé suite au </w:t>
      </w:r>
      <w:r>
        <w:rPr>
          <w:sz w:val="24"/>
        </w:rPr>
        <w:t xml:space="preserve">pb</w:t>
      </w:r>
      <w:r>
        <w:rPr>
          <w:sz w:val="24"/>
        </w:rPr>
        <w:t xml:space="preserve"> de rançonnage.</w:t>
      </w:r>
      <w:r>
        <w:rPr>
          <w:sz w:val="24"/>
        </w:rPr>
      </w:r>
    </w:p>
    <w:p>
      <w:pPr>
        <w:pBdr/>
        <w:spacing/>
        <w:ind/>
        <w:jc w:val="both"/>
        <w:rPr>
          <w:sz w:val="24"/>
        </w:rPr>
      </w:pPr>
      <w:r>
        <w:rPr>
          <w:sz w:val="24"/>
        </w:rPr>
        <w:t xml:space="preserve">CujasNum</w:t>
      </w:r>
      <w:r>
        <w:rPr>
          <w:sz w:val="24"/>
        </w:rPr>
        <w:t xml:space="preserve"> : mettre en valeur ce qu’on numérise avec du paratexte. Dans la baie de numérisation, chaque document est identifié par son </w:t>
      </w:r>
      <w:r>
        <w:rPr>
          <w:sz w:val="24"/>
        </w:rPr>
        <w:t xml:space="preserve">code-barre</w:t>
      </w:r>
      <w:r>
        <w:rPr>
          <w:sz w:val="24"/>
        </w:rPr>
        <w:t xml:space="preserve">. Deux répertoires : répertoire IMAGES (</w:t>
      </w:r>
      <w:r>
        <w:rPr>
          <w:sz w:val="24"/>
        </w:rPr>
        <w:t xml:space="preserve">tiff</w:t>
      </w:r>
      <w:r>
        <w:rPr>
          <w:sz w:val="24"/>
        </w:rPr>
        <w:t xml:space="preserve">, jpeg, </w:t>
      </w:r>
      <w:r>
        <w:rPr>
          <w:sz w:val="24"/>
        </w:rPr>
        <w:t xml:space="preserve">png</w:t>
      </w:r>
      <w:r>
        <w:rPr>
          <w:sz w:val="24"/>
        </w:rPr>
        <w:t xml:space="preserve">, et </w:t>
      </w:r>
      <w:r>
        <w:rPr>
          <w:sz w:val="24"/>
        </w:rPr>
        <w:t xml:space="preserve">pdf</w:t>
      </w:r>
      <w:r>
        <w:rPr>
          <w:sz w:val="24"/>
        </w:rPr>
        <w:t xml:space="preserve">) et répertoire METADATA (bordereau du doc, parfois table de concordance, DC, </w:t>
      </w:r>
      <w:r>
        <w:rPr>
          <w:sz w:val="24"/>
        </w:rPr>
        <w:t xml:space="preserve">tdm</w:t>
      </w:r>
      <w:r>
        <w:rPr>
          <w:sz w:val="24"/>
        </w:rPr>
        <w:t xml:space="preserve"> sous format </w:t>
      </w:r>
      <w:r>
        <w:rPr>
          <w:sz w:val="24"/>
        </w:rPr>
        <w:t xml:space="preserve">excel</w:t>
      </w:r>
      <w:r>
        <w:rPr>
          <w:sz w:val="24"/>
        </w:rPr>
        <w:t xml:space="preserve"> et csv encodé UTF-8).</w:t>
      </w:r>
      <w:r>
        <w:rPr>
          <w:sz w:val="24"/>
        </w:rPr>
      </w:r>
    </w:p>
    <w:p>
      <w:pPr>
        <w:pBdr/>
        <w:spacing/>
        <w:ind/>
        <w:jc w:val="both"/>
        <w:rPr>
          <w:sz w:val="24"/>
        </w:rPr>
      </w:pPr>
      <w:r>
        <w:rPr>
          <w:sz w:val="24"/>
        </w:rPr>
        <w:t xml:space="preserve">Retour d’expérience de Noëlle </w:t>
      </w:r>
      <w:r>
        <w:rPr>
          <w:sz w:val="24"/>
        </w:rPr>
        <w:t xml:space="preserve">Balley</w:t>
      </w:r>
      <w:r>
        <w:rPr>
          <w:sz w:val="24"/>
        </w:rPr>
        <w:t xml:space="preserve"> : concernant l’organisation du travail =&gt; numérisation interne pour les ouvrages postérieurs à 1830 avec une </w:t>
      </w:r>
      <w:r>
        <w:rPr>
          <w:sz w:val="24"/>
        </w:rPr>
        <w:t xml:space="preserve">océrisation</w:t>
      </w:r>
      <w:r>
        <w:rPr>
          <w:sz w:val="24"/>
        </w:rPr>
        <w:t xml:space="preserve"> et relectures partielle</w:t>
      </w:r>
      <w:r>
        <w:rPr>
          <w:sz w:val="24"/>
        </w:rPr>
        <w:t xml:space="preserve">s sur les parties structurantes. Tâches : saisie des </w:t>
      </w:r>
      <w:r>
        <w:rPr>
          <w:sz w:val="24"/>
        </w:rPr>
        <w:t xml:space="preserve">tdm</w:t>
      </w:r>
      <w:r>
        <w:rPr>
          <w:sz w:val="24"/>
        </w:rPr>
        <w:t xml:space="preserve"> et bordereau d’état, préparation matérielle des documents, catalogage SUDOC, indexation (facettes), numérisation (format TIFF), </w:t>
      </w:r>
      <w:r>
        <w:rPr>
          <w:sz w:val="24"/>
        </w:rPr>
        <w:t xml:space="preserve">contrôle qualité, réfections d’images, génération des JPEG, </w:t>
      </w:r>
      <w:r>
        <w:rPr>
          <w:sz w:val="24"/>
        </w:rPr>
        <w:t xml:space="preserve">océrisation</w:t>
      </w:r>
      <w:r>
        <w:rPr>
          <w:sz w:val="24"/>
        </w:rPr>
        <w:t xml:space="preserve"> (</w:t>
      </w:r>
      <w:r>
        <w:rPr>
          <w:sz w:val="24"/>
        </w:rPr>
        <w:t xml:space="preserve">intrne</w:t>
      </w:r>
      <w:r>
        <w:rPr>
          <w:sz w:val="24"/>
        </w:rPr>
        <w:t xml:space="preserve">) et relectures, conversion en PDF, transformation des </w:t>
      </w:r>
      <w:r>
        <w:rPr>
          <w:sz w:val="24"/>
        </w:rPr>
        <w:t xml:space="preserve">tdm</w:t>
      </w:r>
      <w:r>
        <w:rPr>
          <w:sz w:val="24"/>
        </w:rPr>
        <w:t xml:space="preserve"> en signets, mise en ligne, archivage.</w:t>
      </w:r>
      <w:r>
        <w:rPr>
          <w:sz w:val="24"/>
        </w:rPr>
      </w:r>
    </w:p>
    <w:p>
      <w:pPr>
        <w:pBdr/>
        <w:spacing/>
        <w:ind/>
        <w:jc w:val="both"/>
        <w:rPr>
          <w:sz w:val="24"/>
        </w:rPr>
      </w:pPr>
      <w:r>
        <w:rPr>
          <w:sz w:val="24"/>
        </w:rPr>
        <w:t xml:space="preserve">Pourquoi archiver ? pas l’information en elle-même que l’on archive mais le fait qu’elle soit numérisée et la valeur ajoutée par le travail intellectuel de l’équipe.</w:t>
      </w:r>
      <w:r>
        <w:rPr>
          <w:sz w:val="24"/>
        </w:rPr>
      </w:r>
    </w:p>
    <w:p>
      <w:pPr>
        <w:pBdr/>
        <w:spacing/>
        <w:ind/>
        <w:jc w:val="both"/>
        <w:rPr>
          <w:sz w:val="24"/>
        </w:rPr>
      </w:pPr>
      <w:r>
        <w:rPr>
          <w:sz w:val="24"/>
        </w:rPr>
        <w:t xml:space="preserve">Pérennise la possibilité de restructurer les documents et non la structuration elle-même (fichiers de diffusion). Archive les briques et le plan, pas la maison.</w:t>
      </w:r>
      <w:r>
        <w:rPr>
          <w:sz w:val="24"/>
        </w:rPr>
      </w:r>
    </w:p>
    <w:p>
      <w:pPr>
        <w:pBdr/>
        <w:spacing/>
        <w:ind/>
        <w:jc w:val="both"/>
        <w:rPr>
          <w:sz w:val="24"/>
        </w:rPr>
      </w:pPr>
      <w:r>
        <w:rPr>
          <w:sz w:val="24"/>
        </w:rPr>
        <w:t xml:space="preserve">Identification des objets numériques à archiver : liste des formats acceptés sur le site CINES. Unité d’archivage = le livre physique. Avantages d’un choix minimaliste : faisabilité, coûts. </w:t>
      </w:r>
      <w:r>
        <w:rPr>
          <w:sz w:val="24"/>
        </w:rPr>
        <w:t xml:space="preserve">Choix</w:t>
      </w:r>
      <w:r>
        <w:rPr>
          <w:sz w:val="24"/>
        </w:rPr>
        <w:t xml:space="preserve"> de formats standardisés, non propriétaires (csv, plutôt </w:t>
      </w:r>
      <w:r>
        <w:rPr>
          <w:sz w:val="24"/>
        </w:rPr>
        <w:t xml:space="preserve">qu’excel</w:t>
      </w:r>
      <w:r>
        <w:rPr>
          <w:sz w:val="24"/>
        </w:rPr>
        <w:t xml:space="preserve">…). Importance de l’UTF-8. Dépôt : images (</w:t>
      </w:r>
      <w:r>
        <w:rPr>
          <w:sz w:val="24"/>
        </w:rPr>
        <w:t xml:space="preserve">tiff</w:t>
      </w:r>
      <w:r>
        <w:rPr>
          <w:sz w:val="24"/>
        </w:rPr>
        <w:t xml:space="preserve">), </w:t>
      </w:r>
      <w:r>
        <w:rPr>
          <w:sz w:val="24"/>
        </w:rPr>
        <w:t xml:space="preserve">desc</w:t>
      </w:r>
      <w:r>
        <w:rPr>
          <w:sz w:val="24"/>
        </w:rPr>
        <w:t xml:space="preserve"> et </w:t>
      </w:r>
      <w:r>
        <w:rPr>
          <w:sz w:val="24"/>
        </w:rPr>
        <w:t xml:space="preserve">sip</w:t>
      </w:r>
      <w:r>
        <w:rPr>
          <w:sz w:val="24"/>
        </w:rPr>
        <w:t xml:space="preserve"> (</w:t>
      </w:r>
      <w:r>
        <w:rPr>
          <w:sz w:val="24"/>
        </w:rPr>
        <w:t xml:space="preserve">xml</w:t>
      </w:r>
      <w:r>
        <w:rPr>
          <w:sz w:val="24"/>
        </w:rPr>
        <w:t xml:space="preserve">), dans DESC : </w:t>
      </w:r>
      <w:r>
        <w:rPr>
          <w:sz w:val="24"/>
        </w:rPr>
        <w:t xml:space="preserve">tdm</w:t>
      </w:r>
      <w:r>
        <w:rPr>
          <w:sz w:val="24"/>
        </w:rPr>
        <w:t xml:space="preserve"> (csv=</w:t>
      </w:r>
      <w:r>
        <w:rPr>
          <w:sz w:val="24"/>
        </w:rPr>
        <w:t xml:space="preserve">text</w:t>
      </w:r>
      <w:r>
        <w:rPr>
          <w:sz w:val="24"/>
        </w:rPr>
        <w:t xml:space="preserve"> utf-8), mets (</w:t>
      </w:r>
      <w:r>
        <w:rPr>
          <w:sz w:val="24"/>
        </w:rPr>
        <w:t xml:space="preserve">xml</w:t>
      </w:r>
      <w:r>
        <w:rPr>
          <w:sz w:val="24"/>
        </w:rPr>
        <w:t xml:space="preserve">), dc (</w:t>
      </w:r>
      <w:r>
        <w:rPr>
          <w:sz w:val="24"/>
        </w:rPr>
        <w:t xml:space="preserve">xml</w:t>
      </w:r>
      <w:r>
        <w:rPr>
          <w:sz w:val="24"/>
        </w:rPr>
        <w:t xml:space="preserve">).</w:t>
      </w:r>
      <w:r>
        <w:rPr>
          <w:sz w:val="24"/>
        </w:rPr>
      </w:r>
    </w:p>
    <w:p>
      <w:pPr>
        <w:pBdr/>
        <w:spacing/>
        <w:ind/>
        <w:jc w:val="both"/>
        <w:rPr>
          <w:sz w:val="24"/>
        </w:rPr>
      </w:pPr>
      <w:r>
        <w:rPr>
          <w:sz w:val="24"/>
        </w:rPr>
        <w:t xml:space="preserve">Article : programme de numérisation par Noëlle </w:t>
      </w:r>
      <w:r>
        <w:rPr>
          <w:sz w:val="24"/>
        </w:rPr>
        <w:t xml:space="preserve">Balley</w:t>
      </w:r>
      <w:r>
        <w:rPr>
          <w:sz w:val="24"/>
        </w:rPr>
        <w:t xml:space="preserve">. Fonds patrimonial : 12 000 volumes. Fonds construit par les bibliothécaires. « Le cabinet de travail d’un robin d’Ancien régime » du XVe à 1810.</w:t>
      </w:r>
      <w:r>
        <w:rPr>
          <w:sz w:val="24"/>
        </w:rPr>
      </w:r>
    </w:p>
    <w:p>
      <w:pPr>
        <w:pBdr/>
        <w:spacing/>
        <w:ind/>
        <w:jc w:val="both"/>
        <w:rPr>
          <w:sz w:val="24"/>
        </w:rPr>
      </w:pPr>
      <w:r>
        <w:rPr>
          <w:sz w:val="24"/>
        </w:rPr>
        <w:t xml:space="preserve">Objectif : valoriser le fonds patrimonial, enrichir en cont</w:t>
      </w:r>
      <w:r>
        <w:rPr>
          <w:sz w:val="24"/>
        </w:rPr>
        <w:t xml:space="preserve">enus le portail de la bibliothèque, offrir aux chercheurs des instruments de travail avec une valorisation éditoriale importante, dépasser les contraintes d’horaires de la réserve, positionner Cujas comme un établissement innovant, porteur de gros projets.</w:t>
      </w:r>
      <w:r>
        <w:rPr>
          <w:sz w:val="24"/>
        </w:rPr>
      </w:r>
    </w:p>
    <w:p>
      <w:pPr>
        <w:pBdr/>
        <w:spacing/>
        <w:ind/>
        <w:jc w:val="both"/>
        <w:rPr>
          <w:sz w:val="24"/>
        </w:rPr>
      </w:pPr>
      <w:r>
        <w:rPr>
          <w:sz w:val="24"/>
        </w:rPr>
        <w:t xml:space="preserve">Un projet test : les polys des cours Carbonnier</w:t>
      </w:r>
      <w:r>
        <w:rPr>
          <w:sz w:val="24"/>
        </w:rPr>
      </w:r>
    </w:p>
    <w:p>
      <w:pPr>
        <w:pBdr/>
        <w:spacing/>
        <w:ind/>
        <w:jc w:val="both"/>
        <w:rPr>
          <w:sz w:val="24"/>
        </w:rPr>
      </w:pPr>
      <w:r>
        <w:rPr>
          <w:sz w:val="24"/>
        </w:rPr>
        <w:t xml:space="preserve">Océrisation</w:t>
      </w:r>
      <w:r>
        <w:rPr>
          <w:sz w:val="24"/>
        </w:rPr>
        <w:t xml:space="preserve"> des textes : « la technique d’OCR permet de situer et de reconnaître les chaînes de caractères dans une image et donc de faire la conversion des mots qui peuvent ensuite être utilisés pour faire une recherche plein texte.</w:t>
      </w:r>
      <w:r>
        <w:rPr>
          <w:sz w:val="24"/>
        </w:rPr>
      </w:r>
    </w:p>
    <w:p>
      <w:pPr>
        <w:pBdr/>
        <w:spacing/>
        <w:ind/>
        <w:jc w:val="both"/>
        <w:rPr>
          <w:sz w:val="24"/>
        </w:rPr>
      </w:pPr>
      <w:r>
        <w:rPr>
          <w:sz w:val="24"/>
        </w:rPr>
        <w:t xml:space="preserve">Le moissonnage : possibilité d’interroger à partir du site une bibliothèque n</w:t>
      </w:r>
      <w:r>
        <w:rPr>
          <w:sz w:val="24"/>
        </w:rPr>
        <w:t xml:space="preserve">umérique, des documents présents dans une bibliothèque partenaire via le protocole OAI-PMH. Les bibliothèques fournisseurs « exposent » leurs métadonnées exposées les « sets » qui les intéressent. Les sets sont intégrés dans les résultats de la recherche. </w:t>
      </w:r>
      <w:r>
        <w:rPr>
          <w:sz w:val="24"/>
        </w:rPr>
      </w:r>
    </w:p>
    <w:p>
      <w:pPr>
        <w:pBdr/>
        <w:spacing/>
        <w:ind/>
        <w:jc w:val="both"/>
        <w:rPr>
          <w:sz w:val="24"/>
        </w:rPr>
      </w:pPr>
      <w:r>
        <w:rPr>
          <w:sz w:val="24"/>
        </w:rPr>
        <w:t xml:space="preserve">2010 : volonté d’automatiser en amont la constitution du dossier d’archivage, à partir des dossiers </w:t>
      </w:r>
      <w:r>
        <w:rPr>
          <w:sz w:val="24"/>
        </w:rPr>
        <w:t xml:space="preserve">stockés</w:t>
      </w:r>
      <w:r>
        <w:rPr>
          <w:sz w:val="24"/>
        </w:rPr>
        <w:t xml:space="preserve"> sur l’espace de numérisation (fichiers images, tif, jpeg…+ fichiers de métadonnées : </w:t>
      </w:r>
      <w:r>
        <w:rPr>
          <w:sz w:val="24"/>
        </w:rPr>
        <w:t xml:space="preserve">tdm</w:t>
      </w:r>
      <w:r>
        <w:rPr>
          <w:sz w:val="24"/>
        </w:rPr>
        <w:t xml:space="preserve">, </w:t>
      </w:r>
      <w:r>
        <w:rPr>
          <w:sz w:val="24"/>
        </w:rPr>
        <w:t xml:space="preserve">scanjob</w:t>
      </w:r>
      <w:r>
        <w:rPr>
          <w:sz w:val="24"/>
        </w:rPr>
        <w:t xml:space="preserve">, </w:t>
      </w:r>
      <w:r>
        <w:rPr>
          <w:sz w:val="24"/>
        </w:rPr>
        <w:t xml:space="preserve">dublin</w:t>
      </w:r>
      <w:r>
        <w:rPr>
          <w:sz w:val="24"/>
        </w:rPr>
        <w:t xml:space="preserve"> </w:t>
      </w:r>
      <w:r>
        <w:rPr>
          <w:sz w:val="24"/>
        </w:rPr>
        <w:t xml:space="preserve">core</w:t>
      </w:r>
      <w:r>
        <w:rPr>
          <w:sz w:val="24"/>
        </w:rPr>
        <w:t xml:space="preserve">). </w:t>
      </w:r>
      <w:r>
        <w:rPr>
          <w:sz w:val="24"/>
        </w:rPr>
        <w:t xml:space="preserve">Phase : extraire uniquement les fichiers qui composent les paquets d’archives (fichiers images, tif, fichiers </w:t>
      </w:r>
      <w:r>
        <w:rPr>
          <w:sz w:val="24"/>
        </w:rPr>
        <w:t xml:space="preserve">tdm</w:t>
      </w:r>
      <w:r>
        <w:rPr>
          <w:sz w:val="24"/>
        </w:rPr>
        <w:t xml:space="preserve"> converti au format csv et la notice dc et de les stocker dans les répertoires idoines du paquet d’archives).</w:t>
      </w:r>
      <w:r>
        <w:rPr>
          <w:sz w:val="24"/>
        </w:rPr>
      </w:r>
    </w:p>
    <w:p>
      <w:pPr>
        <w:pBdr/>
        <w:spacing/>
        <w:ind/>
        <w:jc w:val="both"/>
        <w:rPr>
          <w:sz w:val="24"/>
        </w:rPr>
      </w:pPr>
      <w:r>
        <w:rPr>
          <w:sz w:val="24"/>
        </w:rPr>
        <w:t xml:space="preserve">2012 : volonté de vouloir archiver « au fil de la numérisation ». La chaîne de numérisation externe (étapes) : jusqu’à la numérisation (choix des titres numérisés, bordereaux d’état, </w:t>
      </w:r>
      <w:r>
        <w:rPr>
          <w:sz w:val="24"/>
        </w:rPr>
        <w:t xml:space="preserve">tdm</w:t>
      </w:r>
      <w:r>
        <w:rPr>
          <w:sz w:val="24"/>
        </w:rPr>
        <w:t xml:space="preserve"> (conditionnement, catalogage, indexation)), numérisation, après la numérisation (contrôle des </w:t>
      </w:r>
      <w:r>
        <w:rPr>
          <w:sz w:val="24"/>
        </w:rPr>
        <w:t xml:space="preserve">pdf</w:t>
      </w:r>
      <w:r>
        <w:rPr>
          <w:sz w:val="24"/>
        </w:rPr>
        <w:t xml:space="preserve">, créatio</w:t>
      </w:r>
      <w:r>
        <w:rPr>
          <w:sz w:val="24"/>
        </w:rPr>
        <w:t xml:space="preserve">n des dc, contrôle qualité et pose des filigranes), mise en ligne et archivage (mise en ligne (plateforme de diffusion XTF), moissonnage par entrepôt OAI, archivage pérenne), créations et maintenances informatiques (stockage des données par l’informatique,</w:t>
      </w:r>
      <w:r>
        <w:rPr>
          <w:sz w:val="24"/>
        </w:rPr>
        <w:t xml:space="preserve"> création de la plateforme de diffusion, et maintenance logicielle, création des routines pour l’archivage pérenne et maintenance, tests pour mise en place de la plateforme de diffusion et de l’archivage pérenne) + création de l’entrepôt OAI &amp; maintenance.</w:t>
      </w:r>
      <w:r>
        <w:rPr>
          <w:sz w:val="24"/>
        </w:rPr>
      </w:r>
    </w:p>
    <w:p>
      <w:pPr>
        <w:pBdr/>
        <w:spacing/>
        <w:ind/>
        <w:jc w:val="both"/>
        <w:rPr>
          <w:sz w:val="24"/>
        </w:rPr>
      </w:pPr>
      <w:r>
        <w:rPr>
          <w:sz w:val="24"/>
        </w:rPr>
        <w:t xml:space="preserve">2007 : refonte du programme de numérisation de Cujas.</w:t>
      </w:r>
      <w:r>
        <w:rPr>
          <w:sz w:val="24"/>
        </w:rPr>
      </w:r>
    </w:p>
    <w:p>
      <w:pPr>
        <w:pBdr/>
        <w:spacing/>
        <w:ind/>
        <w:jc w:val="both"/>
        <w:rPr>
          <w:sz w:val="24"/>
        </w:rPr>
      </w:pPr>
      <w:r>
        <w:rPr>
          <w:sz w:val="24"/>
        </w:rPr>
        <w:t xml:space="preserve">Ce qui manque à la bibliothèque : 1 / des BDD pour suivre le processus de la numérisation à la mise en ligne.</w:t>
      </w:r>
      <w:r>
        <w:rPr>
          <w:sz w:val="24"/>
        </w:rPr>
      </w:r>
    </w:p>
    <w:p>
      <w:pPr>
        <w:pBdr/>
        <w:spacing/>
        <w:ind/>
        <w:jc w:val="both"/>
        <w:rPr>
          <w:sz w:val="24"/>
        </w:rPr>
      </w:pPr>
      <w:r>
        <w:rPr>
          <w:sz w:val="24"/>
        </w:rPr>
        <w:t xml:space="preserve">1 / des BDD pour indexation des documents. Outil de visualisation. Interface publique d’interrogation intégrée dans le SI. Compétences sur l’image numérique. </w:t>
      </w:r>
      <w:r>
        <w:rPr>
          <w:sz w:val="24"/>
        </w:rPr>
      </w:r>
    </w:p>
    <w:p>
      <w:pPr>
        <w:pBdr/>
        <w:spacing/>
        <w:ind/>
        <w:jc w:val="both"/>
        <w:rPr>
          <w:sz w:val="24"/>
        </w:rPr>
      </w:pPr>
      <w:r>
        <w:rPr>
          <w:sz w:val="24"/>
        </w:rPr>
        <w:t xml:space="preserve">Service minimum proposé</w:t>
      </w:r>
      <w:r>
        <w:rPr>
          <w:sz w:val="24"/>
        </w:rPr>
        <w:t xml:space="preserve"> :pour</w:t>
      </w:r>
      <w:r>
        <w:rPr>
          <w:sz w:val="24"/>
        </w:rPr>
        <w:t xml:space="preserve"> les documents uniquement en mode image (OCR impossible), une navigation à travers la </w:t>
      </w:r>
      <w:r>
        <w:rPr>
          <w:sz w:val="24"/>
        </w:rPr>
        <w:t xml:space="preserve">tdm</w:t>
      </w:r>
      <w:r>
        <w:rPr>
          <w:sz w:val="24"/>
        </w:rPr>
        <w:t xml:space="preserve"> saisies en </w:t>
      </w:r>
      <w:r>
        <w:rPr>
          <w:sz w:val="24"/>
        </w:rPr>
        <w:t xml:space="preserve">xml</w:t>
      </w:r>
      <w:r>
        <w:rPr>
          <w:sz w:val="24"/>
        </w:rPr>
        <w:t xml:space="preserve">, avec liens vers les pages concernées. Pour les documents en mode texte, une possibilité de recherche plein texte en plus de la navigation dans la </w:t>
      </w:r>
      <w:r>
        <w:rPr>
          <w:sz w:val="24"/>
        </w:rPr>
        <w:t xml:space="preserve">tdm</w:t>
      </w:r>
      <w:r>
        <w:rPr>
          <w:sz w:val="24"/>
        </w:rPr>
        <w:t xml:space="preserve">. </w:t>
      </w:r>
      <w:r>
        <w:rPr>
          <w:sz w:val="24"/>
        </w:rPr>
      </w:r>
    </w:p>
    <w:p>
      <w:pPr>
        <w:pBdr/>
        <w:spacing/>
        <w:ind/>
        <w:jc w:val="both"/>
        <w:rPr>
          <w:sz w:val="24"/>
        </w:rPr>
      </w:pPr>
      <w:r>
        <w:rPr>
          <w:sz w:val="24"/>
        </w:rPr>
        <w:t xml:space="preserve">Un accès direct via le SI, dans la rubrique « ouvrages numérisés » mais aussi par hyperlien depuis la notice du document papier dans le SIGB. « </w:t>
      </w:r>
      <w:r>
        <w:rPr>
          <w:sz w:val="24"/>
        </w:rPr>
        <w:t xml:space="preserve">service</w:t>
      </w:r>
      <w:r>
        <w:rPr>
          <w:sz w:val="24"/>
        </w:rPr>
        <w:t xml:space="preserve"> </w:t>
      </w:r>
      <w:r>
        <w:rPr>
          <w:sz w:val="24"/>
        </w:rPr>
        <w:t xml:space="preserve">après vente</w:t>
      </w:r>
      <w:r>
        <w:rPr>
          <w:sz w:val="24"/>
        </w:rPr>
        <w:t xml:space="preserve"> » sous forme de boîte mail : aide à la résolution des problèmes techniques, réponses aux questions et aux suggestions de titres à numériser, dialogue avec l’utilisateur.</w:t>
      </w:r>
      <w:r>
        <w:rPr>
          <w:sz w:val="24"/>
        </w:rPr>
      </w:r>
    </w:p>
    <w:p>
      <w:pPr>
        <w:pBdr/>
        <w:spacing/>
        <w:ind/>
        <w:jc w:val="both"/>
        <w:rPr>
          <w:sz w:val="24"/>
        </w:rPr>
      </w:pPr>
      <w:r>
        <w:rPr>
          <w:sz w:val="24"/>
        </w:rPr>
        <w:t xml:space="preserve">Service complémentaire : pour documents en mode image, saisie </w:t>
      </w:r>
      <w:r>
        <w:rPr>
          <w:sz w:val="24"/>
        </w:rPr>
        <w:t xml:space="preserve">xml</w:t>
      </w:r>
      <w:r>
        <w:rPr>
          <w:sz w:val="24"/>
        </w:rPr>
        <w:t xml:space="preserve"> des index, tables d’illustration</w:t>
      </w:r>
      <w:r>
        <w:rPr>
          <w:sz w:val="24"/>
        </w:rPr>
        <w:t xml:space="preserve">.</w:t>
      </w:r>
      <w:r>
        <w:rPr>
          <w:sz w:val="24"/>
        </w:rPr>
        <w:t xml:space="preserve"> </w:t>
      </w:r>
      <w:r>
        <w:rPr>
          <w:sz w:val="24"/>
        </w:rPr>
        <w:t xml:space="preserve">Pour</w:t>
      </w:r>
      <w:r>
        <w:rPr>
          <w:sz w:val="24"/>
        </w:rPr>
        <w:t xml:space="preserve"> documents </w:t>
      </w:r>
      <w:r>
        <w:rPr>
          <w:sz w:val="24"/>
        </w:rPr>
        <w:t xml:space="preserve">en mode texte, un balisage du contenu a minima sur des éléments structurants du texte (titre, sous-titres, résumés, </w:t>
      </w:r>
      <w:r>
        <w:rPr>
          <w:sz w:val="24"/>
        </w:rPr>
        <w:t xml:space="preserve">etc</w:t>
      </w:r>
      <w:r>
        <w:rPr>
          <w:sz w:val="24"/>
        </w:rPr>
        <w:t xml:space="preserve">), éventuellement sur des éléments de contenu (dates, noms propres, documents cités en référence…).</w:t>
      </w:r>
      <w:r>
        <w:rPr>
          <w:sz w:val="24"/>
        </w:rPr>
      </w:r>
    </w:p>
    <w:p>
      <w:pPr>
        <w:pBdr/>
        <w:spacing/>
        <w:ind/>
        <w:jc w:val="both"/>
        <w:rPr>
          <w:sz w:val="24"/>
        </w:rPr>
      </w:pPr>
      <w:r>
        <w:rPr>
          <w:sz w:val="24"/>
        </w:rPr>
        <w:t xml:space="preserve">Un espace « web 2.0 » : espace de travail personnel avec la possibilité d’annoter des textes, espace de travail en groupe. </w:t>
      </w:r>
      <w:r>
        <w:rPr>
          <w:sz w:val="24"/>
        </w:rPr>
      </w:r>
    </w:p>
    <w:p>
      <w:pPr>
        <w:pBdr/>
        <w:spacing/>
        <w:ind/>
        <w:jc w:val="both"/>
        <w:rPr>
          <w:sz w:val="24"/>
        </w:rPr>
      </w:pPr>
      <w:r>
        <w:rPr>
          <w:sz w:val="24"/>
        </w:rPr>
        <w:t xml:space="preserve">2006 : cadre d’alimentation de ce portail a comme but la valorisation des collections afin d’en faciliter l’accès et d’en permettre l’exploitation par l’ensemble des publics concernés</w:t>
      </w:r>
      <w:r>
        <w:rPr>
          <w:sz w:val="24"/>
        </w:rPr>
        <w:t xml:space="preserve">, grâce à la constitution d’une bibliothèque numérique de sciences juridiques, accessibles à tous gratuitement sur le web. </w:t>
      </w:r>
      <w:r>
        <w:rPr>
          <w:sz w:val="24"/>
        </w:rPr>
      </w:r>
    </w:p>
    <w:p>
      <w:pPr>
        <w:pBdr/>
        <w:spacing/>
        <w:ind/>
        <w:jc w:val="both"/>
        <w:rPr>
          <w:sz w:val="24"/>
        </w:rPr>
      </w:pPr>
      <w:r>
        <w:rPr>
          <w:sz w:val="24"/>
        </w:rPr>
        <w:t xml:space="preserve">But : offrir </w:t>
      </w:r>
      <w:r>
        <w:rPr>
          <w:sz w:val="24"/>
        </w:rPr>
        <w:t xml:space="preserve">un outil de travail performant pour les étudiants, les enseignants et les chercheurs. Bibliothèque numérique : corpus patrimonial et spécialisé homogène et cohérent, sélectionné pour favoriser l’enseignement, l’étude et la recherche en sciences juridiques.</w:t>
      </w:r>
      <w:r>
        <w:rPr>
          <w:sz w:val="24"/>
        </w:rPr>
      </w:r>
    </w:p>
    <w:p>
      <w:pPr>
        <w:pBdr/>
        <w:spacing/>
        <w:ind/>
        <w:jc w:val="both"/>
        <w:rPr>
          <w:sz w:val="24"/>
        </w:rPr>
      </w:pPr>
      <w:r>
        <w:rPr>
          <w:sz w:val="24"/>
        </w:rPr>
        <w:t xml:space="preserve">Enjeux : favoriser l’étude et la recherche en sciences juridiques, en facilitant l’accès à l’information. Apporter du contenu au système d’information de la bibliothèque af</w:t>
      </w:r>
      <w:r>
        <w:rPr>
          <w:sz w:val="24"/>
        </w:rPr>
        <w:t xml:space="preserve">in qu’il devienne un outil de travail performant pour l’ensemble des publics intéressés. Protéger les collections de la BIU Cujas tout en accroissant leur utilisation. Valoriser les collections de la BIU Cujas en les rendant accessibles plus facilement, en</w:t>
      </w:r>
      <w:r>
        <w:rPr>
          <w:sz w:val="24"/>
        </w:rPr>
        <w:t xml:space="preserve"> permanence et à distance. Signaler et donner accès au plus grand nombre possible de documents juridiques numérisés, en France et à l’étranger, en favorisant l’interopérabilité des données. Accroître la visibilité du droit français en profitant d’Internet.</w:t>
      </w:r>
      <w:r>
        <w:rPr>
          <w:sz w:val="24"/>
        </w:rPr>
      </w:r>
    </w:p>
    <w:p>
      <w:pPr>
        <w:pBdr/>
        <w:spacing/>
        <w:ind/>
        <w:jc w:val="both"/>
        <w:rPr>
          <w:sz w:val="24"/>
        </w:rPr>
      </w:pPr>
      <w:r>
        <w:rPr>
          <w:sz w:val="24"/>
        </w:rPr>
        <w:t xml:space="preserve">Exploitation du corpus : bibliothèque numérique juridique (ou dont les droits auront été accordé</w:t>
      </w:r>
      <w:r>
        <w:rPr>
          <w:sz w:val="24"/>
        </w:rPr>
        <w:t xml:space="preserve">s) imprimables et téléchargeables pour un usage privé. Mode consultation et utilisation du corpus : correspondre aux besoins de la recherche. Accès aux documents numérisés : possible de plusieurs manières et le plus largement possible (catalogue en ligne, </w:t>
      </w:r>
      <w:r>
        <w:rPr>
          <w:sz w:val="24"/>
        </w:rPr>
        <w:t xml:space="preserve">métamoteur</w:t>
      </w:r>
      <w:r>
        <w:rPr>
          <w:sz w:val="24"/>
        </w:rPr>
        <w:t xml:space="preserve"> du système d’information de la bibliothèque, mise en place d’un data provider </w:t>
      </w:r>
      <w:r>
        <w:rPr>
          <w:sz w:val="24"/>
        </w:rPr>
        <w:t xml:space="preserve">OAI = exposer les documents numériques aux moissonneurs OAI sur le web). Combo mode image + mode texte.</w:t>
      </w:r>
      <w:r>
        <w:rPr>
          <w:sz w:val="24"/>
        </w:rPr>
      </w:r>
    </w:p>
    <w:p>
      <w:pPr>
        <w:pBdr/>
        <w:spacing/>
        <w:ind/>
        <w:jc w:val="both"/>
        <w:rPr>
          <w:sz w:val="24"/>
        </w:rPr>
      </w:pPr>
      <w:r>
        <w:rPr>
          <w:sz w:val="24"/>
        </w:rPr>
        <w:t xml:space="preserve">Politique documentaire : mise en ligne de collections entrées dans le domaine public, échappant ainsi aux contraintes du droit d’auteur, possible de réaliser la mise en ligne </w:t>
      </w:r>
      <w:r>
        <w:rPr>
          <w:sz w:val="24"/>
        </w:rPr>
        <w:t xml:space="preserve">de publications récentes avec l’accord de l’éditeur du titre et la non-opposition des auteurs d’articles. Œuvre</w:t>
      </w:r>
      <w:r>
        <w:rPr>
          <w:sz w:val="24"/>
        </w:rPr>
        <w:t xml:space="preserve"> à défendre la francophonie et proposer une alternative à la prédominance de la langue anglaise sur le web. Existence de métadonnées indispensable techniquement pour la numérisation et la mise en ligne, visibilité plus large, plupart des consultations sur </w:t>
      </w:r>
      <w:r>
        <w:rPr>
          <w:sz w:val="24"/>
        </w:rPr>
        <w:t xml:space="preserve">Gallica</w:t>
      </w:r>
      <w:r>
        <w:rPr>
          <w:sz w:val="24"/>
        </w:rPr>
        <w:t xml:space="preserve"> sont issues de renvois depuis les grands moteurs de recherche web, ces derniers interrogeant les données des notices de </w:t>
      </w:r>
      <w:r>
        <w:rPr>
          <w:sz w:val="24"/>
        </w:rPr>
        <w:t xml:space="preserve">Gallica</w:t>
      </w:r>
      <w:r>
        <w:rPr>
          <w:sz w:val="24"/>
        </w:rPr>
        <w:t xml:space="preserve"> et du Catalogue générale de la BNF. </w:t>
      </w:r>
      <w:r>
        <w:rPr>
          <w:sz w:val="24"/>
        </w:rPr>
      </w:r>
    </w:p>
    <w:p>
      <w:pPr>
        <w:pBdr/>
        <w:spacing/>
        <w:ind/>
        <w:jc w:val="both"/>
        <w:rPr>
          <w:sz w:val="24"/>
        </w:rPr>
      </w:pPr>
      <w:r>
        <w:rPr>
          <w:sz w:val="24"/>
        </w:rPr>
        <w:t xml:space="preserve">Juridissima</w:t>
      </w:r>
      <w:r>
        <w:rPr>
          <w:sz w:val="24"/>
        </w:rPr>
        <w:t xml:space="preserve"> : objet documentaire et de recherche construit sur un réseau de bibliothécaires experts et d’enseignants-chercheurs et chercheurs en sciences juridiques. </w:t>
      </w:r>
      <w:r>
        <w:rPr>
          <w:sz w:val="24"/>
        </w:rPr>
      </w:r>
    </w:p>
    <w:p>
      <w:pPr>
        <w:pBdr/>
        <w:spacing/>
        <w:ind/>
        <w:jc w:val="both"/>
        <w:rPr>
          <w:sz w:val="24"/>
        </w:rPr>
      </w:pPr>
      <w:r>
        <w:rPr>
          <w:sz w:val="24"/>
        </w:rPr>
        <w:t xml:space="preserve">Objectifs : offrir un portail juridique national à vocation documentaire. Proposer </w:t>
      </w:r>
      <w:r>
        <w:rPr>
          <w:sz w:val="24"/>
        </w:rPr>
        <w:t xml:space="preserve">une plateforme intégratrice de métadonnées ouvertes en sciences juridiques. Développer une offre de services contrés sur les sciences juridiques. Fédérer un réseau de bibliothèques juridiques dans et hors de l’ESR.</w:t>
      </w:r>
      <w:r>
        <w:rPr>
          <w:sz w:val="24"/>
        </w:rPr>
      </w:r>
    </w:p>
    <w:p>
      <w:pPr>
        <w:pBdr/>
        <w:spacing/>
        <w:ind/>
        <w:jc w:val="both"/>
        <w:rPr>
          <w:sz w:val="24"/>
        </w:rPr>
      </w:pPr>
      <w:r>
        <w:rPr>
          <w:sz w:val="24"/>
        </w:rPr>
        <w:t xml:space="preserve">But : fédérer les forces et les moyens pour le développement de services aux chercheurs dans le domaine juridique, il développe et renforce une expertise répartie au sein d’un réseau avec la double compétence bibliothéconomique et juridique.</w:t>
      </w:r>
      <w:r>
        <w:rPr>
          <w:sz w:val="24"/>
        </w:rPr>
      </w:r>
    </w:p>
    <w:p>
      <w:pPr>
        <w:pBdr/>
        <w:spacing/>
        <w:ind/>
        <w:jc w:val="both"/>
        <w:rPr>
          <w:sz w:val="24"/>
        </w:rPr>
      </w:pPr>
      <w:r>
        <w:rPr>
          <w:sz w:val="24"/>
        </w:rPr>
        <w:t xml:space="preserve">3 programmes nationaux : signalement et cartographie, numérisation et acquisition de ressources documentaires numériques.</w:t>
      </w:r>
      <w:r>
        <w:rPr>
          <w:sz w:val="24"/>
        </w:rPr>
      </w:r>
    </w:p>
    <w:p>
      <w:pPr>
        <w:pBdr/>
        <w:spacing/>
        <w:ind/>
        <w:jc w:val="both"/>
        <w:rPr>
          <w:sz w:val="24"/>
        </w:rPr>
      </w:pPr>
      <w:r>
        <w:rPr>
          <w:sz w:val="24"/>
        </w:rPr>
        <w:t xml:space="preserve">Pourquoi développer une nouvelle infrastructure ? questionnements : quels sont les bénéfices attendus pour les utilisateurs et pour les producteurs d’informations ? quelle est la viabilité à moyen et long terme de ce type d’approche ? </w:t>
      </w:r>
      <w:r>
        <w:rPr>
          <w:sz w:val="24"/>
        </w:rPr>
      </w:r>
    </w:p>
    <w:p>
      <w:pPr>
        <w:pBdr/>
        <w:spacing/>
        <w:ind/>
        <w:jc w:val="both"/>
        <w:rPr>
          <w:sz w:val="24"/>
        </w:rPr>
      </w:pPr>
      <w:r>
        <w:rPr>
          <w:sz w:val="24"/>
        </w:rPr>
        <w:t xml:space="preserve">Sens d’une infrastructure : off</w:t>
      </w:r>
      <w:r>
        <w:rPr>
          <w:sz w:val="24"/>
        </w:rPr>
        <w:t xml:space="preserve">rir un service qui n’est pas rendu ailleurs, plus le service est essentiel plus l’infrastructure est légitime et utile, porteuse d’innovations. Fédérer des services et des ressources similaires, pour passer d’une logique de desserte locale ou sectorielle à</w:t>
      </w:r>
      <w:r>
        <w:rPr>
          <w:sz w:val="24"/>
        </w:rPr>
        <w:t xml:space="preserve"> une desserte plus importante plus large. Changement d’échelle : mutualisation des moyens, regrouper les acteurs et assurer un développement de l’efficience du dispositif. Garantir et favoriser la réutilisation de la production (métadonnées, informations, </w:t>
      </w:r>
      <w:r>
        <w:rPr>
          <w:sz w:val="24"/>
        </w:rPr>
        <w:t xml:space="preserve">services, etc…) en renforçant l’accessibilité, l’interopérabilité et la visibilité. Assurer la pérennité des dispositifs mis en place ne s’appuyant sur une organisation sociale constituée de partenaires investis d’une mission, agissant au sein d’un réseau.</w:t>
      </w:r>
      <w:r>
        <w:rPr>
          <w:sz w:val="24"/>
        </w:rPr>
      </w:r>
    </w:p>
    <w:p>
      <w:pPr>
        <w:pBdr/>
        <w:spacing/>
        <w:ind/>
        <w:jc w:val="both"/>
        <w:rPr>
          <w:sz w:val="24"/>
        </w:rPr>
      </w:pPr>
      <w:r>
        <w:rPr>
          <w:sz w:val="24"/>
        </w:rPr>
        <w:t xml:space="preserve">Ambition de </w:t>
      </w:r>
      <w:r>
        <w:rPr>
          <w:sz w:val="24"/>
        </w:rPr>
        <w:t xml:space="preserve">Juridissima</w:t>
      </w:r>
      <w:r>
        <w:rPr>
          <w:sz w:val="24"/>
        </w:rPr>
        <w:t xml:space="preserve"> : un dispositif d’identification des ressources documentaires j</w:t>
      </w:r>
      <w:r>
        <w:rPr>
          <w:sz w:val="24"/>
        </w:rPr>
        <w:t xml:space="preserve">uridiques avec un large spectre en termes de nature des entités décrites, allant au-delà des seules publications. Une plateforme d’agrégation de ressources et de productions actuellement disséminées et reposant sur des initiatives locale ou nationale avec </w:t>
      </w:r>
      <w:r>
        <w:rPr>
          <w:sz w:val="24"/>
        </w:rPr>
        <w:t xml:space="preserve">des moyens limités et souvent non connectées avec d’autres initiatives du même type. Une plateforme nativement pensée pour être ouverte techniquement et juridiquement. Un dispositif construit dès son origine sur un réseau de contributeur afin d’assurer la </w:t>
      </w:r>
      <w:r>
        <w:rPr>
          <w:sz w:val="24"/>
        </w:rPr>
        <w:t xml:space="preserve">dissémation</w:t>
      </w:r>
      <w:r>
        <w:rPr>
          <w:sz w:val="24"/>
        </w:rPr>
        <w:t xml:space="preserve"> et la pérennité.</w:t>
      </w:r>
      <w:r>
        <w:rPr>
          <w:sz w:val="24"/>
        </w:rPr>
      </w:r>
    </w:p>
    <w:p>
      <w:pPr>
        <w:pBdr/>
        <w:spacing/>
        <w:ind/>
        <w:jc w:val="both"/>
        <w:rPr>
          <w:sz w:val="24"/>
        </w:rPr>
      </w:pPr>
      <w:r>
        <w:rPr>
          <w:sz w:val="24"/>
        </w:rPr>
        <w:t xml:space="preserve">3 niveaux à différencier : base =&gt; ensemble </w:t>
      </w:r>
      <w:r>
        <w:rPr>
          <w:sz w:val="24"/>
        </w:rPr>
        <w:t xml:space="preserve">de métadonnées, sur un socle technique permettant de gérer l’hétérogénéité des entités décrites, tout en permettant la production de services construits sur des sous-ensembles de métadonnées homogènes.</w:t>
      </w:r>
      <w:r>
        <w:rPr>
          <w:sz w:val="24"/>
        </w:rPr>
      </w:r>
    </w:p>
    <w:p>
      <w:pPr>
        <w:pBdr/>
        <w:spacing/>
        <w:ind/>
        <w:jc w:val="both"/>
        <w:rPr>
          <w:sz w:val="24"/>
        </w:rPr>
      </w:pPr>
      <w:r>
        <w:rPr>
          <w:sz w:val="24"/>
        </w:rPr>
        <w:t xml:space="preserve">Formats utilisés : exploiter les données de la base en fonction des services à produire. Infrastructure technique qui gèrera la</w:t>
      </w:r>
      <w:r>
        <w:rPr>
          <w:sz w:val="24"/>
        </w:rPr>
        <w:t xml:space="preserve"> base et reposera sur une solution logicielle de base de données, de préférence utilisant des logiciels open source adossés à une communauté solide. Ces ensembles seront décrits en s’appuyant sur un format pivot utilisant les formats existants dans l’unive</w:t>
      </w:r>
      <w:r>
        <w:rPr>
          <w:sz w:val="24"/>
        </w:rPr>
        <w:t xml:space="preserve">rs de la documentation. Ce format pivot sera un format structuré XML, qui permet de garder la richesse des formats d’origine et d’y associer la souplesse permettant de les réunir. Les métadonnées doivent d’un point de vue technique, être stockées dans une </w:t>
      </w:r>
      <w:r>
        <w:rPr>
          <w:sz w:val="24"/>
        </w:rPr>
        <w:t xml:space="preserve">bdd</w:t>
      </w:r>
      <w:r>
        <w:rPr>
          <w:sz w:val="24"/>
        </w:rPr>
        <w:t xml:space="preserve">. Une indexation à trois niveaux sera proposée : ontologie en sciences juridiques, descripteurs en langage documentaire RAMEAU, indexation uniterme </w:t>
      </w:r>
      <w:r>
        <w:rPr>
          <w:sz w:val="24"/>
        </w:rPr>
        <w:t xml:space="preserve">contrôlée pour identifier les thèmes pointus et émergents. Volonté d’améliorer l’identification des ressources, de lier ces ressources entre elles. Liens : établir des connaissances nouvelles = réseaux de sociabilité des chercheurs en sciences juridiques. </w:t>
      </w:r>
      <w:r>
        <w:rPr>
          <w:sz w:val="24"/>
        </w:rPr>
      </w:r>
    </w:p>
    <w:p>
      <w:pPr>
        <w:pBdr/>
        <w:spacing/>
        <w:ind/>
        <w:jc w:val="both"/>
        <w:rPr>
          <w:sz w:val="24"/>
        </w:rPr>
      </w:pPr>
      <w:r>
        <w:rPr>
          <w:sz w:val="24"/>
        </w:rPr>
        <w:t xml:space="preserve">3 projets envisagés : JURIS-MEL =&gt; création d’une base nationale des mélanges en sciences juridiques</w:t>
      </w:r>
      <w:r>
        <w:rPr>
          <w:sz w:val="24"/>
        </w:rPr>
      </w:r>
    </w:p>
    <w:p>
      <w:pPr>
        <w:pBdr/>
        <w:spacing/>
        <w:ind/>
        <w:jc w:val="both"/>
        <w:rPr>
          <w:sz w:val="24"/>
        </w:rPr>
      </w:pPr>
      <w:r>
        <w:rPr>
          <w:sz w:val="24"/>
        </w:rPr>
        <w:t xml:space="preserve">JURIS-TOC =&gt; création d’un service de diffusion de table des matières en droit </w:t>
      </w:r>
      <w:r>
        <w:rPr>
          <w:sz w:val="24"/>
        </w:rPr>
      </w:r>
    </w:p>
    <w:p>
      <w:pPr>
        <w:pBdr/>
        <w:spacing/>
        <w:ind/>
        <w:jc w:val="both"/>
        <w:rPr>
          <w:sz w:val="24"/>
        </w:rPr>
      </w:pPr>
      <w:r>
        <w:rPr>
          <w:sz w:val="24"/>
        </w:rPr>
        <w:t xml:space="preserve">JURIS-THESES =&gt; l’enrichissement du catalogage des microfiches de thèses.</w:t>
      </w:r>
      <w:r>
        <w:rPr>
          <w:sz w:val="24"/>
        </w:rPr>
      </w:r>
    </w:p>
    <w:p>
      <w:pPr>
        <w:pBdr/>
        <w:spacing/>
        <w:ind/>
        <w:jc w:val="both"/>
        <w:rPr>
          <w:sz w:val="24"/>
        </w:rPr>
      </w:pPr>
      <w:r>
        <w:rPr>
          <w:sz w:val="24"/>
        </w:rPr>
        <w:t xml:space="preserve">JURIS-MEL : description scientifique</w:t>
      </w:r>
      <w:r>
        <w:rPr>
          <w:sz w:val="24"/>
        </w:rPr>
      </w:r>
    </w:p>
    <w:p>
      <w:pPr>
        <w:pBdr/>
        <w:spacing/>
        <w:ind/>
        <w:jc w:val="both"/>
        <w:rPr>
          <w:sz w:val="24"/>
        </w:rPr>
      </w:pPr>
      <w:r>
        <w:rPr>
          <w:sz w:val="24"/>
        </w:rPr>
        <w:t xml:space="preserve">Les o</w:t>
      </w:r>
      <w:r>
        <w:rPr>
          <w:sz w:val="24"/>
        </w:rPr>
        <w:t xml:space="preserve">uvrages collectifs et singulièrement les mélanges et hommages constituent en sciences juridiques, un type de document particulièrement apprécié et utile pour l’activité de recherche. Le programme proposé vise à développer une base nationale de signalement </w:t>
      </w:r>
      <w:r>
        <w:rPr>
          <w:sz w:val="24"/>
        </w:rPr>
        <w:t xml:space="preserve">des mélanges</w:t>
      </w:r>
      <w:r>
        <w:rPr>
          <w:sz w:val="24"/>
        </w:rPr>
        <w:t xml:space="preserve"> alimentées par un réseau constitué de bibliothèques juridiques ou ayant une section juridique. Cette base pourra aussi être alimentée par des métadonnées fournies par les éditeurs eux-mêmes, si une collaboration de ce type peut se mettre en place. Base : </w:t>
      </w:r>
      <w:r>
        <w:rPr>
          <w:sz w:val="24"/>
        </w:rPr>
        <w:t xml:space="preserve">portail et</w:t>
      </w:r>
      <w:r>
        <w:rPr>
          <w:sz w:val="24"/>
        </w:rPr>
        <w:t xml:space="preserve"> plateforme. Portail : offrir un point d’accès </w:t>
      </w:r>
      <w:r>
        <w:rPr>
          <w:sz w:val="24"/>
        </w:rPr>
        <w:t xml:space="preserve">public aux usagers sans aucune entrave, la plateforme vise à diffuser les </w:t>
      </w:r>
      <w:r>
        <w:rPr>
          <w:sz w:val="24"/>
        </w:rPr>
        <w:t xml:space="preserve">métadonnées à d’autres systèmes d’information documentaire (catalogues de bibliothèques, outils de découverte), aux fournisseurs d’outils de découverte, aux moteurs de recherche. Basé sur la production par l’ABES : lien avec les notices SUDOC, utilisation </w:t>
      </w:r>
      <w:r>
        <w:rPr>
          <w:sz w:val="24"/>
        </w:rPr>
        <w:t xml:space="preserve">du référentiel </w:t>
      </w:r>
      <w:r>
        <w:rPr>
          <w:sz w:val="24"/>
        </w:rPr>
        <w:t xml:space="preserve">IdRef</w:t>
      </w:r>
      <w:r>
        <w:rPr>
          <w:sz w:val="24"/>
        </w:rPr>
        <w:t xml:space="preserve">, reversement des contenus produits dans </w:t>
      </w:r>
      <w:r>
        <w:rPr>
          <w:sz w:val="24"/>
        </w:rPr>
        <w:t xml:space="preserve">scienceplus</w:t>
      </w:r>
      <w:r>
        <w:rPr>
          <w:sz w:val="24"/>
        </w:rPr>
        <w:t xml:space="preserve"> afin d’assurer la redistribution des métadonnées vers d’autres systèmes d’information.</w:t>
      </w:r>
      <w:r>
        <w:rPr>
          <w:sz w:val="24"/>
        </w:rPr>
      </w:r>
    </w:p>
    <w:p>
      <w:pPr>
        <w:pBdr/>
        <w:spacing/>
        <w:ind/>
        <w:jc w:val="both"/>
        <w:rPr>
          <w:sz w:val="24"/>
        </w:rPr>
      </w:pPr>
      <w:r>
        <w:rPr>
          <w:sz w:val="24"/>
        </w:rPr>
        <w:t xml:space="preserve">Les métadonnées produit</w:t>
      </w:r>
      <w:r>
        <w:rPr>
          <w:sz w:val="24"/>
        </w:rPr>
        <w:t xml:space="preserve">es pourront être liées à d’autres métadonnées disponibles afin de produire des outils de visualisation des liens de sociabilité de la communauté juridique à travers l’activité de publication. Intérêt scientifique du projet : identification et localisation </w:t>
      </w:r>
      <w:r>
        <w:rPr>
          <w:sz w:val="24"/>
        </w:rPr>
        <w:t xml:space="preserve">de ressources documentaires essentielles actuellement peu visibles, production de connaissances nouvelles permettant d’identifier les liens au sein de la communauté juridique et entre les documents, développement d’outils de datamining et de visualisation.</w:t>
      </w:r>
      <w:r>
        <w:rPr>
          <w:sz w:val="24"/>
        </w:rPr>
      </w:r>
    </w:p>
    <w:p>
      <w:pPr>
        <w:pBdr/>
        <w:spacing/>
        <w:ind/>
        <w:jc w:val="both"/>
        <w:rPr>
          <w:sz w:val="24"/>
        </w:rPr>
      </w:pPr>
      <w:r>
        <w:rPr>
          <w:sz w:val="24"/>
        </w:rPr>
        <w:t xml:space="preserve">Juris</w:t>
      </w:r>
      <w:r>
        <w:rPr>
          <w:sz w:val="24"/>
        </w:rPr>
        <w:t xml:space="preserve">-TOC : description scientifique du programme</w:t>
      </w:r>
      <w:r>
        <w:rPr>
          <w:sz w:val="24"/>
        </w:rPr>
      </w:r>
    </w:p>
    <w:p>
      <w:pPr>
        <w:pBdr/>
        <w:spacing/>
        <w:ind/>
        <w:jc w:val="both"/>
        <w:rPr>
          <w:sz w:val="24"/>
        </w:rPr>
      </w:pPr>
      <w:r>
        <w:rPr>
          <w:sz w:val="24"/>
        </w:rPr>
        <w:t xml:space="preserve">Projet : collecter les métadonnées descriptive</w:t>
      </w:r>
      <w:r>
        <w:rPr>
          <w:sz w:val="24"/>
        </w:rPr>
        <w:t xml:space="preserve">s des contenus des revues en sciences juridiques afin de permettre : le signalement des articles de ces revues qui sont relativement peu ou pas présents dans les index des fournisseurs d’outils de découverte, le développement d’un service de génération de </w:t>
      </w:r>
      <w:r>
        <w:rPr>
          <w:sz w:val="24"/>
        </w:rPr>
        <w:t xml:space="preserve">tdm</w:t>
      </w:r>
      <w:r>
        <w:rPr>
          <w:sz w:val="24"/>
        </w:rPr>
        <w:t xml:space="preserve">, permettant d’offrir un service d’alerte sur un profil et une consultation aisée de la production éditoriale dans ces domaines.</w:t>
      </w:r>
      <w:r>
        <w:rPr>
          <w:sz w:val="24"/>
        </w:rPr>
      </w:r>
    </w:p>
    <w:p>
      <w:pPr>
        <w:pBdr/>
        <w:spacing/>
        <w:ind/>
        <w:jc w:val="both"/>
        <w:rPr>
          <w:sz w:val="24"/>
        </w:rPr>
      </w:pPr>
      <w:r>
        <w:rPr>
          <w:sz w:val="24"/>
        </w:rPr>
        <w:t xml:space="preserve">JURIS-THESES : description scientifique du programme </w:t>
      </w:r>
      <w:r>
        <w:rPr>
          <w:sz w:val="24"/>
        </w:rPr>
      </w:r>
    </w:p>
    <w:p>
      <w:pPr>
        <w:pBdr/>
        <w:spacing/>
        <w:ind/>
        <w:jc w:val="both"/>
        <w:rPr>
          <w:sz w:val="24"/>
        </w:rPr>
      </w:pPr>
      <w:r>
        <w:rPr>
          <w:sz w:val="24"/>
        </w:rPr>
        <w:t xml:space="preserve">Intégration et renforcement du projet national de numérisation rétrospective : signalement des thèses </w:t>
      </w:r>
      <w:r>
        <w:rPr>
          <w:sz w:val="24"/>
        </w:rPr>
        <w:t xml:space="preserve">microfichées</w:t>
      </w:r>
      <w:r>
        <w:rPr>
          <w:sz w:val="24"/>
        </w:rPr>
        <w:t xml:space="preserve"> de la BIU Cujas dans le SUDOC (phase 1), puis des thèses papiers (phase 2).</w:t>
      </w:r>
      <w:r>
        <w:rPr>
          <w:sz w:val="24"/>
        </w:rPr>
      </w:r>
    </w:p>
    <w:p>
      <w:pPr>
        <w:pBdr/>
        <w:spacing/>
        <w:ind/>
        <w:jc w:val="both"/>
        <w:rPr>
          <w:sz w:val="24"/>
        </w:rPr>
      </w:pPr>
      <w:r>
        <w:rPr>
          <w:sz w:val="24"/>
        </w:rPr>
        <w:t xml:space="preserve">Juris</w:t>
      </w:r>
      <w:r>
        <w:rPr>
          <w:sz w:val="24"/>
        </w:rPr>
        <w:t xml:space="preserve">-PLUS : dispositif de signalement mutualisé d’objet non documentaires en sciences juridiques.</w:t>
      </w:r>
      <w:r>
        <w:rPr>
          <w:sz w:val="24"/>
        </w:rPr>
      </w:r>
    </w:p>
    <w:p>
      <w:pPr>
        <w:pBdr/>
        <w:spacing/>
        <w:ind/>
        <w:jc w:val="both"/>
        <w:rPr>
          <w:sz w:val="24"/>
        </w:rPr>
      </w:pPr>
      <w:r>
        <w:rPr>
          <w:sz w:val="24"/>
        </w:rPr>
        <w:t xml:space="preserve">Le sous-programme vise à référencer dans une démarche collective et mutualisée, un ensemble d’objets non documentaires au sens strict, tout en les insérant dans une logique de traitement documentair</w:t>
      </w:r>
      <w:r>
        <w:rPr>
          <w:sz w:val="24"/>
        </w:rPr>
        <w:t xml:space="preserve">es en termes de référencement et d’enrichissement des métadonnées. L’objectif est de mettre à disposition du public visé (étudiants, chercheurs mais aussi professionnels des bibliothèques, grands public) un annuaire régulièrement actualisé de signets gratu</w:t>
      </w:r>
      <w:r>
        <w:rPr>
          <w:sz w:val="24"/>
        </w:rPr>
        <w:t xml:space="preserve">its dans le domaine des science</w:t>
      </w:r>
      <w:r>
        <w:rPr>
          <w:sz w:val="24"/>
        </w:rPr>
        <w:t xml:space="preserve">s</w:t>
      </w:r>
      <w:r>
        <w:rPr>
          <w:sz w:val="24"/>
        </w:rPr>
        <w:t xml:space="preserve"> </w:t>
      </w:r>
      <w:r>
        <w:rPr>
          <w:sz w:val="24"/>
        </w:rPr>
        <w:t xml:space="preserve">juridiques sur un mode collaboratif avec des notices intégrables dans les systèmes d’information et des rebonds possibles vers d’autres ressources (ex : </w:t>
      </w:r>
      <w:r>
        <w:rPr>
          <w:sz w:val="24"/>
        </w:rPr>
        <w:t xml:space="preserve">Jurisguide</w:t>
      </w:r>
      <w:r>
        <w:rPr>
          <w:sz w:val="24"/>
        </w:rPr>
        <w:t xml:space="preserve">, </w:t>
      </w:r>
      <w:r>
        <w:rPr>
          <w:sz w:val="24"/>
        </w:rPr>
        <w:t xml:space="preserve">Moocs</w:t>
      </w:r>
      <w:r>
        <w:rPr>
          <w:sz w:val="24"/>
        </w:rPr>
        <w:t xml:space="preserve">…).</w:t>
      </w:r>
      <w:r>
        <w:rPr>
          <w:sz w:val="24"/>
        </w:rPr>
      </w:r>
    </w:p>
    <w:p>
      <w:pPr>
        <w:pBdr/>
        <w:spacing/>
        <w:ind/>
        <w:jc w:val="both"/>
        <w:rPr>
          <w:sz w:val="24"/>
        </w:rPr>
      </w:pPr>
      <w:r>
        <w:rPr>
          <w:sz w:val="24"/>
        </w:rPr>
        <w:t xml:space="preserve">Les actions de ce chantier consisteraient en un volet organisationnel et un volet technique : </w:t>
      </w:r>
      <w:r>
        <w:rPr>
          <w:sz w:val="24"/>
        </w:rPr>
      </w:r>
    </w:p>
    <w:p>
      <w:pPr>
        <w:pStyle w:val="670"/>
        <w:numPr>
          <w:ilvl w:val="0"/>
          <w:numId w:val="1"/>
        </w:numPr>
        <w:pBdr/>
        <w:spacing/>
        <w:ind/>
        <w:jc w:val="both"/>
        <w:rPr>
          <w:sz w:val="24"/>
        </w:rPr>
      </w:pPr>
      <w:r>
        <w:rPr>
          <w:sz w:val="24"/>
        </w:rPr>
        <w:t xml:space="preserve">Mettre en place un réseau de veille partagée </w:t>
      </w:r>
      <w:r>
        <w:rPr>
          <w:sz w:val="24"/>
        </w:rPr>
        <w:t xml:space="preserve">dans le domaine juridique avec une spécialisation sur des thématiques précises. Il s’agit de formaliser la ligne éditoriale de la base. </w:t>
      </w:r>
      <w:r>
        <w:rPr>
          <w:sz w:val="24"/>
        </w:rPr>
      </w:r>
    </w:p>
    <w:p>
      <w:pPr>
        <w:pStyle w:val="670"/>
        <w:numPr>
          <w:ilvl w:val="0"/>
          <w:numId w:val="1"/>
        </w:numPr>
        <w:pBdr/>
        <w:spacing/>
        <w:ind/>
        <w:jc w:val="both"/>
        <w:rPr>
          <w:sz w:val="24"/>
        </w:rPr>
      </w:pPr>
      <w:r>
        <w:rPr>
          <w:sz w:val="24"/>
        </w:rPr>
        <w:t xml:space="preserve">Mise en place d’un outil informatique permettant la saisie collaborative, le signalement et la sauvegarde de la base de signets. La base des signets pourrait alors avantageusement rejoindre le </w:t>
      </w:r>
      <w:r>
        <w:rPr>
          <w:sz w:val="24"/>
        </w:rPr>
        <w:t xml:space="preserve">Jurisguide</w:t>
      </w:r>
      <w:r>
        <w:rPr>
          <w:sz w:val="24"/>
        </w:rPr>
        <w:t xml:space="preserve">, en apportant un volet supplémentaire de recueil d’information. La base constituant un nouveau gisement de métadonnées qui seront ensuite liées à d’autres gisements.</w:t>
      </w:r>
      <w:r>
        <w:rPr>
          <w:sz w:val="24"/>
        </w:rPr>
      </w:r>
    </w:p>
    <w:p>
      <w:pPr>
        <w:pBdr/>
        <w:spacing/>
        <w:ind/>
        <w:jc w:val="both"/>
        <w:rPr>
          <w:sz w:val="24"/>
        </w:rPr>
      </w:pPr>
      <w:r>
        <w:rPr>
          <w:sz w:val="24"/>
        </w:rPr>
        <w:t xml:space="preserve">JURIS-SO : programme de renforcement des dispositifs de science ouverte en sciences juridiques : </w:t>
      </w:r>
      <w:r>
        <w:rPr>
          <w:sz w:val="24"/>
        </w:rPr>
      </w:r>
    </w:p>
    <w:p>
      <w:pPr>
        <w:pBdr/>
        <w:spacing/>
        <w:ind/>
        <w:jc w:val="both"/>
        <w:rPr>
          <w:sz w:val="24"/>
        </w:rPr>
      </w:pPr>
      <w:r>
        <w:rPr>
          <w:sz w:val="24"/>
        </w:rPr>
        <w:t xml:space="preserve">Ce sous-programme aborde la science ouverte sous l’angle disciplinaire avec trois volets : </w:t>
      </w:r>
      <w:r>
        <w:rPr>
          <w:sz w:val="24"/>
        </w:rPr>
      </w:r>
    </w:p>
    <w:p>
      <w:pPr>
        <w:pStyle w:val="670"/>
        <w:numPr>
          <w:ilvl w:val="0"/>
          <w:numId w:val="1"/>
        </w:numPr>
        <w:pBdr/>
        <w:spacing/>
        <w:ind/>
        <w:jc w:val="both"/>
        <w:rPr>
          <w:sz w:val="24"/>
        </w:rPr>
      </w:pPr>
      <w:r>
        <w:rPr>
          <w:sz w:val="24"/>
        </w:rPr>
        <w:t xml:space="preserve">L’ouverture des écrits sci</w:t>
      </w:r>
      <w:r>
        <w:rPr>
          <w:sz w:val="24"/>
        </w:rPr>
        <w:t xml:space="preserve">entifiques, sachant que les publications du secteur juridique sont spécifiques et ne répondent pas aux mêmes règles et usages que les autres domaines scientifiques, la majorité des auteurs étant rémunérés par les éditeurs pour leur activité de publication.</w:t>
      </w:r>
      <w:r>
        <w:rPr>
          <w:sz w:val="24"/>
        </w:rPr>
      </w:r>
    </w:p>
    <w:p>
      <w:pPr>
        <w:pStyle w:val="670"/>
        <w:numPr>
          <w:ilvl w:val="0"/>
          <w:numId w:val="1"/>
        </w:numPr>
        <w:pBdr/>
        <w:spacing/>
        <w:ind/>
        <w:jc w:val="both"/>
        <w:rPr>
          <w:sz w:val="24"/>
        </w:rPr>
      </w:pPr>
      <w:r>
        <w:rPr>
          <w:sz w:val="24"/>
        </w:rPr>
        <w:t xml:space="preserve">Les données de la recherche, là encore le secteur juridique est particulier et partage des points communs avec une partie des humanités. Les données de la recherche sont en très grande partie des corpus de documents, édités ou pas.</w:t>
      </w:r>
      <w:r>
        <w:rPr>
          <w:sz w:val="24"/>
        </w:rPr>
      </w:r>
    </w:p>
    <w:p>
      <w:pPr>
        <w:pStyle w:val="670"/>
        <w:numPr>
          <w:ilvl w:val="0"/>
          <w:numId w:val="1"/>
        </w:numPr>
        <w:pBdr/>
        <w:spacing/>
        <w:ind/>
        <w:jc w:val="both"/>
        <w:rPr>
          <w:sz w:val="24"/>
        </w:rPr>
      </w:pPr>
      <w:r>
        <w:rPr>
          <w:sz w:val="24"/>
        </w:rPr>
        <w:t xml:space="preserve">L’édition juridique ouverte possède aussi un fort volant de spécificités. L’édition juridique pouvant être de nature</w:t>
      </w:r>
      <w:r>
        <w:rPr>
          <w:sz w:val="24"/>
        </w:rPr>
        <w:t xml:space="preserve"> académiques et adopter les canons d’autres publications en sciences humaines et sociales, soit de natures professionnelles avec une double dimension et de ce fiat un double univers d’irrigation, le monde académique et le monde des professionnels du droit.</w:t>
      </w:r>
      <w:r>
        <w:rPr>
          <w:sz w:val="24"/>
        </w:rPr>
      </w:r>
    </w:p>
    <w:p>
      <w:pPr>
        <w:pBdr/>
        <w:spacing/>
        <w:ind/>
        <w:jc w:val="both"/>
        <w:rPr>
          <w:sz w:val="24"/>
        </w:rPr>
      </w:pPr>
      <w:r>
        <w:rPr>
          <w:sz w:val="24"/>
        </w:rPr>
        <w:t xml:space="preserve">Juris</w:t>
      </w:r>
      <w:r>
        <w:rPr>
          <w:sz w:val="24"/>
        </w:rPr>
        <w:t xml:space="preserve">-PAT : programme de numérisation, de structuration et d’</w:t>
      </w:r>
      <w:r>
        <w:rPr>
          <w:sz w:val="24"/>
        </w:rPr>
        <w:t xml:space="preserve">exploiration</w:t>
      </w:r>
      <w:r>
        <w:rPr>
          <w:sz w:val="24"/>
        </w:rPr>
        <w:t xml:space="preserve"> de corpus juridiques patrimoniaux</w:t>
      </w:r>
      <w:r>
        <w:rPr>
          <w:sz w:val="24"/>
        </w:rPr>
      </w:r>
    </w:p>
    <w:p>
      <w:pPr>
        <w:pBdr/>
        <w:spacing/>
        <w:ind/>
        <w:jc w:val="both"/>
        <w:rPr>
          <w:sz w:val="24"/>
        </w:rPr>
      </w:pPr>
      <w:r>
        <w:rPr>
          <w:sz w:val="24"/>
        </w:rPr>
        <w:t xml:space="preserve">Ce sous-programme du programme </w:t>
      </w:r>
      <w:r>
        <w:rPr>
          <w:sz w:val="24"/>
        </w:rPr>
        <w:t xml:space="preserve">Juridissima</w:t>
      </w:r>
      <w:r>
        <w:rPr>
          <w:sz w:val="24"/>
        </w:rPr>
        <w:t xml:space="preserve"> concerne l’axe patrimoine. Le patrimoine documentaire juridique repose sur plusieurs gisements documentaires publics, en France les deux principaux sont la bibliothèque Cujas et la BNF.</w:t>
      </w:r>
      <w:r>
        <w:rPr>
          <w:sz w:val="24"/>
        </w:rPr>
      </w:r>
    </w:p>
    <w:p>
      <w:pPr>
        <w:pBdr/>
        <w:spacing/>
        <w:ind/>
        <w:jc w:val="both"/>
        <w:rPr>
          <w:sz w:val="24"/>
        </w:rPr>
      </w:pPr>
      <w:r>
        <w:rPr>
          <w:sz w:val="24"/>
        </w:rPr>
        <w:t xml:space="preserve">Création d’une base de signalement des ressources patrimoniales en sciences juridiques. Certains documents qui composent ces collections ont fait l’objet d</w:t>
      </w:r>
      <w:r>
        <w:rPr>
          <w:sz w:val="24"/>
        </w:rPr>
        <w:t xml:space="preserve">’une numérisation, dans le cadre de programmes de numérisation, dont beaucoup résultent de partenariats avec la BNF mais pas exclusivement. Des gisements existent aussi à l’étranger (principalement aux USA) y compris pour des ressources éditées en France. </w:t>
      </w:r>
      <w:bookmarkStart w:id="0" w:name="_GoBack"/>
      <w:r/>
      <w:bookmarkEnd w:id="0"/>
      <w:r/>
      <w:r>
        <w:rPr>
          <w:sz w:val="24"/>
        </w:rPr>
      </w:r>
    </w:p>
    <w:p>
      <w:pPr>
        <w:pBdr/>
        <w:spacing/>
        <w:ind/>
        <w:jc w:val="both"/>
        <w:rPr>
          <w:sz w:val="24"/>
        </w:rPr>
      </w:pPr>
      <w:r>
        <w:rPr>
          <w:sz w:val="24"/>
        </w:rPr>
        <w:t xml:space="preserve"> </w:t>
      </w:r>
      <w:r>
        <w:rPr>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B27412"/>
    <w:lvl w:ilvl="0">
      <w:isLgl w:val="false"/>
      <w:lvlJc w:val="left"/>
      <w:lvlText w:val="-"/>
      <w:numFmt w:val="bullet"/>
      <w:pPr>
        <w:pBdr/>
        <w:spacing/>
        <w:ind w:hanging="360" w:left="720"/>
      </w:pPr>
      <w:rPr>
        <w:rFonts w:hint="default" w:ascii="Calibri" w:hAnsi="Calibri" w:cs="Calibri" w:eastAsiaTheme="minorHAnsi"/>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6"/>
    <w:next w:val="66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6"/>
    <w:next w:val="66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6"/>
    <w:next w:val="66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6"/>
    <w:next w:val="66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6"/>
    <w:next w:val="66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6"/>
    <w:next w:val="66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7"/>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7"/>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7"/>
    <w:link w:val="142"/>
    <w:uiPriority w:val="9"/>
    <w:pPr>
      <w:pBdr/>
      <w:spacing/>
      <w:ind/>
    </w:pPr>
    <w:rPr>
      <w:rFonts w:ascii="Arial" w:hAnsi="Arial" w:eastAsia="Arial" w:cs="Arial"/>
      <w:i/>
      <w:iCs/>
      <w:color w:val="0f4761" w:themeColor="accent1" w:themeShade="BF"/>
    </w:rPr>
  </w:style>
  <w:style w:type="character" w:styleId="154">
    <w:name w:val="Heading 5 Char"/>
    <w:basedOn w:val="667"/>
    <w:link w:val="143"/>
    <w:uiPriority w:val="9"/>
    <w:pPr>
      <w:pBdr/>
      <w:spacing/>
      <w:ind/>
    </w:pPr>
    <w:rPr>
      <w:rFonts w:ascii="Arial" w:hAnsi="Arial" w:eastAsia="Arial" w:cs="Arial"/>
      <w:color w:val="0f4761" w:themeColor="accent1" w:themeShade="BF"/>
    </w:rPr>
  </w:style>
  <w:style w:type="character" w:styleId="155">
    <w:name w:val="Heading 6 Char"/>
    <w:basedOn w:val="667"/>
    <w:link w:val="144"/>
    <w:uiPriority w:val="9"/>
    <w:pPr>
      <w:pBdr/>
      <w:spacing/>
      <w:ind/>
    </w:pPr>
    <w:rPr>
      <w:rFonts w:ascii="Arial" w:hAnsi="Arial" w:eastAsia="Arial" w:cs="Arial"/>
      <w:i/>
      <w:iCs/>
      <w:color w:val="595959" w:themeColor="text1" w:themeTint="A6"/>
    </w:rPr>
  </w:style>
  <w:style w:type="character" w:styleId="156">
    <w:name w:val="Heading 7 Char"/>
    <w:basedOn w:val="667"/>
    <w:link w:val="145"/>
    <w:uiPriority w:val="9"/>
    <w:pPr>
      <w:pBdr/>
      <w:spacing/>
      <w:ind/>
    </w:pPr>
    <w:rPr>
      <w:rFonts w:ascii="Arial" w:hAnsi="Arial" w:eastAsia="Arial" w:cs="Arial"/>
      <w:color w:val="595959" w:themeColor="text1" w:themeTint="A6"/>
    </w:rPr>
  </w:style>
  <w:style w:type="character" w:styleId="157">
    <w:name w:val="Heading 8 Char"/>
    <w:basedOn w:val="667"/>
    <w:link w:val="146"/>
    <w:uiPriority w:val="9"/>
    <w:pPr>
      <w:pBdr/>
      <w:spacing/>
      <w:ind/>
    </w:pPr>
    <w:rPr>
      <w:rFonts w:ascii="Arial" w:hAnsi="Arial" w:eastAsia="Arial" w:cs="Arial"/>
      <w:i/>
      <w:iCs/>
      <w:color w:val="272727" w:themeColor="text1" w:themeTint="D8"/>
    </w:rPr>
  </w:style>
  <w:style w:type="character" w:styleId="158">
    <w:name w:val="Heading 9 Char"/>
    <w:basedOn w:val="667"/>
    <w:link w:val="147"/>
    <w:uiPriority w:val="9"/>
    <w:pPr>
      <w:pBdr/>
      <w:spacing/>
      <w:ind/>
    </w:pPr>
    <w:rPr>
      <w:rFonts w:ascii="Arial" w:hAnsi="Arial" w:eastAsia="Arial" w:cs="Arial"/>
      <w:i/>
      <w:iCs/>
      <w:color w:val="272727" w:themeColor="text1" w:themeTint="D8"/>
    </w:rPr>
  </w:style>
  <w:style w:type="paragraph" w:styleId="159">
    <w:name w:val="Title"/>
    <w:basedOn w:val="666"/>
    <w:next w:val="66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7"/>
    <w:link w:val="159"/>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67"/>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67"/>
    <w:link w:val="163"/>
    <w:uiPriority w:val="29"/>
    <w:pPr>
      <w:pBdr/>
      <w:spacing/>
      <w:ind/>
    </w:pPr>
    <w:rPr>
      <w:i/>
      <w:iCs/>
      <w:color w:val="404040" w:themeColor="text1" w:themeTint="BF"/>
    </w:rPr>
  </w:style>
  <w:style w:type="character" w:styleId="166">
    <w:name w:val="Intense Emphasis"/>
    <w:basedOn w:val="667"/>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7"/>
    <w:link w:val="167"/>
    <w:uiPriority w:val="30"/>
    <w:pPr>
      <w:pBdr/>
      <w:spacing/>
      <w:ind/>
    </w:pPr>
    <w:rPr>
      <w:i/>
      <w:iCs/>
      <w:color w:val="0f4761" w:themeColor="accent1" w:themeShade="BF"/>
    </w:rPr>
  </w:style>
  <w:style w:type="character" w:styleId="169">
    <w:name w:val="Intense Reference"/>
    <w:basedOn w:val="667"/>
    <w:uiPriority w:val="32"/>
    <w:qFormat/>
    <w:pPr>
      <w:pBdr/>
      <w:spacing/>
      <w:ind/>
    </w:pPr>
    <w:rPr>
      <w:b/>
      <w:bCs/>
      <w:smallCaps/>
      <w:color w:val="0f4761" w:themeColor="accent1" w:themeShade="BF"/>
      <w:spacing w:val="5"/>
    </w:rPr>
  </w:style>
  <w:style w:type="paragraph" w:styleId="170">
    <w:name w:val="No Spacing"/>
    <w:basedOn w:val="666"/>
    <w:uiPriority w:val="1"/>
    <w:qFormat/>
    <w:pPr>
      <w:pBdr/>
      <w:spacing w:after="0" w:line="240" w:lineRule="auto"/>
      <w:ind/>
    </w:pPr>
  </w:style>
  <w:style w:type="character" w:styleId="171">
    <w:name w:val="Subtle Emphasis"/>
    <w:basedOn w:val="667"/>
    <w:uiPriority w:val="19"/>
    <w:qFormat/>
    <w:pPr>
      <w:pBdr/>
      <w:spacing/>
      <w:ind/>
    </w:pPr>
    <w:rPr>
      <w:i/>
      <w:iCs/>
      <w:color w:val="404040" w:themeColor="text1" w:themeTint="BF"/>
    </w:rPr>
  </w:style>
  <w:style w:type="character" w:styleId="172">
    <w:name w:val="Emphasis"/>
    <w:basedOn w:val="667"/>
    <w:uiPriority w:val="20"/>
    <w:qFormat/>
    <w:pPr>
      <w:pBdr/>
      <w:spacing/>
      <w:ind/>
    </w:pPr>
    <w:rPr>
      <w:i/>
      <w:iCs/>
    </w:rPr>
  </w:style>
  <w:style w:type="character" w:styleId="173">
    <w:name w:val="Strong"/>
    <w:basedOn w:val="667"/>
    <w:uiPriority w:val="22"/>
    <w:qFormat/>
    <w:pPr>
      <w:pBdr/>
      <w:spacing/>
      <w:ind/>
    </w:pPr>
    <w:rPr>
      <w:b/>
      <w:bCs/>
    </w:rPr>
  </w:style>
  <w:style w:type="character" w:styleId="174">
    <w:name w:val="Subtle Reference"/>
    <w:basedOn w:val="667"/>
    <w:uiPriority w:val="31"/>
    <w:qFormat/>
    <w:pPr>
      <w:pBdr/>
      <w:spacing/>
      <w:ind/>
    </w:pPr>
    <w:rPr>
      <w:smallCaps/>
      <w:color w:val="5a5a5a" w:themeColor="text1" w:themeTint="A5"/>
    </w:rPr>
  </w:style>
  <w:style w:type="character" w:styleId="175">
    <w:name w:val="Book Title"/>
    <w:basedOn w:val="667"/>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67"/>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67"/>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67"/>
    <w:link w:val="181"/>
    <w:uiPriority w:val="99"/>
    <w:semiHidden/>
    <w:pPr>
      <w:pBdr/>
      <w:spacing/>
      <w:ind/>
    </w:pPr>
    <w:rPr>
      <w:sz w:val="20"/>
      <w:szCs w:val="20"/>
    </w:rPr>
  </w:style>
  <w:style w:type="character" w:styleId="183">
    <w:name w:val="footnote reference"/>
    <w:basedOn w:val="667"/>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67"/>
    <w:link w:val="184"/>
    <w:uiPriority w:val="99"/>
    <w:semiHidden/>
    <w:pPr>
      <w:pBdr/>
      <w:spacing/>
      <w:ind/>
    </w:pPr>
    <w:rPr>
      <w:sz w:val="20"/>
      <w:szCs w:val="20"/>
    </w:rPr>
  </w:style>
  <w:style w:type="character" w:styleId="186">
    <w:name w:val="endnote reference"/>
    <w:basedOn w:val="667"/>
    <w:uiPriority w:val="99"/>
    <w:semiHidden/>
    <w:unhideWhenUsed/>
    <w:pPr>
      <w:pBdr/>
      <w:spacing/>
      <w:ind/>
    </w:pPr>
    <w:rPr>
      <w:vertAlign w:val="superscript"/>
    </w:rPr>
  </w:style>
  <w:style w:type="character" w:styleId="187">
    <w:name w:val="Hyperlink"/>
    <w:basedOn w:val="667"/>
    <w:uiPriority w:val="99"/>
    <w:unhideWhenUsed/>
    <w:pPr>
      <w:pBdr/>
      <w:spacing/>
      <w:ind/>
    </w:pPr>
    <w:rPr>
      <w:color w:val="0563c1" w:themeColor="hyperlink"/>
      <w:u w:val="single"/>
    </w:rPr>
  </w:style>
  <w:style w:type="character" w:styleId="188">
    <w:name w:val="FollowedHyperlink"/>
    <w:basedOn w:val="667"/>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6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character" w:styleId="667" w:default="1">
    <w:name w:val="Default Paragraph Font"/>
    <w:uiPriority w:val="1"/>
    <w:semiHidden/>
    <w:unhideWhenUsed/>
    <w:pPr>
      <w:pBdr/>
      <w:spacing/>
      <w:ind/>
    </w:pPr>
  </w:style>
  <w:style w:type="table" w:styleId="6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9" w:default="1">
    <w:name w:val="No List"/>
    <w:uiPriority w:val="99"/>
    <w:semiHidden/>
    <w:unhideWhenUsed/>
    <w:pPr>
      <w:pBdr/>
      <w:spacing/>
      <w:ind/>
    </w:pPr>
  </w:style>
  <w:style w:type="paragraph" w:styleId="670">
    <w:name w:val="List Paragraph"/>
    <w:basedOn w:val="66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5</cp:revision>
  <dcterms:created xsi:type="dcterms:W3CDTF">2026-05-04T08:32:00Z</dcterms:created>
  <dcterms:modified xsi:type="dcterms:W3CDTF">2026-07-30T20:42:57Z</dcterms:modified>
</cp:coreProperties>
</file>