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4"/>
        </w:rPr>
      </w:pPr>
      <w:r>
        <w:rPr>
          <w:b/>
          <w:sz w:val="24"/>
        </w:rPr>
        <w:t xml:space="preserve">Fiche d’évaluation : </w:t>
      </w:r>
      <w:r>
        <w:rPr>
          <w:b/>
          <w:sz w:val="24"/>
        </w:rPr>
      </w:r>
    </w:p>
    <w:p>
      <w:pPr>
        <w:pBdr/>
        <w:spacing/>
        <w:ind/>
        <w:jc w:val="center"/>
        <w:rPr>
          <w:b/>
          <w:sz w:val="24"/>
        </w:rPr>
      </w:pPr>
      <w:r>
        <w:rPr>
          <w:b/>
          <w:sz w:val="24"/>
        </w:rPr>
        <w:t xml:space="preserve">Solution « Alma </w:t>
      </w:r>
      <w:r>
        <w:rPr>
          <w:b/>
          <w:sz w:val="24"/>
        </w:rPr>
        <w:t xml:space="preserve">Specto</w:t>
      </w:r>
      <w:r>
        <w:rPr>
          <w:b/>
          <w:sz w:val="24"/>
        </w:rPr>
        <w:t xml:space="preserve"> » (</w:t>
      </w:r>
      <w:r>
        <w:rPr>
          <w:b/>
          <w:sz w:val="24"/>
        </w:rPr>
        <w:t xml:space="preserve">Clarivate</w:t>
      </w:r>
      <w:r>
        <w:rPr>
          <w:b/>
          <w:sz w:val="24"/>
        </w:rPr>
        <w:t xml:space="preserve"> / Ex </w:t>
      </w:r>
      <w:r>
        <w:rPr>
          <w:b/>
          <w:sz w:val="24"/>
        </w:rPr>
        <w:t xml:space="preserve">Libris</w:t>
      </w:r>
      <w:r>
        <w:rPr>
          <w:b/>
          <w:sz w:val="24"/>
        </w:rPr>
        <w:t xml:space="preserve">)</w:t>
      </w:r>
      <w:r>
        <w:rPr>
          <w:b/>
          <w:sz w:val="24"/>
        </w:rPr>
      </w:r>
    </w:p>
    <w:p>
      <w:pPr>
        <w:pBdr/>
        <w:spacing/>
        <w:ind/>
        <w:jc w:val="center"/>
        <w:rPr>
          <w:sz w:val="24"/>
        </w:rPr>
      </w:pPr>
      <w:r>
        <w:rPr>
          <w:sz w:val="24"/>
        </w:rPr>
      </w:r>
      <w:r>
        <w:rPr>
          <w:sz w:val="24"/>
        </w:rPr>
      </w:r>
    </w:p>
    <w:p>
      <w:pPr>
        <w:pBdr/>
        <w:spacing/>
        <w:ind/>
        <w:jc w:val="both"/>
        <w:rPr>
          <w:sz w:val="24"/>
        </w:rPr>
      </w:pPr>
      <w:r>
        <w:rPr>
          <w:b/>
          <w:sz w:val="24"/>
        </w:rPr>
        <w:t xml:space="preserve">But de création :</w:t>
      </w:r>
      <w:r>
        <w:rPr>
          <w:sz w:val="24"/>
        </w:rPr>
        <w:t xml:space="preserve"> Il s’agit d’une plateforme de collection numérique alimentée par l’IA conçue pour ouvrir de nouvelles portes pour les bibliothèques. </w:t>
      </w:r>
      <w:r>
        <w:rPr>
          <w:sz w:val="24"/>
        </w:rPr>
      </w:r>
    </w:p>
    <w:p>
      <w:pPr>
        <w:pBdr/>
        <w:spacing/>
        <w:ind/>
        <w:jc w:val="both"/>
        <w:rPr>
          <w:sz w:val="24"/>
        </w:rPr>
      </w:pPr>
      <w:r>
        <w:rPr>
          <w:sz w:val="24"/>
        </w:rPr>
        <w:t xml:space="preserve">Construit sur Alma, Alma </w:t>
      </w:r>
      <w:r>
        <w:rPr>
          <w:sz w:val="24"/>
        </w:rPr>
        <w:t xml:space="preserve">Specto</w:t>
      </w:r>
      <w:r>
        <w:rPr>
          <w:sz w:val="24"/>
        </w:rPr>
        <w:t xml:space="preserve"> relie toutes les étapes de la gestion des collections numériques – de la création et du catalogage de métadonnées à l’exposition et à la préservation – permettant aux bibliothécaires et aux archivistes de partager leurs collections.</w:t>
      </w:r>
      <w:r>
        <w:rPr>
          <w:sz w:val="24"/>
        </w:rPr>
      </w:r>
    </w:p>
    <w:p>
      <w:pPr>
        <w:pBdr/>
        <w:spacing/>
        <w:ind/>
        <w:jc w:val="both"/>
        <w:rPr>
          <w:sz w:val="24"/>
        </w:rPr>
      </w:pPr>
      <w:r>
        <w:rPr>
          <w:sz w:val="24"/>
        </w:rPr>
        <w:t xml:space="preserve">Ce travail peut devenir complexe pour les bibliothèques souhaitant mettre leurs collections en avant.</w:t>
      </w:r>
      <w:r>
        <w:rPr>
          <w:sz w:val="24"/>
        </w:rPr>
      </w:r>
    </w:p>
    <w:p>
      <w:pPr>
        <w:pBdr/>
        <w:spacing/>
        <w:ind/>
        <w:jc w:val="both"/>
        <w:rPr>
          <w:b/>
          <w:sz w:val="24"/>
        </w:rPr>
      </w:pPr>
      <w:r>
        <w:rPr>
          <w:b/>
          <w:sz w:val="24"/>
        </w:rPr>
        <w:t xml:space="preserve">Qu’est-ce que c’est ?</w:t>
      </w:r>
      <w:r>
        <w:rPr>
          <w:b/>
          <w:sz w:val="24"/>
        </w:rPr>
      </w:r>
    </w:p>
    <w:p>
      <w:pPr>
        <w:pBdr/>
        <w:spacing/>
        <w:ind/>
        <w:jc w:val="both"/>
        <w:rPr>
          <w:sz w:val="24"/>
        </w:rPr>
      </w:pPr>
      <w:r>
        <w:rPr>
          <w:sz w:val="24"/>
        </w:rPr>
        <w:t xml:space="preserve">Alma </w:t>
      </w:r>
      <w:r>
        <w:rPr>
          <w:sz w:val="24"/>
        </w:rPr>
        <w:t xml:space="preserve">Specto</w:t>
      </w:r>
      <w:r>
        <w:rPr>
          <w:sz w:val="24"/>
        </w:rPr>
        <w:t xml:space="preserve"> : un outil de gestion d’actifs numériques, c’est une plateforme complète qui transforme la façon dont les bibliothèques gèrent leurs collections numériques.</w:t>
      </w:r>
      <w:r>
        <w:rPr>
          <w:sz w:val="24"/>
        </w:rPr>
      </w:r>
    </w:p>
    <w:p>
      <w:pPr>
        <w:pBdr/>
        <w:spacing/>
        <w:ind/>
        <w:jc w:val="both"/>
        <w:rPr>
          <w:i/>
          <w:sz w:val="24"/>
          <w:u w:val="single"/>
        </w:rPr>
      </w:pPr>
      <w:r>
        <w:rPr>
          <w:i/>
          <w:sz w:val="24"/>
          <w:u w:val="single"/>
        </w:rPr>
        <w:t xml:space="preserve">Création de métadonnées alimentées par l’IA : </w:t>
      </w:r>
      <w:r>
        <w:rPr>
          <w:i/>
          <w:sz w:val="24"/>
          <w:u w:val="single"/>
        </w:rPr>
      </w:r>
    </w:p>
    <w:p>
      <w:pPr>
        <w:pStyle w:val="670"/>
        <w:numPr>
          <w:ilvl w:val="0"/>
          <w:numId w:val="1"/>
        </w:numPr>
        <w:pBdr/>
        <w:spacing/>
        <w:ind/>
        <w:jc w:val="both"/>
        <w:rPr>
          <w:sz w:val="24"/>
        </w:rPr>
      </w:pPr>
      <w:r>
        <w:rPr>
          <w:sz w:val="24"/>
        </w:rPr>
        <w:t xml:space="preserve">Assistant de métadonnées IA génère automatiquement des métadonnées détaillées et de haute qualité à l’échelle, en utilisant des technologies avancées telles que la reconnaissance d’entités nommées (NER) et la reconnaissance optique de caractères (OCR). </w:t>
      </w:r>
      <w:r>
        <w:rPr>
          <w:sz w:val="24"/>
        </w:rPr>
      </w:r>
    </w:p>
    <w:p>
      <w:pPr>
        <w:pStyle w:val="670"/>
        <w:numPr>
          <w:ilvl w:val="0"/>
          <w:numId w:val="1"/>
        </w:numPr>
        <w:pBdr/>
        <w:spacing/>
        <w:ind/>
        <w:jc w:val="both"/>
        <w:rPr>
          <w:sz w:val="24"/>
        </w:rPr>
      </w:pPr>
      <w:r>
        <w:rPr>
          <w:sz w:val="24"/>
        </w:rPr>
        <w:t xml:space="preserve">Permettrait d’accélérer le catalogage, d’assurer la cohérence, la précision et des connexions transparentes grâce aux données ouvertes liées.</w:t>
      </w:r>
      <w:r>
        <w:rPr>
          <w:sz w:val="24"/>
        </w:rPr>
      </w:r>
    </w:p>
    <w:p>
      <w:pPr>
        <w:pBdr/>
        <w:spacing/>
        <w:ind/>
        <w:jc w:val="both"/>
        <w:rPr>
          <w:i/>
          <w:sz w:val="24"/>
          <w:u w:val="single"/>
        </w:rPr>
      </w:pPr>
      <w:r>
        <w:rPr>
          <w:i/>
          <w:sz w:val="24"/>
          <w:u w:val="single"/>
        </w:rPr>
        <w:t xml:space="preserve">Outils de découverte immersive :</w:t>
      </w:r>
      <w:r>
        <w:rPr>
          <w:i/>
          <w:sz w:val="24"/>
          <w:u w:val="single"/>
        </w:rPr>
      </w:r>
    </w:p>
    <w:p>
      <w:pPr>
        <w:pStyle w:val="670"/>
        <w:numPr>
          <w:ilvl w:val="0"/>
          <w:numId w:val="1"/>
        </w:numPr>
        <w:pBdr/>
        <w:spacing/>
        <w:ind/>
        <w:jc w:val="both"/>
        <w:rPr>
          <w:sz w:val="24"/>
        </w:rPr>
      </w:pPr>
      <w:r>
        <w:rPr>
          <w:sz w:val="24"/>
        </w:rPr>
        <w:t xml:space="preserve">Il permet aux utilisateurs finaux de s’engager profondément dans les collections grâce à des outils tels que l’exposition en ligne et les pages de diffusion.</w:t>
      </w:r>
      <w:r>
        <w:rPr>
          <w:sz w:val="24"/>
        </w:rPr>
      </w:r>
    </w:p>
    <w:p>
      <w:pPr>
        <w:pStyle w:val="670"/>
        <w:numPr>
          <w:ilvl w:val="0"/>
          <w:numId w:val="1"/>
        </w:numPr>
        <w:pBdr/>
        <w:spacing/>
        <w:ind/>
        <w:jc w:val="both"/>
        <w:rPr>
          <w:sz w:val="24"/>
        </w:rPr>
      </w:pPr>
      <w:r>
        <w:rPr>
          <w:sz w:val="24"/>
        </w:rPr>
        <w:t xml:space="preserve">Cela permettrait de créer du dynamisme dans la bibliothèque numérique ainsi que du contenu interactif, guidant les utilisateurs à travers des parcours organisés et élargissant leur accès à des ressources inestimables.</w:t>
      </w:r>
      <w:r>
        <w:rPr>
          <w:sz w:val="24"/>
        </w:rPr>
      </w:r>
    </w:p>
    <w:p>
      <w:pPr>
        <w:pBdr/>
        <w:spacing/>
        <w:ind/>
        <w:jc w:val="both"/>
        <w:rPr>
          <w:i/>
          <w:sz w:val="24"/>
          <w:u w:val="single"/>
        </w:rPr>
      </w:pPr>
      <w:r>
        <w:rPr>
          <w:i/>
          <w:sz w:val="24"/>
          <w:u w:val="single"/>
        </w:rPr>
        <w:t xml:space="preserve">Préservation numérique pour un accès futur :</w:t>
      </w:r>
      <w:r>
        <w:rPr>
          <w:i/>
          <w:sz w:val="24"/>
          <w:u w:val="single"/>
        </w:rPr>
      </w:r>
    </w:p>
    <w:p>
      <w:pPr>
        <w:pStyle w:val="670"/>
        <w:numPr>
          <w:ilvl w:val="0"/>
          <w:numId w:val="1"/>
        </w:numPr>
        <w:pBdr/>
        <w:spacing/>
        <w:ind/>
        <w:jc w:val="both"/>
        <w:rPr>
          <w:sz w:val="24"/>
        </w:rPr>
      </w:pPr>
      <w:r>
        <w:rPr>
          <w:sz w:val="24"/>
        </w:rPr>
        <w:t xml:space="preserve">Aborde les défis actuels tels que l’obsolescence et l’accessibilité des collections numériques pour les générations futures.</w:t>
      </w:r>
      <w:r>
        <w:rPr>
          <w:sz w:val="24"/>
        </w:rPr>
      </w:r>
    </w:p>
    <w:p>
      <w:pPr>
        <w:pBdr/>
        <w:spacing/>
        <w:ind/>
        <w:jc w:val="both"/>
        <w:rPr>
          <w:b/>
          <w:sz w:val="24"/>
        </w:rPr>
      </w:pPr>
      <w:r>
        <w:rPr>
          <w:b/>
          <w:sz w:val="24"/>
        </w:rPr>
        <w:t xml:space="preserve">Comment l’outil répond-il aux besoins de Cujas ? (Les Atouts)</w:t>
      </w:r>
      <w:r>
        <w:rPr>
          <w:b/>
          <w:sz w:val="24"/>
        </w:rPr>
      </w:r>
    </w:p>
    <w:p>
      <w:pPr>
        <w:pStyle w:val="670"/>
        <w:numPr>
          <w:ilvl w:val="0"/>
          <w:numId w:val="1"/>
        </w:numPr>
        <w:pBdr/>
        <w:spacing/>
        <w:ind/>
        <w:jc w:val="both"/>
        <w:rPr>
          <w:sz w:val="24"/>
        </w:rPr>
      </w:pPr>
      <w:r>
        <w:rPr>
          <w:sz w:val="24"/>
        </w:rPr>
        <w:t xml:space="preserve">Offre un flux de travail intégrés : construit sur Alma, Alma </w:t>
      </w:r>
      <w:r>
        <w:rPr>
          <w:sz w:val="24"/>
        </w:rPr>
        <w:t xml:space="preserve">Specto</w:t>
      </w:r>
      <w:r>
        <w:rPr>
          <w:sz w:val="24"/>
        </w:rPr>
        <w:t xml:space="preserve"> pe</w:t>
      </w:r>
      <w:r>
        <w:rPr>
          <w:sz w:val="24"/>
        </w:rPr>
        <w:t xml:space="preserve">rmet aux bibliothécaires de gérer les collections numériques aux côtés des ressources physiques et électroniques dans leurs flux de travail réguliers, en simplifiant les processus et en prenant en charge tous les types de collection dans un système unifié.</w:t>
      </w:r>
      <w:r>
        <w:rPr>
          <w:sz w:val="24"/>
        </w:rPr>
      </w:r>
    </w:p>
    <w:p>
      <w:pPr>
        <w:pStyle w:val="670"/>
        <w:numPr>
          <w:ilvl w:val="0"/>
          <w:numId w:val="1"/>
        </w:numPr>
        <w:pBdr/>
        <w:spacing/>
        <w:ind/>
        <w:jc w:val="both"/>
        <w:rPr>
          <w:sz w:val="24"/>
        </w:rPr>
      </w:pPr>
      <w:r>
        <w:rPr>
          <w:sz w:val="24"/>
        </w:rPr>
        <w:t xml:space="preserve">Enrichissement de l’expérience de découverte avec ses capacités d’optimisation des moteurs de recherche (SEO), sa recherche en texte intégral et ses interfaces utilisateur immersives comme l’exposition en ligne.</w:t>
      </w:r>
      <w:r>
        <w:rPr>
          <w:sz w:val="24"/>
        </w:rPr>
      </w:r>
    </w:p>
    <w:p>
      <w:pPr>
        <w:pStyle w:val="670"/>
        <w:numPr>
          <w:ilvl w:val="0"/>
          <w:numId w:val="1"/>
        </w:numPr>
        <w:pBdr/>
        <w:spacing/>
        <w:ind/>
        <w:jc w:val="both"/>
        <w:rPr>
          <w:sz w:val="24"/>
        </w:rPr>
      </w:pPr>
      <w:r>
        <w:rPr>
          <w:sz w:val="24"/>
        </w:rPr>
        <w:t xml:space="preserve">Réduction de l’effort </w:t>
      </w:r>
      <w:r>
        <w:rPr>
          <w:sz w:val="24"/>
        </w:rPr>
        <w:t xml:space="preserve">manuel requis pour le catalogage et la gestion des collections. Cela permet de gagner du temps, d’optimiser bibliothèque, permettant au personnel de se concentrer sur des tâches de plus grande valeur telles que la conservation et le partage de collections.</w:t>
      </w:r>
      <w:r>
        <w:rPr>
          <w:sz w:val="24"/>
        </w:rPr>
      </w:r>
    </w:p>
    <w:p>
      <w:pPr>
        <w:pStyle w:val="670"/>
        <w:numPr>
          <w:ilvl w:val="0"/>
          <w:numId w:val="1"/>
        </w:numPr>
        <w:pBdr/>
        <w:spacing/>
        <w:ind/>
        <w:jc w:val="both"/>
        <w:rPr>
          <w:sz w:val="24"/>
        </w:rPr>
      </w:pPr>
      <w:r>
        <w:rPr>
          <w:sz w:val="24"/>
        </w:rPr>
        <w:t xml:space="preserve">Cela permettrait aux bibliothèques de moderniser leur gestion des actifs numériques et à s’engager plus efficacement avec leur public.</w:t>
      </w:r>
      <w:r>
        <w:rPr>
          <w:sz w:val="24"/>
        </w:rPr>
      </w:r>
    </w:p>
    <w:p>
      <w:pPr>
        <w:pBdr/>
        <w:spacing/>
        <w:ind/>
        <w:jc w:val="both"/>
        <w:rPr>
          <w:b/>
          <w:sz w:val="24"/>
        </w:rPr>
      </w:pPr>
      <w:r>
        <w:rPr>
          <w:b/>
          <w:sz w:val="24"/>
        </w:rPr>
        <w:t xml:space="preserve">Quels sont les risques ou points de blocage ? (Les Points de vigilance)</w:t>
      </w:r>
      <w:r>
        <w:rPr>
          <w:b/>
          <w:sz w:val="24"/>
        </w:rPr>
      </w:r>
    </w:p>
    <w:p>
      <w:pPr>
        <w:pStyle w:val="670"/>
        <w:numPr>
          <w:ilvl w:val="0"/>
          <w:numId w:val="1"/>
        </w:numPr>
        <w:pBdr/>
        <w:spacing/>
        <w:ind/>
        <w:jc w:val="both"/>
        <w:rPr>
          <w:sz w:val="28"/>
        </w:rPr>
      </w:pPr>
      <w:r>
        <w:rPr>
          <w:sz w:val="24"/>
        </w:rPr>
        <w:t xml:space="preserve">Coût et modèle tarifaire : </w:t>
      </w:r>
      <w:r>
        <w:rPr>
          <w:sz w:val="24"/>
        </w:rPr>
        <w:t xml:space="preserve">Le modèle tarifaire d'Ex </w:t>
      </w:r>
      <w:r>
        <w:rPr>
          <w:sz w:val="24"/>
        </w:rPr>
        <w:t xml:space="preserve">Libris</w:t>
      </w:r>
      <w:r>
        <w:rPr>
          <w:sz w:val="24"/>
        </w:rPr>
        <w:t xml:space="preserve"> repose généralement sur l'abonnement. Il conviendra d'évaluer les coûts à long terme et leur compatibilité avec les contraintes budgétaires d'un établissement public.</w:t>
      </w:r>
      <w:r>
        <w:rPr>
          <w:sz w:val="28"/>
        </w:rPr>
      </w:r>
    </w:p>
    <w:p>
      <w:pPr>
        <w:pStyle w:val="670"/>
        <w:numPr>
          <w:ilvl w:val="0"/>
          <w:numId w:val="1"/>
        </w:numPr>
        <w:pBdr/>
        <w:spacing/>
        <w:ind/>
        <w:jc w:val="both"/>
        <w:rPr>
          <w:sz w:val="28"/>
        </w:rPr>
      </w:pPr>
      <w:r>
        <w:rPr>
          <w:sz w:val="24"/>
        </w:rPr>
        <w:t xml:space="preserve">Qualité des métadonnées générées par l’IA. </w:t>
      </w:r>
      <w:r>
        <w:rPr>
          <w:sz w:val="24"/>
        </w:rPr>
        <w:t xml:space="preserve">Les technologies OCR et NER peuvent générer des erreurs, notamment sur des documents anciens ou en latin, fréquents dans les fonds juridiques historiques. Une relecture humaine reste indispensable.</w:t>
      </w:r>
      <w:r>
        <w:rPr>
          <w:sz w:val="28"/>
        </w:rPr>
      </w:r>
    </w:p>
    <w:p>
      <w:pPr>
        <w:pStyle w:val="670"/>
        <w:numPr>
          <w:ilvl w:val="0"/>
          <w:numId w:val="1"/>
        </w:numPr>
        <w:pBdr/>
        <w:spacing/>
        <w:ind/>
        <w:jc w:val="both"/>
        <w:rPr>
          <w:sz w:val="24"/>
        </w:rPr>
      </w:pPr>
      <w:r>
        <w:rPr>
          <w:sz w:val="24"/>
        </w:rPr>
        <w:t xml:space="preserve">Souveraineté des données : </w:t>
      </w:r>
      <w:r>
        <w:rPr>
          <w:sz w:val="24"/>
        </w:rPr>
        <w:t xml:space="preserve">Cujas devra s'assurer que les conditions d'hébergement et la politique de </w:t>
      </w:r>
      <w:r>
        <w:rPr>
          <w:sz w:val="24"/>
        </w:rPr>
        <w:t xml:space="preserve">Clarivate</w:t>
      </w:r>
      <w:r>
        <w:rPr>
          <w:sz w:val="24"/>
        </w:rPr>
        <w:t xml:space="preserve"> sont co</w:t>
      </w:r>
      <w:bookmarkStart w:id="0" w:name="_GoBack"/>
      <w:r/>
      <w:bookmarkEnd w:id="0"/>
      <w:r>
        <w:rPr>
          <w:sz w:val="24"/>
        </w:rPr>
        <w:t xml:space="preserve">nformes au RGPD avant tout engagement.</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847021"/>
    <w:lvl w:ilvl="0">
      <w:isLgl w:val="false"/>
      <w:lvlJc w:val="left"/>
      <w:lvlText w:val=""/>
      <w:numFmt w:val="bullet"/>
      <w:pPr>
        <w:pBdr/>
        <w:spacing/>
        <w:ind w:hanging="360" w:left="720"/>
      </w:pPr>
      <w:rPr>
        <w:rFonts w:hint="default" w:ascii="Symbol" w:hAnsi="Symbol" w:eastAsiaTheme="minorHAnsi" w:cstheme="minorBid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6</cp:revision>
  <dcterms:created xsi:type="dcterms:W3CDTF">2026-06-26T10:37:00Z</dcterms:created>
  <dcterms:modified xsi:type="dcterms:W3CDTF">2026-07-30T20:48:05Z</dcterms:modified>
</cp:coreProperties>
</file>