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69EE9D" w14:textId="77777777">
      <w:pPr>
        <w:pStyle w:val="766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39C768F9" w14:textId="77777777">
      <w:pPr>
        <w:pStyle w:val="766"/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02368264" w14:textId="134ADB2F">
      <w:pPr>
        <w:pStyle w:val="766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A quoi doit servir la nouvelle bibliothèque numérique et pourquoi </w:t>
      </w:r>
      <w:r>
        <w:rPr>
          <w:sz w:val="36"/>
          <w:szCs w:val="36"/>
        </w:rPr>
        <w:t xml:space="preserve">ré</w:t>
      </w:r>
      <w:r>
        <w:rPr>
          <w:sz w:val="36"/>
          <w:szCs w:val="36"/>
        </w:rPr>
        <w:t xml:space="preserve">informatiser ?</w:t>
      </w:r>
      <w:r>
        <w:rPr>
          <w:sz w:val="36"/>
          <w:szCs w:val="36"/>
        </w:rPr>
      </w:r>
    </w:p>
    <w:p w14:paraId="0F2E787A" w14:textId="77777777">
      <w:pPr>
        <w:pBdr/>
        <w:spacing/>
        <w:ind/>
        <w:rPr/>
      </w:pPr>
      <w:r/>
      <w:r/>
    </w:p>
    <w:p w14:paraId="59BF27A3" w14:textId="77777777">
      <w:pPr>
        <w:pBdr/>
        <w:spacing/>
        <w:ind/>
        <w:rPr/>
      </w:pPr>
      <w:r/>
      <w:r/>
    </w:p>
    <w:p w14:paraId="6C891690" w14:textId="0CACBC44">
      <w:pPr>
        <w:pBdr/>
        <w:spacing/>
        <w:ind/>
        <w:rPr/>
      </w:pPr>
      <w:r>
        <w:t xml:space="preserve">/ Cécile, 01/04/2026</w:t>
      </w:r>
      <w:r/>
    </w:p>
    <w:p w14:paraId="7D4EF1E9" w14:textId="4459FD50">
      <w:pPr>
        <w:pBdr/>
        <w:spacing/>
        <w:ind/>
        <w:rPr/>
      </w:pPr>
      <w:r/>
      <w:r/>
    </w:p>
    <w:p w14:paraId="4B57C153" w14:textId="77777777">
      <w:pPr>
        <w:pBdr/>
        <w:spacing/>
        <w:ind/>
        <w:rPr/>
      </w:pPr>
      <w:r/>
      <w:r/>
    </w:p>
    <w:p w14:paraId="1BF4AEA4" w14:textId="1980FEC8">
      <w:pPr>
        <w:pStyle w:val="745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Faire de la bibliothèque numérique une v</w:t>
      </w:r>
      <w:r>
        <w:rPr>
          <w:sz w:val="28"/>
          <w:szCs w:val="28"/>
        </w:rPr>
        <w:t xml:space="preserve">itrine institutionnelle</w:t>
      </w:r>
      <w:r>
        <w:rPr>
          <w:sz w:val="28"/>
          <w:szCs w:val="28"/>
        </w:rPr>
      </w:r>
    </w:p>
    <w:p w14:paraId="404C71E5" w14:textId="7F935E41">
      <w:pPr>
        <w:pStyle w:val="77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Proposer une bib </w:t>
      </w:r>
      <w:r>
        <w:rPr>
          <w:b/>
          <w:bCs/>
        </w:rPr>
        <w:t xml:space="preserve">num</w:t>
      </w:r>
      <w:r>
        <w:rPr>
          <w:b/>
          <w:bCs/>
        </w:rPr>
        <w:t xml:space="preserve"> attractive</w:t>
      </w:r>
      <w:r>
        <w:t xml:space="preserve">, qui donne une image positive de l’établissement </w:t>
      </w:r>
      <w:r/>
    </w:p>
    <w:p w14:paraId="035A8EB6" w14:textId="3AA73855">
      <w:pPr>
        <w:pStyle w:val="772"/>
        <w:numPr>
          <w:ilvl w:val="0"/>
          <w:numId w:val="9"/>
        </w:numPr>
        <w:pBdr/>
        <w:spacing/>
        <w:ind/>
        <w:rPr/>
      </w:pPr>
      <w:r>
        <w:t xml:space="preserve">revoir</w:t>
      </w:r>
      <w:r>
        <w:t xml:space="preserve"> le design, l’ergonomie</w:t>
      </w:r>
      <w:r>
        <w:t xml:space="preserve">, les fonctionnalités</w:t>
      </w:r>
      <w:r/>
    </w:p>
    <w:p w14:paraId="36BC544D" w14:textId="77777777">
      <w:pPr>
        <w:pStyle w:val="77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Proposer une vitrine de l’histoire de l’institution</w:t>
      </w:r>
      <w:r>
        <w:t xml:space="preserve"> (Faculté de droit de Paris, Bibliothèque interuniversitaire Cujas </w:t>
      </w:r>
      <w:r/>
    </w:p>
    <w:p w14:paraId="23603E7F" w14:textId="422ECF83">
      <w:pPr>
        <w:pStyle w:val="772"/>
        <w:numPr>
          <w:ilvl w:val="0"/>
          <w:numId w:val="8"/>
        </w:numPr>
        <w:pBdr/>
        <w:spacing/>
        <w:ind/>
        <w:rPr/>
      </w:pPr>
      <w:r>
        <w:t xml:space="preserve">ouvrir</w:t>
      </w:r>
      <w:r>
        <w:t xml:space="preserve"> à d’autres types de documents : archives, images</w:t>
      </w:r>
      <w:r/>
    </w:p>
    <w:p w14:paraId="4242A0BC" w14:textId="2E916CBF">
      <w:pPr>
        <w:pStyle w:val="772"/>
        <w:numPr>
          <w:ilvl w:val="0"/>
          <w:numId w:val="8"/>
        </w:numPr>
        <w:pBdr/>
        <w:spacing/>
        <w:ind/>
        <w:rPr/>
      </w:pPr>
      <w:r>
        <w:t xml:space="preserve">disposer</w:t>
      </w:r>
      <w:r>
        <w:t xml:space="preserve"> de collections à plusieurs niveaux éditorialisées</w:t>
      </w:r>
      <w:r/>
    </w:p>
    <w:p w14:paraId="19C8DB91" w14:textId="5C77DF82">
      <w:pPr>
        <w:pStyle w:val="77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Proposer une vitrine de la recherche au sein de Paris 1</w:t>
      </w:r>
      <w:r>
        <w:t xml:space="preserve"> </w:t>
      </w:r>
      <w:r>
        <w:rPr>
          <w:b/>
          <w:bCs/>
        </w:rPr>
        <w:t xml:space="preserve">et Paris 2</w:t>
      </w:r>
      <w:r>
        <w:t xml:space="preserve">, dans le champ de l’histoire du droit</w:t>
      </w:r>
      <w:r>
        <w:t xml:space="preserve"> et </w:t>
      </w:r>
      <w:r>
        <w:t xml:space="preserve">des autres disciplines présentes dans les collections (économie, sociologie, statistique…)</w:t>
      </w:r>
      <w:r>
        <w:t xml:space="preserve"> </w:t>
      </w:r>
      <w:r/>
    </w:p>
    <w:p w14:paraId="62526DB4" w14:textId="0C07E534">
      <w:pPr>
        <w:pStyle w:val="772"/>
        <w:numPr>
          <w:ilvl w:val="1"/>
          <w:numId w:val="2"/>
        </w:numPr>
        <w:pBdr/>
        <w:spacing/>
        <w:ind/>
        <w:rPr/>
      </w:pPr>
      <w:r>
        <w:t xml:space="preserve">Disposer de</w:t>
      </w:r>
      <w:r>
        <w:rPr>
          <w:b/>
          <w:bCs/>
        </w:rPr>
        <w:t xml:space="preserve"> </w:t>
      </w:r>
      <w:r>
        <w:t xml:space="preserve">pages permettant une </w:t>
      </w:r>
      <w:r>
        <w:t xml:space="preserve">éditorialisa</w:t>
      </w:r>
      <w:r>
        <w:t xml:space="preserve">tion </w:t>
      </w:r>
      <w:r>
        <w:t xml:space="preserve">des corpus numérisés </w:t>
      </w:r>
      <w:r>
        <w:t xml:space="preserve">pour les chercheurs, par les chercheurs</w:t>
      </w:r>
      <w:r/>
    </w:p>
    <w:p w14:paraId="28FCD807" w14:textId="56565D07">
      <w:pPr>
        <w:pStyle w:val="772"/>
        <w:numPr>
          <w:ilvl w:val="1"/>
          <w:numId w:val="2"/>
        </w:numPr>
        <w:pBdr/>
        <w:spacing/>
        <w:ind/>
        <w:rPr/>
      </w:pPr>
      <w:r>
        <w:t xml:space="preserve">Disposer de liens vers les plateformes créées par le SPAR en collaboration avec les chercheurs (ex : HOPPE droit)</w:t>
      </w:r>
      <w:r/>
    </w:p>
    <w:p w14:paraId="7173155D" w14:textId="2B00EB1E">
      <w:pPr>
        <w:pStyle w:val="77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Proposer un </w:t>
      </w:r>
      <w:r>
        <w:rPr>
          <w:b/>
          <w:bCs/>
        </w:rPr>
        <w:t xml:space="preserve">outil de valorisation des </w:t>
      </w:r>
      <w:r>
        <w:rPr>
          <w:b/>
          <w:bCs/>
        </w:rPr>
        <w:t xml:space="preserve">collections de Cujas</w:t>
      </w:r>
      <w:r>
        <w:t xml:space="preserve"> </w:t>
      </w:r>
      <w:r/>
    </w:p>
    <w:p w14:paraId="16AC5308" w14:textId="2C281B94">
      <w:pPr>
        <w:pStyle w:val="772"/>
        <w:numPr>
          <w:ilvl w:val="0"/>
          <w:numId w:val="7"/>
        </w:numPr>
        <w:pBdr/>
        <w:spacing/>
        <w:ind/>
        <w:rPr/>
      </w:pPr>
      <w:r>
        <w:t xml:space="preserve">éditorialisation</w:t>
      </w:r>
      <w:r>
        <w:t xml:space="preserve"> : expositions en ligne, description de corpus</w:t>
      </w:r>
      <w:r/>
    </w:p>
    <w:p w14:paraId="6BF1E683" w14:textId="165A7700">
      <w:pPr>
        <w:pStyle w:val="772"/>
        <w:numPr>
          <w:ilvl w:val="0"/>
          <w:numId w:val="7"/>
        </w:numPr>
        <w:pBdr/>
        <w:spacing/>
        <w:ind/>
        <w:rPr/>
      </w:pPr>
      <w:r>
        <w:t xml:space="preserve">outils</w:t>
      </w:r>
      <w:r>
        <w:t xml:space="preserve"> de communication (réseaux sociaux, carrousels ??)</w:t>
      </w:r>
      <w:r/>
    </w:p>
    <w:p w14:paraId="7C93DC9E" w14:textId="5FFFAF5E">
      <w:pPr>
        <w:pStyle w:val="772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Proposer un outil permettant la dissémination des données de Cujas</w:t>
      </w:r>
      <w:r>
        <w:rPr>
          <w:b/>
          <w:bCs/>
        </w:rPr>
      </w:r>
    </w:p>
    <w:p w14:paraId="7724DE8B" w14:textId="7012177B">
      <w:pPr>
        <w:pStyle w:val="772"/>
        <w:numPr>
          <w:ilvl w:val="0"/>
          <w:numId w:val="6"/>
        </w:numPr>
        <w:pBdr/>
        <w:spacing/>
        <w:ind/>
        <w:rPr/>
      </w:pPr>
      <w:r>
        <w:t xml:space="preserve">rendre</w:t>
      </w:r>
      <w:r>
        <w:t xml:space="preserve"> la bibliothèque numérique </w:t>
      </w:r>
      <w:r>
        <w:t xml:space="preserve">moisso</w:t>
      </w:r>
      <w:r>
        <w:t xml:space="preserve">n</w:t>
      </w:r>
      <w:r>
        <w:t xml:space="preserve">nable</w:t>
      </w:r>
      <w:r>
        <w:t xml:space="preserve"> et exploitable via le IIIF</w:t>
      </w:r>
      <w:r/>
    </w:p>
    <w:p w14:paraId="5C7A63C5" w14:textId="1E79E908">
      <w:pPr>
        <w:pStyle w:val="772"/>
        <w:numPr>
          <w:ilvl w:val="0"/>
          <w:numId w:val="6"/>
        </w:numPr>
        <w:pBdr/>
        <w:spacing/>
        <w:ind/>
        <w:rPr/>
      </w:pPr>
      <w:r>
        <w:t xml:space="preserve">pouvoir</w:t>
      </w:r>
      <w:r>
        <w:t xml:space="preserve"> diffuser facilement les données à l’extérieur (Internet archive…) =&gt; interopérabilité</w:t>
      </w:r>
      <w:r/>
    </w:p>
    <w:p w14:paraId="0C098789" w14:textId="5DD95EB6">
      <w:pPr>
        <w:pStyle w:val="772"/>
        <w:numPr>
          <w:ilvl w:val="0"/>
          <w:numId w:val="6"/>
        </w:numPr>
        <w:pBdr/>
        <w:spacing/>
        <w:ind/>
        <w:rPr/>
      </w:pPr>
      <w:r>
        <w:t xml:space="preserve">Principes FAIR</w:t>
      </w:r>
      <w:r/>
    </w:p>
    <w:p w14:paraId="3E707097" w14:textId="71179209">
      <w:pPr>
        <w:pStyle w:val="772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Centraliser </w:t>
      </w:r>
      <w:r>
        <w:rPr>
          <w:b/>
          <w:bCs/>
        </w:rPr>
        <w:t xml:space="preserve">l’ensemble des collections de Cujas numérisées, y compris par d’autres institutions</w:t>
      </w:r>
      <w:r>
        <w:rPr>
          <w:b/>
          <w:bCs/>
        </w:rPr>
        <w:t xml:space="preserve">, afin de mieux rendre compte de l’activité de numérisation de l’établissement</w:t>
      </w:r>
      <w:r>
        <w:rPr>
          <w:b/>
          <w:bCs/>
        </w:rPr>
      </w:r>
    </w:p>
    <w:p w14:paraId="7A9C20E0" w14:textId="77777777">
      <w:pPr>
        <w:pStyle w:val="772"/>
        <w:numPr>
          <w:ilvl w:val="0"/>
          <w:numId w:val="5"/>
        </w:numPr>
        <w:pBdr/>
        <w:spacing/>
        <w:ind/>
        <w:rPr/>
      </w:pPr>
      <w:r>
        <w:t xml:space="preserve">Intégrer les données produites sur les chaines de la BnF pour Gallica (périodiques)</w:t>
      </w:r>
      <w:r/>
    </w:p>
    <w:p w14:paraId="52A63147" w14:textId="77777777">
      <w:pPr>
        <w:pStyle w:val="772"/>
        <w:numPr>
          <w:ilvl w:val="0"/>
          <w:numId w:val="5"/>
        </w:numPr>
        <w:pBdr/>
        <w:spacing/>
        <w:ind/>
        <w:rPr/>
      </w:pPr>
      <w:r>
        <w:t xml:space="preserve">Intégrer les données produites par </w:t>
      </w:r>
      <w:r>
        <w:t xml:space="preserve">CollEx</w:t>
      </w:r>
      <w:r>
        <w:t xml:space="preserve">-Persée (périodiques)</w:t>
      </w:r>
      <w:r/>
    </w:p>
    <w:p w14:paraId="10985137" w14:textId="77777777">
      <w:pPr>
        <w:pStyle w:val="772"/>
        <w:pBdr/>
        <w:spacing/>
        <w:ind/>
        <w:rPr/>
      </w:pPr>
      <w:r/>
      <w:r/>
    </w:p>
    <w:p w14:paraId="57FF9305" w14:textId="77777777">
      <w:pPr>
        <w:pBdr/>
        <w:spacing/>
        <w:ind/>
        <w:rPr/>
      </w:pPr>
      <w:r/>
      <w:r/>
    </w:p>
    <w:p w14:paraId="7F49775E" w14:textId="3FE9BBC9">
      <w:pPr>
        <w:pStyle w:val="745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Répondre aux besoins des chercheurs en terme de données : </w:t>
      </w:r>
      <w:r>
        <w:rPr>
          <w:sz w:val="28"/>
          <w:szCs w:val="28"/>
        </w:rPr>
      </w:r>
    </w:p>
    <w:p w14:paraId="052FF9B3" w14:textId="18AC2576">
      <w:pPr>
        <w:pBdr/>
        <w:spacing/>
        <w:ind/>
        <w:rPr>
          <w:b/>
          <w:bCs/>
        </w:rPr>
      </w:pPr>
      <w:r>
        <w:rPr>
          <w:b/>
          <w:bCs/>
        </w:rPr>
        <w:t xml:space="preserve">P</w:t>
      </w:r>
      <w:r>
        <w:rPr>
          <w:b/>
          <w:bCs/>
        </w:rPr>
        <w:t xml:space="preserve">roposer un</w:t>
      </w:r>
      <w:r>
        <w:rPr>
          <w:b/>
          <w:bCs/>
        </w:rPr>
        <w:t xml:space="preserve">e plateforme permettant d’agréger des données </w:t>
      </w:r>
      <w:r>
        <w:rPr>
          <w:b/>
          <w:bCs/>
        </w:rPr>
        <w:t xml:space="preserve">diverses, et </w:t>
      </w:r>
      <w:r>
        <w:rPr>
          <w:b/>
          <w:bCs/>
        </w:rPr>
        <w:t xml:space="preserve">de di</w:t>
      </w:r>
      <w:r>
        <w:rPr>
          <w:b/>
          <w:bCs/>
        </w:rPr>
        <w:t xml:space="preserve">fférentes </w:t>
      </w:r>
      <w:r>
        <w:rPr>
          <w:b/>
          <w:bCs/>
        </w:rPr>
        <w:t xml:space="preserve">provenances afin de constituer des corpus cohérents pour la recherche. </w:t>
      </w:r>
      <w:r>
        <w:rPr>
          <w:b/>
          <w:bCs/>
        </w:rPr>
      </w:r>
    </w:p>
    <w:p w14:paraId="6F9F96F8" w14:textId="77777777">
      <w:pPr>
        <w:pBdr/>
        <w:spacing/>
        <w:ind/>
        <w:rPr/>
      </w:pPr>
      <w:r>
        <w:t xml:space="preserve">Rappel historique : la bibliothèque numérique a été construire sur la liste Pfister-Roumy, dont on a remplacé certains </w:t>
      </w:r>
      <w:r>
        <w:t xml:space="preserve">titres  par</w:t>
      </w:r>
      <w:r>
        <w:t xml:space="preserve"> d’autres éditions afin de respecter un partage avec la BnF (Gallica). On pourrait aujourd’hui, via le IIIF, reconstituer la liste Pfister-Roumy telle que prévue à l’origine. </w:t>
      </w:r>
      <w:r/>
    </w:p>
    <w:p w14:paraId="01A8FC52" w14:textId="1717BF05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Intégration de métadonnées produites par d’autres institutions</w:t>
      </w:r>
      <w:r/>
    </w:p>
    <w:p w14:paraId="63120CDF" w14:textId="4D65251F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Utiliser des métadonnées interopérables</w:t>
      </w:r>
      <w:r/>
    </w:p>
    <w:p w14:paraId="15D87D6C" w14:textId="2DBB0008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Utiliser les référentiels courants (Idref…)</w:t>
      </w:r>
      <w:r/>
    </w:p>
    <w:p w14:paraId="31ABD7FC" w14:textId="41D0C882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IIIF</w:t>
      </w:r>
      <w:r/>
    </w:p>
    <w:p w14:paraId="01674910" w14:textId="2125A367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Création de sets hiérarchisés</w:t>
      </w:r>
      <w:r/>
    </w:p>
    <w:p w14:paraId="112BD747" w14:textId="1A37B86B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Un même document doit pouvoir appartenir à plusieurs sets</w:t>
      </w:r>
      <w:r/>
    </w:p>
    <w:p w14:paraId="60F29556" w14:textId="589F1BB7">
      <w:pPr>
        <w:pStyle w:val="772"/>
        <w:numPr>
          <w:ilvl w:val="0"/>
          <w:numId w:val="4"/>
        </w:numPr>
        <w:pBdr/>
        <w:spacing/>
        <w:ind/>
        <w:rPr/>
      </w:pPr>
      <w:r>
        <w:t xml:space="preserve">Ouverture </w:t>
      </w:r>
      <w:r>
        <w:t xml:space="preserve">à d’autres types de données : périodiques, images, archives. Faut-il ouvrir à des numérisation</w:t>
      </w:r>
      <w:r>
        <w:t xml:space="preserve">s</w:t>
      </w:r>
      <w:bookmarkStart w:id="0" w:name="_GoBack"/>
      <w:r/>
      <w:bookmarkEnd w:id="0"/>
      <w:r>
        <w:t xml:space="preserve"> de parties de documents ? D’articles ? </w:t>
      </w:r>
      <w:r/>
    </w:p>
    <w:p w14:paraId="4F9E1339" w14:textId="77777777">
      <w:pPr>
        <w:pBdr/>
        <w:spacing/>
        <w:ind/>
        <w:rPr/>
      </w:pPr>
      <w:r/>
      <w:r/>
    </w:p>
    <w:p w14:paraId="1EED206C" w14:textId="4120CD73">
      <w:pPr>
        <w:pStyle w:val="745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Répondre aux besoins des chercheurs en terme d’outils de consultation et d’exploitation</w:t>
      </w:r>
      <w:r>
        <w:rPr>
          <w:sz w:val="28"/>
          <w:szCs w:val="28"/>
        </w:rPr>
        <w:t xml:space="preserve">, en phase avec les pratiques actuelles de recherche </w:t>
      </w:r>
      <w:r>
        <w:rPr>
          <w:sz w:val="28"/>
          <w:szCs w:val="28"/>
        </w:rPr>
      </w:r>
    </w:p>
    <w:p w14:paraId="067A3F99" w14:textId="7A710B95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OCR, HTR</w:t>
      </w:r>
      <w:r/>
    </w:p>
    <w:p w14:paraId="019E1D2F" w14:textId="36926404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Formats de récupération des données</w:t>
      </w:r>
      <w:r/>
    </w:p>
    <w:p w14:paraId="749273C8" w14:textId="29461297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Modalités de recherche dans les métadonnées, dans le texte </w:t>
      </w:r>
      <w:r/>
    </w:p>
    <w:p w14:paraId="4833835A" w14:textId="48778754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Annotation, espace personnel</w:t>
      </w:r>
      <w:r/>
    </w:p>
    <w:p w14:paraId="1576BB03" w14:textId="7B174EA4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Comparaison IIIF</w:t>
      </w:r>
      <w:r/>
    </w:p>
    <w:p w14:paraId="14C24F38" w14:textId="220804BC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Entités nommées, TEI</w:t>
      </w:r>
      <w:r/>
    </w:p>
    <w:p w14:paraId="7B52DC4E" w14:textId="1E11246A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Modèles bibliographiques</w:t>
      </w:r>
      <w:r/>
    </w:p>
    <w:p w14:paraId="29BB8056" w14:textId="4E5E280B">
      <w:pPr>
        <w:pStyle w:val="772"/>
        <w:numPr>
          <w:ilvl w:val="0"/>
          <w:numId w:val="3"/>
        </w:numPr>
        <w:pBdr/>
        <w:spacing/>
        <w:ind/>
        <w:rPr/>
      </w:pPr>
      <w:r>
        <w:t xml:space="preserve">Etc…</w:t>
      </w:r>
      <w:r/>
    </w:p>
    <w:p w14:paraId="693FAF58" w14:textId="77777777">
      <w:pPr>
        <w:pBdr/>
        <w:spacing/>
        <w:ind/>
        <w:rPr/>
      </w:pPr>
      <w:r/>
      <w:r/>
    </w:p>
    <w:p w14:paraId="5F724E0E" w14:textId="77777777">
      <w:pPr>
        <w:pStyle w:val="745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Fiabiliser l’outil et mieux gérer les risques </w:t>
      </w:r>
      <w:r>
        <w:rPr>
          <w:sz w:val="28"/>
          <w:szCs w:val="28"/>
        </w:rPr>
      </w:r>
    </w:p>
    <w:p w14:paraId="3F2952D1" w14:textId="77777777">
      <w:pPr>
        <w:pStyle w:val="772"/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Eviter les risques de rupture de service liés à l’obsolescence technologique</w:t>
      </w:r>
      <w:r>
        <w:rPr>
          <w:b/>
          <w:bCs/>
        </w:rPr>
      </w:r>
    </w:p>
    <w:p w14:paraId="2F5AECB3" w14:textId="77777777">
      <w:pPr>
        <w:pStyle w:val="772"/>
        <w:numPr>
          <w:ilvl w:val="0"/>
          <w:numId w:val="10"/>
        </w:numPr>
        <w:pBdr/>
        <w:spacing/>
        <w:ind/>
        <w:rPr/>
      </w:pPr>
      <w:r>
        <w:t xml:space="preserve">Risques liés au non maintien d’</w:t>
      </w:r>
      <w:r>
        <w:t xml:space="preserve">xtf</w:t>
      </w:r>
      <w:r>
        <w:t xml:space="preserve"> </w:t>
      </w:r>
      <w:r/>
    </w:p>
    <w:p w14:paraId="4E376186" w14:textId="77777777">
      <w:pPr>
        <w:pStyle w:val="772"/>
        <w:numPr>
          <w:ilvl w:val="0"/>
          <w:numId w:val="10"/>
        </w:numPr>
        <w:pBdr/>
        <w:spacing/>
        <w:ind/>
        <w:rPr/>
      </w:pPr>
      <w:r>
        <w:t xml:space="preserve">Décorrélation croissante avec l’environnement numérique actuel. </w:t>
      </w:r>
      <w:r/>
    </w:p>
    <w:p w14:paraId="3DA52AFF" w14:textId="77777777">
      <w:pPr>
        <w:pStyle w:val="772"/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Risques politiques </w:t>
      </w:r>
      <w:r>
        <w:rPr>
          <w:b/>
          <w:bCs/>
        </w:rPr>
      </w:r>
    </w:p>
    <w:p w14:paraId="046F3FE6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Respecter nos engagements en terme de moissonnage (BnF : moissonnage)</w:t>
      </w:r>
      <w:r/>
    </w:p>
    <w:p w14:paraId="3AF30411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Respecter nos engagements en terme de corpus à mettre en ligne (BnF : images)</w:t>
      </w:r>
      <w:r/>
    </w:p>
    <w:p w14:paraId="17EFCBC8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Respecter nos engagements en terme de valorisation </w:t>
      </w:r>
      <w:r/>
    </w:p>
    <w:p w14:paraId="656975B2" w14:textId="77777777">
      <w:pPr>
        <w:pStyle w:val="772"/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Risques juridiques</w:t>
      </w:r>
      <w:r>
        <w:rPr>
          <w:b/>
          <w:bCs/>
        </w:rPr>
      </w:r>
    </w:p>
    <w:p w14:paraId="19D516CB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gérer</w:t>
      </w:r>
      <w:r>
        <w:t xml:space="preserve"> les droits au niveau des documents et non de la plateforme</w:t>
      </w:r>
      <w:r/>
    </w:p>
    <w:p w14:paraId="1ED81728" w14:textId="13E587EF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permettre une numérisation avec consultation dans les emprises de Cujas des documents sous droit</w:t>
      </w:r>
      <w:r>
        <w:t xml:space="preserve"> exception au droit d’auteur pour les bibliothèques</w:t>
      </w:r>
      <w:r/>
    </w:p>
    <w:p w14:paraId="62FD0FDA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Permettre de bloquer le moissonnage de certains documents </w:t>
      </w:r>
      <w:r/>
    </w:p>
    <w:p w14:paraId="2156127C" w14:textId="77777777">
      <w:pPr>
        <w:pStyle w:val="772"/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Risques organisationnels</w:t>
      </w:r>
      <w:r>
        <w:rPr>
          <w:b/>
          <w:bCs/>
        </w:rPr>
      </w:r>
    </w:p>
    <w:p w14:paraId="7E0FF549" w14:textId="77777777">
      <w:pPr>
        <w:pStyle w:val="772"/>
        <w:numPr>
          <w:ilvl w:val="0"/>
          <w:numId w:val="11"/>
        </w:numPr>
        <w:pBdr/>
        <w:spacing/>
        <w:ind/>
        <w:rPr/>
      </w:pPr>
      <w:r>
        <w:t xml:space="preserve">Modèle d’exposition des données qui simplifie le travail de création, traitement et mise en ligne, afin de pouvoir répondre aux exigences de développement de la numérisation souhaitée par la bibliothèque.</w:t>
      </w:r>
      <w:r/>
    </w:p>
    <w:p w14:paraId="1E3E849D" w14:textId="77777777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A0DDB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25AE30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9C1235" w14:textId="6EA9757B">
    <w:pPr>
      <w:pStyle w:val="779"/>
      <w:pBdr/>
      <w:spacing/>
      <w:ind/>
      <w:rPr/>
    </w:pPr>
    <w:r>
      <w:t xml:space="preserve">SPN / </w:t>
    </w:r>
    <w:r>
      <w:t xml:space="preserve">C.Bolard</w:t>
    </w: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>
      <w:t xml:space="preserve">2 avril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17F66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9DEBB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C3F4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"/>
      <w:numFmt w:val="bullet"/>
      <w:pPr>
        <w:pBdr/>
        <w:spacing/>
        <w:ind w:hanging="360" w:left="1440"/>
      </w:pPr>
      <w:rPr>
        <w:rFonts w:hint="default" w:ascii="Wingdings" w:hAnsi="Wingdings" w:eastAsiaTheme="minorHAnsi" w:cstheme="minorBid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3930F5F"/>
    <w:lvl w:ilvl="0">
      <w:isLgl w:val="false"/>
      <w:lvlJc w:val="left"/>
      <w:lvlText w:val=""/>
      <w:numFmt w:val="bullet"/>
      <w:pPr>
        <w:pBdr/>
        <w:spacing/>
        <w:ind w:hanging="360" w:left="144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">
    <w:nsid w:val="204B090D"/>
    <w:lvl w:ilvl="0">
      <w:isLgl w:val="false"/>
      <w:lvlJc w:val="left"/>
      <w:lvlText w:val=""/>
      <w:numFmt w:val="bullet"/>
      <w:pPr>
        <w:pBdr/>
        <w:spacing/>
        <w:ind w:hanging="360" w:left="1068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"/>
      <w:numFmt w:val="bullet"/>
      <w:pPr>
        <w:pBdr/>
        <w:spacing/>
        <w:ind w:hanging="360" w:left="1788"/>
      </w:pPr>
      <w:rPr>
        <w:rFonts w:hint="default" w:ascii="Wingdings" w:hAnsi="Wingdings" w:eastAsiaTheme="minorHAnsi" w:cstheme="minorBid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">
    <w:nsid w:val="2FEE7450"/>
    <w:lvl w:ilvl="0">
      <w:isLgl w:val="false"/>
      <w:lvlJc w:val="left"/>
      <w:lvlText w:val=""/>
      <w:numFmt w:val="bullet"/>
      <w:pPr>
        <w:pBdr/>
        <w:spacing/>
        <w:ind w:hanging="360" w:left="1068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4">
    <w:nsid w:val="47084E0A"/>
    <w:lvl w:ilvl="0">
      <w:isLgl w:val="false"/>
      <w:lvlJc w:val="left"/>
      <w:lvlText w:val=""/>
      <w:numFmt w:val="bullet"/>
      <w:pPr>
        <w:pBdr/>
        <w:spacing/>
        <w:ind w:hanging="360" w:left="144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5">
    <w:nsid w:val="4D295785"/>
    <w:lvl w:ilvl="0">
      <w:isLgl w:val="false"/>
      <w:lvlJc w:val="left"/>
      <w:lvlText w:val=""/>
      <w:numFmt w:val="bullet"/>
      <w:pPr>
        <w:pBdr/>
        <w:spacing/>
        <w:ind w:hanging="360" w:left="1068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"/>
      <w:numFmt w:val="bullet"/>
      <w:pPr>
        <w:pBdr/>
        <w:spacing/>
        <w:ind w:hanging="360" w:left="1788"/>
      </w:pPr>
      <w:rPr>
        <w:rFonts w:hint="default" w:ascii="Wingdings" w:hAnsi="Wingdings" w:eastAsiaTheme="minorHAnsi" w:cstheme="minorBid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6">
    <w:nsid w:val="59317FA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2051DA4"/>
    <w:lvl w:ilvl="0">
      <w:isLgl w:val="false"/>
      <w:lvlJc w:val="left"/>
      <w:lvlText w:val="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74384E34"/>
    <w:lvl w:ilvl="0">
      <w:isLgl w:val="false"/>
      <w:lvlJc w:val="left"/>
      <w:lvlText w:val=""/>
      <w:numFmt w:val="bullet"/>
      <w:pPr>
        <w:pBdr/>
        <w:spacing/>
        <w:ind w:hanging="360" w:left="1068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9">
    <w:nsid w:val="78564D7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E1716F4"/>
    <w:lvl w:ilvl="0">
      <w:isLgl w:val="false"/>
      <w:lvlJc w:val="left"/>
      <w:lvlText w:val=""/>
      <w:numFmt w:val="bullet"/>
      <w:pPr>
        <w:pBdr/>
        <w:spacing/>
        <w:ind w:hanging="360" w:left="1440"/>
      </w:pPr>
      <w:rPr>
        <w:rFonts w:hint="default" w:ascii="Wingdings" w:hAnsi="Wingdings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4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4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4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4"/>
    <w:link w:val="7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4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4"/>
    <w:link w:val="7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4"/>
    <w:link w:val="7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4"/>
    <w:link w:val="7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4"/>
    <w:link w:val="7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4"/>
    <w:link w:val="7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4"/>
    <w:link w:val="7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4"/>
    <w:link w:val="7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4"/>
    <w:link w:val="77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4"/>
    <w:link w:val="777"/>
    <w:uiPriority w:val="99"/>
    <w:pPr>
      <w:pBdr/>
      <w:spacing/>
      <w:ind/>
    </w:pPr>
  </w:style>
  <w:style w:type="character" w:styleId="179">
    <w:name w:val="Footer Char"/>
    <w:basedOn w:val="754"/>
    <w:link w:val="779"/>
    <w:uiPriority w:val="99"/>
    <w:pPr>
      <w:pBdr/>
      <w:spacing/>
      <w:ind/>
    </w:pPr>
  </w:style>
  <w:style w:type="paragraph" w:styleId="180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90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1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2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3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4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5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6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7">
    <w:name w:val="toc 9"/>
    <w:basedOn w:val="744"/>
    <w:next w:val="74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qFormat/>
    <w:pPr>
      <w:pBdr/>
      <w:spacing/>
      <w:ind/>
    </w:pPr>
  </w:style>
  <w:style w:type="paragraph" w:styleId="745">
    <w:name w:val="Heading 1"/>
    <w:basedOn w:val="744"/>
    <w:next w:val="744"/>
    <w:link w:val="7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6">
    <w:name w:val="Heading 2"/>
    <w:basedOn w:val="744"/>
    <w:next w:val="744"/>
    <w:link w:val="75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7">
    <w:name w:val="Heading 3"/>
    <w:basedOn w:val="744"/>
    <w:next w:val="744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8">
    <w:name w:val="Heading 4"/>
    <w:basedOn w:val="744"/>
    <w:next w:val="744"/>
    <w:link w:val="76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9">
    <w:name w:val="Heading 5"/>
    <w:basedOn w:val="744"/>
    <w:next w:val="744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0">
    <w:name w:val="Heading 6"/>
    <w:basedOn w:val="744"/>
    <w:next w:val="744"/>
    <w:link w:val="76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1">
    <w:name w:val="Heading 7"/>
    <w:basedOn w:val="744"/>
    <w:next w:val="744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2">
    <w:name w:val="Heading 8"/>
    <w:basedOn w:val="744"/>
    <w:next w:val="744"/>
    <w:link w:val="76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3">
    <w:name w:val="Heading 9"/>
    <w:basedOn w:val="744"/>
    <w:next w:val="744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4" w:default="1">
    <w:name w:val="Default Paragraph Font"/>
    <w:uiPriority w:val="1"/>
    <w:semiHidden/>
    <w:unhideWhenUsed/>
    <w:pPr>
      <w:pBdr/>
      <w:spacing/>
      <w:ind/>
    </w:pPr>
  </w:style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6" w:default="1">
    <w:name w:val="No List"/>
    <w:uiPriority w:val="99"/>
    <w:semiHidden/>
    <w:unhideWhenUsed/>
    <w:pPr>
      <w:pBdr/>
      <w:spacing/>
      <w:ind/>
    </w:pPr>
  </w:style>
  <w:style w:type="character" w:styleId="757" w:customStyle="1">
    <w:name w:val="Titre 1 Car"/>
    <w:basedOn w:val="754"/>
    <w:link w:val="74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8" w:customStyle="1">
    <w:name w:val="Titre 2 Car"/>
    <w:basedOn w:val="754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59" w:customStyle="1">
    <w:name w:val="Titre 3 Car"/>
    <w:basedOn w:val="754"/>
    <w:link w:val="74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0" w:customStyle="1">
    <w:name w:val="Titre 4 Car"/>
    <w:basedOn w:val="754"/>
    <w:link w:val="74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1" w:customStyle="1">
    <w:name w:val="Titre 5 Car"/>
    <w:basedOn w:val="754"/>
    <w:link w:val="74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2" w:customStyle="1">
    <w:name w:val="Titre 6 Car"/>
    <w:basedOn w:val="754"/>
    <w:link w:val="75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3" w:customStyle="1">
    <w:name w:val="Titre 7 Car"/>
    <w:basedOn w:val="754"/>
    <w:link w:val="75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4" w:customStyle="1">
    <w:name w:val="Titre 8 Car"/>
    <w:basedOn w:val="754"/>
    <w:link w:val="75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5" w:customStyle="1">
    <w:name w:val="Titre 9 Car"/>
    <w:basedOn w:val="754"/>
    <w:link w:val="75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6">
    <w:name w:val="Title"/>
    <w:basedOn w:val="744"/>
    <w:next w:val="744"/>
    <w:link w:val="76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7" w:customStyle="1">
    <w:name w:val="Titre Car"/>
    <w:basedOn w:val="754"/>
    <w:link w:val="76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8">
    <w:name w:val="Subtitle"/>
    <w:basedOn w:val="744"/>
    <w:next w:val="744"/>
    <w:link w:val="76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9" w:customStyle="1">
    <w:name w:val="Sous-titre Car"/>
    <w:basedOn w:val="754"/>
    <w:link w:val="76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0">
    <w:name w:val="Quote"/>
    <w:basedOn w:val="744"/>
    <w:next w:val="744"/>
    <w:link w:val="7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1" w:customStyle="1">
    <w:name w:val="Citation Car"/>
    <w:basedOn w:val="754"/>
    <w:link w:val="7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2">
    <w:name w:val="List Paragraph"/>
    <w:basedOn w:val="744"/>
    <w:uiPriority w:val="34"/>
    <w:qFormat/>
    <w:pPr>
      <w:pBdr/>
      <w:spacing/>
      <w:ind w:left="720"/>
      <w:contextualSpacing w:val="true"/>
    </w:pPr>
  </w:style>
  <w:style w:type="character" w:styleId="773">
    <w:name w:val="Intense Emphasis"/>
    <w:basedOn w:val="7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4">
    <w:name w:val="Intense Quote"/>
    <w:basedOn w:val="744"/>
    <w:next w:val="744"/>
    <w:link w:val="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5" w:customStyle="1">
    <w:name w:val="Citation intense Car"/>
    <w:basedOn w:val="754"/>
    <w:link w:val="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6">
    <w:name w:val="Intense Reference"/>
    <w:basedOn w:val="7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7">
    <w:name w:val="Header"/>
    <w:basedOn w:val="744"/>
    <w:link w:val="77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8" w:customStyle="1">
    <w:name w:val="En-tête Car"/>
    <w:basedOn w:val="754"/>
    <w:link w:val="777"/>
    <w:uiPriority w:val="99"/>
    <w:pPr>
      <w:pBdr/>
      <w:spacing/>
      <w:ind/>
    </w:pPr>
  </w:style>
  <w:style w:type="paragraph" w:styleId="779">
    <w:name w:val="Footer"/>
    <w:basedOn w:val="744"/>
    <w:link w:val="78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0" w:customStyle="1">
    <w:name w:val="Pied de page Car"/>
    <w:basedOn w:val="754"/>
    <w:link w:val="77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Cécile Bolard</dc:creator>
  <cp:keywords/>
  <dc:description/>
  <cp:lastModifiedBy>fsuszko</cp:lastModifiedBy>
  <cp:revision>6</cp:revision>
  <dcterms:created xsi:type="dcterms:W3CDTF">2026-04-01T20:28:00Z</dcterms:created>
  <dcterms:modified xsi:type="dcterms:W3CDTF">2026-07-30T21:08:45Z</dcterms:modified>
</cp:coreProperties>
</file>