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2090"/>
        <w:pBdr/>
        <w:spacing/>
        <w:ind/>
        <w:jc w:val="center"/>
        <w:rPr>
          <w:rFonts w:ascii="Trebuchet MS" w:hAnsi="Trebuchet MS"/>
          <w:b/>
          <w:color w:val="82003c"/>
          <w:sz w:val="44"/>
        </w:rPr>
      </w:pPr>
      <w:r>
        <w:rPr>
          <w:rFonts w:ascii="Trebuchet MS" w:hAnsi="Trebuchet MS"/>
          <w:b/>
          <w:color w:val="82003c"/>
          <w:sz w:val="44"/>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-224790</wp:posOffset>
                </wp:positionH>
                <wp:positionV relativeFrom="paragraph">
                  <wp:posOffset>0</wp:posOffset>
                </wp:positionV>
                <wp:extent cx="2717165" cy="699770"/>
                <wp:effectExtent l="0" t="0" r="6985" b="5080"/>
                <wp:wrapTopAndBottom/>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pic:cNvPicPr>
                        <pic:nvPr/>
                      </pic:nvPicPr>
                      <pic:blipFill rotWithShape="1">
                        <a:blip r:embed="rId11"/>
                        <a:stretch/>
                      </pic:blipFill>
                      <pic:spPr bwMode="auto">
                        <a:xfrm>
                          <a:off x="0" y="0"/>
                          <a:ext cx="2717165" cy="699769"/>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7.70pt;mso-position-horizontal:absolute;mso-position-vertical-relative:text;margin-top:0.00pt;mso-position-vertical:absolute;width:213.95pt;height:55.10pt;mso-wrap-distance-left:9.00pt;mso-wrap-distance-top:0.00pt;mso-wrap-distance-right:9.00pt;mso-wrap-distance-bottom:0.00pt;z-index:1;" stroked="f">
                <w10:wrap type="topAndBottom"/>
                <v:imagedata r:id="rId11" o:title=""/>
                <o:lock v:ext="edit" rotation="t"/>
              </v:shape>
            </w:pict>
          </mc:Fallback>
        </mc:AlternateContent>
      </w:r>
      <w:r>
        <w:rPr>
          <w:rFonts w:ascii="Trebuchet MS" w:hAnsi="Trebuchet MS"/>
          <w:b/>
          <w:color w:val="82003c"/>
          <w:sz w:val="44"/>
        </w:rPr>
      </w:r>
    </w:p>
    <w:p>
      <w:pPr>
        <w:pStyle w:val="2090"/>
        <w:pBdr/>
        <w:spacing/>
        <w:ind/>
        <w:jc w:val="center"/>
        <w:rPr>
          <w:rFonts w:ascii="Trebuchet MS" w:hAnsi="Trebuchet MS"/>
          <w:b/>
          <w:color w:val="82003c"/>
        </w:rPr>
      </w:pPr>
      <w:r>
        <w:rPr>
          <w:rFonts w:ascii="Trebuchet MS" w:hAnsi="Trebuchet MS"/>
          <w:b/>
          <w:color w:val="82003c"/>
          <w:sz w:val="44"/>
        </w:rPr>
        <w:t xml:space="preserve">Rapport d’audit fonctionnel et technique</w:t>
      </w:r>
      <w:r>
        <w:rPr>
          <w:rFonts w:ascii="Trebuchet MS" w:hAnsi="Trebuchet MS"/>
          <w:b/>
          <w:color w:val="82003c"/>
        </w:rPr>
      </w:r>
    </w:p>
    <w:p>
      <w:pPr>
        <w:pBdr/>
        <w:spacing w:line="240" w:lineRule="auto"/>
        <w:ind/>
        <w:rPr/>
      </w:pPr>
      <w:r/>
      <w:r/>
    </w:p>
    <w:p>
      <w:pPr>
        <w:pBdr/>
        <w:spacing w:line="240" w:lineRule="auto"/>
        <w:ind/>
        <w:jc w:val="center"/>
        <w:rPr>
          <w:sz w:val="22"/>
        </w:rPr>
      </w:pPr>
      <w:r>
        <w:rPr>
          <w:sz w:val="22"/>
        </w:rPr>
        <w:t xml:space="preserve">Par Fanny </w:t>
      </w:r>
      <w:r>
        <w:rPr>
          <w:sz w:val="22"/>
        </w:rPr>
        <w:t xml:space="preserve">Suszko</w:t>
      </w:r>
      <w:r>
        <w:rPr>
          <w:sz w:val="22"/>
        </w:rPr>
        <w:t xml:space="preserve">, stagiaire du Master 2 Technologies numériques appliquées à l’Histoire, Ecole des chartes, à la bibliothèque Cujas, 01/04/2026-31/07/2026</w:t>
      </w:r>
      <w:r>
        <w:rPr>
          <w:sz w:val="22"/>
        </w:rPr>
      </w:r>
    </w:p>
    <w:p>
      <w:pPr>
        <w:pBdr/>
        <w:spacing w:line="24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sdt>
      <w:sdtPr>
        <w15:appearance w15:val="boundingBox"/>
        <w:id w:val="-1001351676"/>
        <w:docPartObj>
          <w:docPartGallery w:val="Table of Contents"/>
          <w:docPartUnique w:val="true"/>
        </w:docPartObj>
        <w:rPr>
          <w:rFonts w:eastAsiaTheme="minorHAnsi" w:cstheme="minorBidi"/>
          <w:sz w:val="24"/>
          <w:szCs w:val="22"/>
          <w:lang w:eastAsia="en-US"/>
        </w:rPr>
      </w:sdtPr>
      <w:sdtContent>
        <w:p>
          <w:pPr>
            <w:pStyle w:val="2067"/>
            <w:pBdr/>
            <w:spacing w:line="240" w:lineRule="auto"/>
            <w:ind/>
            <w:jc w:val="center"/>
            <w:rPr>
              <w:rFonts w:cs="Times New Roman"/>
              <w:szCs w:val="24"/>
            </w:rPr>
          </w:pPr>
          <w:r>
            <w:rPr>
              <w:rFonts w:cs="Times New Roman"/>
              <w:szCs w:val="24"/>
            </w:rPr>
            <w:t xml:space="preserve">Table des matières</w:t>
          </w:r>
          <w:r>
            <w:rPr>
              <w:rFonts w:cs="Times New Roman"/>
              <w:szCs w:val="24"/>
            </w:rPr>
          </w:r>
        </w:p>
        <w:p>
          <w:pPr>
            <w:pBdr/>
            <w:spacing w:line="240" w:lineRule="auto"/>
            <w:ind/>
            <w:rPr>
              <w:lang w:eastAsia="fr-FR"/>
            </w:rPr>
          </w:pPr>
          <w:r>
            <w:rPr>
              <w:lang w:eastAsia="fr-FR"/>
            </w:rPr>
          </w:r>
          <w:r>
            <w:rPr>
              <w:lang w:eastAsia="fr-FR"/>
            </w:rPr>
          </w:r>
        </w:p>
        <w:p>
          <w:pPr>
            <w:pStyle w:val="2068"/>
            <w:pBdr/>
            <w:tabs>
              <w:tab w:val="right" w:leader="dot" w:pos="9062"/>
            </w:tabs>
            <w:spacing/>
            <w:ind/>
            <w:rPr>
              <w:rFonts w:asciiTheme="minorHAnsi" w:hAnsiTheme="minorHAnsi" w:eastAsiaTheme="minorEastAsia"/>
              <w:sz w:val="22"/>
              <w:lang w:eastAsia="fr-FR"/>
            </w:rPr>
          </w:pPr>
          <w:r>
            <w:rPr>
              <w:rFonts w:ascii="Times New Roman" w:hAnsi="Times New Roman" w:cs="Times New Roman"/>
              <w:szCs w:val="24"/>
            </w:rPr>
            <w:fldChar w:fldCharType="begin"/>
          </w:r>
          <w:r>
            <w:rPr>
              <w:rFonts w:ascii="Times New Roman" w:hAnsi="Times New Roman" w:cs="Times New Roman"/>
              <w:szCs w:val="24"/>
            </w:rPr>
            <w:instrText xml:space="preserve"> TOC \o "1-3" \h \z \u </w:instrText>
          </w:r>
          <w:r>
            <w:rPr>
              <w:rFonts w:ascii="Times New Roman" w:hAnsi="Times New Roman" w:cs="Times New Roman"/>
              <w:szCs w:val="24"/>
            </w:rPr>
            <w:fldChar w:fldCharType="separate"/>
          </w:r>
          <w:hyperlink w:tooltip="#_Toc236222406" w:anchor="_Toc236222406" w:history="1">
            <w:r>
              <w:rPr>
                <w:rStyle w:val="2069"/>
              </w:rPr>
              <w:t xml:space="preserve">Sources</w:t>
            </w:r>
            <w:r>
              <w:tab/>
            </w:r>
            <w:r>
              <w:fldChar w:fldCharType="begin"/>
            </w:r>
            <w:r>
              <w:instrText xml:space="preserve"> PAGEREF _Toc236222406 \h </w:instrText>
            </w:r>
            <w:r/>
            <w:r>
              <w:fldChar w:fldCharType="separate"/>
            </w:r>
            <w:r>
              <w:t xml:space="preserve">4</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07" w:anchor="_Toc236222407" w:history="1">
            <w:r>
              <w:rPr>
                <w:rStyle w:val="2069"/>
              </w:rPr>
              <w:t xml:space="preserve">Enseignants et chercheurs</w:t>
            </w:r>
            <w:r>
              <w:tab/>
            </w:r>
            <w:r>
              <w:fldChar w:fldCharType="begin"/>
            </w:r>
            <w:r>
              <w:instrText xml:space="preserve"> PAGEREF _Toc236222407 \h </w:instrText>
            </w:r>
            <w:r/>
            <w:r>
              <w:fldChar w:fldCharType="separate"/>
            </w:r>
            <w:r>
              <w:t xml:space="preserve">4</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08" w:anchor="_Toc236222408" w:history="1">
            <w:r>
              <w:rPr>
                <w:rStyle w:val="2069"/>
              </w:rPr>
              <w:t xml:space="preserve">Professionnel de Cujas</w:t>
            </w:r>
            <w:r>
              <w:tab/>
            </w:r>
            <w:r>
              <w:fldChar w:fldCharType="begin"/>
            </w:r>
            <w:r>
              <w:instrText xml:space="preserve"> PAGEREF _Toc236222408 \h </w:instrText>
            </w:r>
            <w:r/>
            <w:r>
              <w:fldChar w:fldCharType="separate"/>
            </w:r>
            <w:r>
              <w:t xml:space="preserve">4</w:t>
            </w:r>
            <w:r>
              <w:fldChar w:fldCharType="end"/>
            </w:r>
          </w:hyperlink>
          <w:r/>
          <w:r>
            <w:rPr>
              <w:rFonts w:asciiTheme="minorHAnsi" w:hAnsiTheme="minorHAnsi" w:eastAsiaTheme="minorEastAsia"/>
              <w:sz w:val="22"/>
              <w:lang w:eastAsia="fr-FR"/>
            </w:rPr>
          </w:r>
        </w:p>
        <w:p>
          <w:pPr>
            <w:pStyle w:val="2068"/>
            <w:pBdr/>
            <w:tabs>
              <w:tab w:val="right" w:leader="dot" w:pos="9062"/>
            </w:tabs>
            <w:spacing/>
            <w:ind/>
            <w:rPr>
              <w:rFonts w:asciiTheme="minorHAnsi" w:hAnsiTheme="minorHAnsi" w:eastAsiaTheme="minorEastAsia"/>
              <w:sz w:val="22"/>
              <w:lang w:eastAsia="fr-FR"/>
            </w:rPr>
          </w:pPr>
          <w:r/>
          <w:hyperlink w:tooltip="#_Toc236222409" w:anchor="_Toc236222409" w:history="1">
            <w:r>
              <w:rPr>
                <w:rStyle w:val="2069"/>
              </w:rPr>
              <w:t xml:space="preserve">Introduction</w:t>
            </w:r>
            <w:r>
              <w:tab/>
            </w:r>
            <w:r>
              <w:fldChar w:fldCharType="begin"/>
            </w:r>
            <w:r>
              <w:instrText xml:space="preserve"> PAGEREF _Toc236222409 \h </w:instrText>
            </w:r>
            <w:r/>
            <w:r>
              <w:fldChar w:fldCharType="separate"/>
            </w:r>
            <w:r>
              <w:t xml:space="preserve">6</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10" w:anchor="_Toc236222410" w:history="1">
            <w:r>
              <w:rPr>
                <w:rStyle w:val="2069"/>
              </w:rPr>
              <w:t xml:space="preserve">Contexte</w:t>
            </w:r>
            <w:r>
              <w:tab/>
            </w:r>
            <w:r>
              <w:fldChar w:fldCharType="begin"/>
            </w:r>
            <w:r>
              <w:instrText xml:space="preserve"> PAGEREF _Toc236222410 \h </w:instrText>
            </w:r>
            <w:r/>
            <w:r>
              <w:fldChar w:fldCharType="separate"/>
            </w:r>
            <w:r>
              <w:t xml:space="preserve">6</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11" w:anchor="_Toc236222411" w:history="1">
            <w:r>
              <w:rPr>
                <w:rStyle w:val="2069"/>
              </w:rPr>
              <w:t xml:space="preserve">Présentation du projet de la bibliothèque</w:t>
            </w:r>
            <w:r>
              <w:tab/>
            </w:r>
            <w:r>
              <w:fldChar w:fldCharType="begin"/>
            </w:r>
            <w:r>
              <w:instrText xml:space="preserve"> PAGEREF _Toc236222411 \h </w:instrText>
            </w:r>
            <w:r/>
            <w:r>
              <w:fldChar w:fldCharType="separate"/>
            </w:r>
            <w:r>
              <w:t xml:space="preserve">6</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12" w:anchor="_Toc236222412" w:history="1">
            <w:r>
              <w:rPr>
                <w:rStyle w:val="2069"/>
              </w:rPr>
              <w:t xml:space="preserve">Objectifs des entretiens</w:t>
            </w:r>
            <w:r>
              <w:tab/>
            </w:r>
            <w:r>
              <w:fldChar w:fldCharType="begin"/>
            </w:r>
            <w:r>
              <w:instrText xml:space="preserve"> PAGEREF _Toc236222412 \h </w:instrText>
            </w:r>
            <w:r/>
            <w:r>
              <w:fldChar w:fldCharType="separate"/>
            </w:r>
            <w:r>
              <w:t xml:space="preserve">7</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13" w:anchor="_Toc236222413" w:history="1">
            <w:r>
              <w:rPr>
                <w:rStyle w:val="2069"/>
              </w:rPr>
              <w:t xml:space="preserve">Méthodologie employée</w:t>
            </w:r>
            <w:r>
              <w:tab/>
            </w:r>
            <w:r>
              <w:fldChar w:fldCharType="begin"/>
            </w:r>
            <w:r>
              <w:instrText xml:space="preserve"> PAGEREF _Toc236222413 \h </w:instrText>
            </w:r>
            <w:r/>
            <w:r>
              <w:fldChar w:fldCharType="separate"/>
            </w:r>
            <w:r>
              <w:t xml:space="preserve">7</w:t>
            </w:r>
            <w:r>
              <w:fldChar w:fldCharType="end"/>
            </w:r>
          </w:hyperlink>
          <w:r/>
          <w:r>
            <w:rPr>
              <w:rFonts w:asciiTheme="minorHAnsi" w:hAnsiTheme="minorHAnsi" w:eastAsiaTheme="minorEastAsia"/>
              <w:sz w:val="22"/>
              <w:lang w:eastAsia="fr-FR"/>
            </w:rPr>
          </w:r>
        </w:p>
        <w:p>
          <w:pPr>
            <w:pStyle w:val="2068"/>
            <w:pBdr/>
            <w:tabs>
              <w:tab w:val="right" w:leader="dot" w:pos="9062"/>
            </w:tabs>
            <w:spacing/>
            <w:ind/>
            <w:rPr>
              <w:rFonts w:asciiTheme="minorHAnsi" w:hAnsiTheme="minorHAnsi" w:eastAsiaTheme="minorEastAsia"/>
              <w:sz w:val="22"/>
              <w:lang w:eastAsia="fr-FR"/>
            </w:rPr>
          </w:pPr>
          <w:r/>
          <w:hyperlink w:tooltip="#_Toc236222414" w:anchor="_Toc236222414" w:history="1">
            <w:r>
              <w:rPr>
                <w:rStyle w:val="2069"/>
              </w:rPr>
              <w:t xml:space="preserve">Analyse fonctionnelle</w:t>
            </w:r>
            <w:r>
              <w:tab/>
            </w:r>
            <w:r>
              <w:fldChar w:fldCharType="begin"/>
            </w:r>
            <w:r>
              <w:instrText xml:space="preserve"> PAGEREF _Toc236222414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15" w:anchor="_Toc236222415" w:history="1">
            <w:r>
              <w:rPr>
                <w:rStyle w:val="2069"/>
              </w:rPr>
              <w:t xml:space="preserve">1.</w:t>
            </w:r>
            <w:r>
              <w:rPr>
                <w:rFonts w:asciiTheme="minorHAnsi" w:hAnsiTheme="minorHAnsi" w:eastAsiaTheme="minorEastAsia"/>
                <w:sz w:val="22"/>
                <w:lang w:eastAsia="fr-FR"/>
              </w:rPr>
              <w:tab/>
            </w:r>
            <w:r>
              <w:rPr>
                <w:rStyle w:val="2069"/>
              </w:rPr>
              <w:t xml:space="preserve">Les contenus</w:t>
            </w:r>
            <w:r>
              <w:tab/>
            </w:r>
            <w:r>
              <w:fldChar w:fldCharType="begin"/>
            </w:r>
            <w:r>
              <w:instrText xml:space="preserve"> PAGEREF _Toc236222415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16" w:anchor="_Toc236222416" w:history="1">
            <w:r>
              <w:rPr>
                <w:rStyle w:val="2069"/>
              </w:rPr>
              <w:t xml:space="preserve">1.1.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_Toc236222416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17" w:anchor="_Toc236222417" w:history="1">
            <w:r>
              <w:rPr>
                <w:rStyle w:val="2069"/>
              </w:rPr>
              <w:t xml:space="preserve">1.1.1.</w:t>
            </w:r>
            <w:r>
              <w:rPr>
                <w:rFonts w:asciiTheme="minorHAnsi" w:hAnsiTheme="minorHAnsi" w:eastAsiaTheme="minorEastAsia"/>
                <w:sz w:val="22"/>
                <w:lang w:eastAsia="fr-FR"/>
              </w:rPr>
              <w:tab/>
            </w:r>
            <w:r>
              <w:rPr>
                <w:rStyle w:val="2069"/>
              </w:rPr>
              <w:t xml:space="preserve">La politique documentaire et la qualité scientifique des contenus</w:t>
            </w:r>
            <w:r>
              <w:tab/>
            </w:r>
            <w:r>
              <w:fldChar w:fldCharType="begin"/>
            </w:r>
            <w:r>
              <w:instrText xml:space="preserve"> PAGEREF _Toc236222417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18" w:anchor="_Toc236222418" w:history="1">
            <w:r>
              <w:rPr>
                <w:rStyle w:val="2069"/>
              </w:rPr>
              <w:t xml:space="preserve">1.1.2.</w:t>
            </w:r>
            <w:r>
              <w:rPr>
                <w:rFonts w:asciiTheme="minorHAnsi" w:hAnsiTheme="minorHAnsi" w:eastAsiaTheme="minorEastAsia"/>
                <w:sz w:val="22"/>
                <w:lang w:eastAsia="fr-FR"/>
              </w:rPr>
              <w:tab/>
            </w:r>
            <w:r>
              <w:rPr>
                <w:rStyle w:val="2069"/>
              </w:rPr>
              <w:t xml:space="preserve">La diversité des types de documents</w:t>
            </w:r>
            <w:r>
              <w:tab/>
            </w:r>
            <w:r>
              <w:fldChar w:fldCharType="begin"/>
            </w:r>
            <w:r>
              <w:instrText xml:space="preserve"> PAGEREF _Toc236222418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19" w:anchor="_Toc236222419" w:history="1">
            <w:r>
              <w:rPr>
                <w:rStyle w:val="2069"/>
              </w:rPr>
              <w:t xml:space="preserve">1.1.3.</w:t>
            </w:r>
            <w:r>
              <w:rPr>
                <w:rFonts w:asciiTheme="minorHAnsi" w:hAnsiTheme="minorHAnsi" w:eastAsiaTheme="minorEastAsia"/>
                <w:sz w:val="22"/>
                <w:lang w:eastAsia="fr-FR"/>
              </w:rPr>
              <w:tab/>
            </w:r>
            <w:r>
              <w:rPr>
                <w:rStyle w:val="2069"/>
              </w:rPr>
              <w:t xml:space="preserve">L’éditorialisation</w:t>
            </w:r>
            <w:r>
              <w:tab/>
            </w:r>
            <w:r>
              <w:fldChar w:fldCharType="begin"/>
            </w:r>
            <w:r>
              <w:instrText xml:space="preserve"> PAGEREF _Toc236222419 \h </w:instrText>
            </w:r>
            <w:r/>
            <w:r>
              <w:fldChar w:fldCharType="separate"/>
            </w:r>
            <w:r>
              <w:t xml:space="preserve">8</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0" w:anchor="_Toc236222420" w:history="1">
            <w:r>
              <w:rPr>
                <w:rStyle w:val="2069"/>
              </w:rPr>
              <w:t xml:space="preserve">1.1.4.</w:t>
            </w:r>
            <w:r>
              <w:rPr>
                <w:rFonts w:asciiTheme="minorHAnsi" w:hAnsiTheme="minorHAnsi" w:eastAsiaTheme="minorEastAsia"/>
                <w:sz w:val="22"/>
                <w:lang w:eastAsia="fr-FR"/>
              </w:rPr>
              <w:tab/>
            </w:r>
            <w:r>
              <w:rPr>
                <w:rStyle w:val="2069"/>
              </w:rPr>
              <w:t xml:space="preserve">L’intégration de collections d’autres bibliothèques numériques</w:t>
            </w:r>
            <w:r>
              <w:tab/>
            </w:r>
            <w:r>
              <w:fldChar w:fldCharType="begin"/>
            </w:r>
            <w:r>
              <w:instrText xml:space="preserve"> PAGEREF _Toc236222420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21" w:anchor="_Toc236222421" w:history="1">
            <w:r>
              <w:rPr>
                <w:rStyle w:val="2069"/>
              </w:rPr>
              <w:t xml:space="preserve">1.2.</w:t>
            </w:r>
            <w:r>
              <w:rPr>
                <w:rFonts w:asciiTheme="minorHAnsi" w:hAnsiTheme="minorHAnsi" w:eastAsiaTheme="minorEastAsia"/>
                <w:sz w:val="22"/>
                <w:lang w:eastAsia="fr-FR"/>
              </w:rPr>
              <w:tab/>
            </w:r>
            <w:r>
              <w:rPr>
                <w:rStyle w:val="2069"/>
              </w:rPr>
              <w:t xml:space="preserve">Les propositions d’améliorations des répondants</w:t>
            </w:r>
            <w:r>
              <w:tab/>
            </w:r>
            <w:r>
              <w:fldChar w:fldCharType="begin"/>
            </w:r>
            <w:r>
              <w:instrText xml:space="preserve"> PAGEREF _Toc236222421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2" w:anchor="_Toc236222422" w:history="1">
            <w:r>
              <w:rPr>
                <w:rStyle w:val="2069"/>
              </w:rPr>
              <w:t xml:space="preserve">1.1.1.</w:t>
            </w:r>
            <w:r>
              <w:rPr>
                <w:rFonts w:asciiTheme="minorHAnsi" w:hAnsiTheme="minorHAnsi" w:eastAsiaTheme="minorEastAsia"/>
                <w:sz w:val="22"/>
                <w:lang w:eastAsia="fr-FR"/>
              </w:rPr>
              <w:tab/>
            </w:r>
            <w:r>
              <w:rPr>
                <w:rStyle w:val="2069"/>
              </w:rPr>
              <w:t xml:space="preserve">La politique documentaire et la qualité scientifique des contenus</w:t>
            </w:r>
            <w:r>
              <w:tab/>
            </w:r>
            <w:r>
              <w:fldChar w:fldCharType="begin"/>
            </w:r>
            <w:r>
              <w:instrText xml:space="preserve"> PAGEREF _Toc236222422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3" w:anchor="_Toc236222423" w:history="1">
            <w:r>
              <w:rPr>
                <w:rStyle w:val="2069"/>
              </w:rPr>
              <w:t xml:space="preserve">1.1.2.</w:t>
            </w:r>
            <w:r>
              <w:rPr>
                <w:rFonts w:asciiTheme="minorHAnsi" w:hAnsiTheme="minorHAnsi" w:eastAsiaTheme="minorEastAsia"/>
                <w:sz w:val="22"/>
                <w:lang w:eastAsia="fr-FR"/>
              </w:rPr>
              <w:tab/>
            </w:r>
            <w:r>
              <w:rPr>
                <w:rStyle w:val="2069"/>
              </w:rPr>
              <w:t xml:space="preserve">La diversité des types de documents</w:t>
            </w:r>
            <w:r>
              <w:tab/>
            </w:r>
            <w:r>
              <w:fldChar w:fldCharType="begin"/>
            </w:r>
            <w:r>
              <w:instrText xml:space="preserve"> PAGEREF _Toc236222423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4" w:anchor="_Toc236222424" w:history="1">
            <w:r>
              <w:rPr>
                <w:rStyle w:val="2069"/>
              </w:rPr>
              <w:t xml:space="preserve">1.1.3.</w:t>
            </w:r>
            <w:r>
              <w:rPr>
                <w:rFonts w:asciiTheme="minorHAnsi" w:hAnsiTheme="minorHAnsi" w:eastAsiaTheme="minorEastAsia"/>
                <w:sz w:val="22"/>
                <w:lang w:eastAsia="fr-FR"/>
              </w:rPr>
              <w:tab/>
            </w:r>
            <w:r>
              <w:rPr>
                <w:rStyle w:val="2069"/>
              </w:rPr>
              <w:t xml:space="preserve">L’éditorialisation</w:t>
            </w:r>
            <w:r>
              <w:tab/>
            </w:r>
            <w:r>
              <w:fldChar w:fldCharType="begin"/>
            </w:r>
            <w:r>
              <w:instrText xml:space="preserve"> PAGEREF _Toc236222424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5" w:anchor="_Toc236222425" w:history="1">
            <w:r>
              <w:rPr>
                <w:rStyle w:val="2069"/>
              </w:rPr>
              <w:t xml:space="preserve">1.1.4.</w:t>
            </w:r>
            <w:r>
              <w:rPr>
                <w:rFonts w:asciiTheme="minorHAnsi" w:hAnsiTheme="minorHAnsi" w:eastAsiaTheme="minorEastAsia"/>
                <w:sz w:val="22"/>
                <w:lang w:eastAsia="fr-FR"/>
              </w:rPr>
              <w:tab/>
            </w:r>
            <w:r>
              <w:rPr>
                <w:rStyle w:val="2069"/>
              </w:rPr>
              <w:t xml:space="preserve">Les éléments de communication</w:t>
            </w:r>
            <w:r>
              <w:tab/>
            </w:r>
            <w:r>
              <w:fldChar w:fldCharType="begin"/>
            </w:r>
            <w:r>
              <w:instrText xml:space="preserve"> PAGEREF _Toc236222425 \h </w:instrText>
            </w:r>
            <w:r/>
            <w:r>
              <w:fldChar w:fldCharType="separate"/>
            </w:r>
            <w:r>
              <w:t xml:space="preserve">9</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6" w:anchor="_Toc236222426" w:history="1">
            <w:r>
              <w:rPr>
                <w:rStyle w:val="2069"/>
              </w:rPr>
              <w:t xml:space="preserve">1.1.5.</w:t>
            </w:r>
            <w:r>
              <w:rPr>
                <w:rFonts w:asciiTheme="minorHAnsi" w:hAnsiTheme="minorHAnsi" w:eastAsiaTheme="minorEastAsia"/>
                <w:sz w:val="22"/>
                <w:lang w:eastAsia="fr-FR"/>
              </w:rPr>
              <w:tab/>
            </w:r>
            <w:r>
              <w:rPr>
                <w:rStyle w:val="2069"/>
              </w:rPr>
              <w:t xml:space="preserve">L’intégration de collections d’autres bibliothèques numériques</w:t>
            </w:r>
            <w:r>
              <w:tab/>
            </w:r>
            <w:r>
              <w:fldChar w:fldCharType="begin"/>
            </w:r>
            <w:r>
              <w:instrText xml:space="preserve"> PAGEREF _Toc236222426 \h </w:instrText>
            </w:r>
            <w:r/>
            <w:r>
              <w:fldChar w:fldCharType="separate"/>
            </w:r>
            <w:r>
              <w:t xml:space="preserve">10</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27" w:anchor="_Toc236222427" w:history="1">
            <w:r>
              <w:rPr>
                <w:rStyle w:val="2069"/>
              </w:rPr>
              <w:t xml:space="preserve">2.</w:t>
            </w:r>
            <w:r>
              <w:rPr>
                <w:rFonts w:asciiTheme="minorHAnsi" w:hAnsiTheme="minorHAnsi" w:eastAsiaTheme="minorEastAsia"/>
                <w:sz w:val="22"/>
                <w:lang w:eastAsia="fr-FR"/>
              </w:rPr>
              <w:tab/>
            </w:r>
            <w:r>
              <w:rPr>
                <w:rStyle w:val="2069"/>
              </w:rPr>
              <w:t xml:space="preserve">Les publics</w:t>
            </w:r>
            <w:r>
              <w:tab/>
            </w:r>
            <w:r>
              <w:fldChar w:fldCharType="begin"/>
            </w:r>
            <w:r>
              <w:instrText xml:space="preserve"> PAGEREF _Toc236222427 \h </w:instrText>
            </w:r>
            <w:r/>
            <w:r>
              <w:fldChar w:fldCharType="separate"/>
            </w:r>
            <w:r>
              <w:t xml:space="preserve">10</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28" w:anchor="_Toc236222428" w:history="1">
            <w:r>
              <w:rPr>
                <w:rStyle w:val="2069"/>
              </w:rPr>
              <w:t xml:space="preserve">2.1.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_Toc236222428 \h </w:instrText>
            </w:r>
            <w:r/>
            <w:r>
              <w:fldChar w:fldCharType="separate"/>
            </w:r>
            <w:r>
              <w:t xml:space="preserve">10</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29" w:anchor="_Toc236222429" w:history="1">
            <w:r>
              <w:rPr>
                <w:rStyle w:val="2069"/>
              </w:rPr>
              <w:t xml:space="preserve">2.1.1.</w:t>
            </w:r>
            <w:r>
              <w:rPr>
                <w:rFonts w:asciiTheme="minorHAnsi" w:hAnsiTheme="minorHAnsi" w:eastAsiaTheme="minorEastAsia"/>
                <w:sz w:val="22"/>
                <w:lang w:eastAsia="fr-FR"/>
              </w:rPr>
              <w:tab/>
            </w:r>
            <w:r>
              <w:rPr>
                <w:rStyle w:val="2069"/>
              </w:rPr>
              <w:t xml:space="preserve">Les profils des utilisateurs</w:t>
            </w:r>
            <w:r>
              <w:tab/>
            </w:r>
            <w:r>
              <w:fldChar w:fldCharType="begin"/>
            </w:r>
            <w:r>
              <w:instrText xml:space="preserve"> PAGEREF _Toc236222429 \h </w:instrText>
            </w:r>
            <w:r/>
            <w:r>
              <w:fldChar w:fldCharType="separate"/>
            </w:r>
            <w:r>
              <w:t xml:space="preserve">10</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30" w:anchor="_Toc236222430" w:history="1">
            <w:r>
              <w:rPr>
                <w:rStyle w:val="2069"/>
              </w:rPr>
              <w:t xml:space="preserve">2.1.2.</w:t>
            </w:r>
            <w:r>
              <w:rPr>
                <w:rFonts w:asciiTheme="minorHAnsi" w:hAnsiTheme="minorHAnsi" w:eastAsiaTheme="minorEastAsia"/>
                <w:sz w:val="22"/>
                <w:lang w:eastAsia="fr-FR"/>
              </w:rPr>
              <w:tab/>
            </w:r>
            <w:r>
              <w:rPr>
                <w:rStyle w:val="2069"/>
              </w:rPr>
              <w:t xml:space="preserve">La fréquentation</w:t>
            </w:r>
            <w:r>
              <w:tab/>
            </w:r>
            <w:r>
              <w:fldChar w:fldCharType="begin"/>
            </w:r>
            <w:r>
              <w:instrText xml:space="preserve"> PAGEREF _Toc236222430 \h </w:instrText>
            </w:r>
            <w:r/>
            <w:r>
              <w:fldChar w:fldCharType="separate"/>
            </w:r>
            <w:r>
              <w:t xml:space="preserve">10</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31" w:anchor="_Toc236222431" w:history="1">
            <w:r>
              <w:rPr>
                <w:rStyle w:val="2069"/>
              </w:rPr>
              <w:t xml:space="preserve">2.1.3.</w:t>
            </w:r>
            <w:r>
              <w:rPr>
                <w:rFonts w:asciiTheme="minorHAnsi" w:hAnsiTheme="minorHAnsi" w:eastAsiaTheme="minorEastAsia"/>
                <w:sz w:val="22"/>
                <w:lang w:eastAsia="fr-FR"/>
              </w:rPr>
              <w:tab/>
            </w:r>
            <w:r>
              <w:rPr>
                <w:rStyle w:val="2069"/>
              </w:rPr>
              <w:t xml:space="preserve">Les statistiques de consultation</w:t>
            </w:r>
            <w:r>
              <w:tab/>
            </w:r>
            <w:r>
              <w:fldChar w:fldCharType="begin"/>
            </w:r>
            <w:r>
              <w:instrText xml:space="preserve"> PAGEREF _Toc236222431 \h </w:instrText>
            </w:r>
            <w:r/>
            <w:r>
              <w:fldChar w:fldCharType="separate"/>
            </w:r>
            <w:r>
              <w:t xml:space="preserve">11</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32" w:anchor="_Toc236222432" w:history="1">
            <w:r>
              <w:rPr>
                <w:rStyle w:val="2069"/>
              </w:rPr>
              <w:t xml:space="preserve">2.2.</w:t>
            </w:r>
            <w:r>
              <w:rPr>
                <w:rFonts w:asciiTheme="minorHAnsi" w:hAnsiTheme="minorHAnsi" w:eastAsiaTheme="minorEastAsia"/>
                <w:sz w:val="22"/>
                <w:lang w:eastAsia="fr-FR"/>
              </w:rPr>
              <w:tab/>
            </w:r>
            <w:r>
              <w:rPr>
                <w:rStyle w:val="2069"/>
              </w:rPr>
              <w:t xml:space="preserve">Les propositions d’améliorations des répondants</w:t>
            </w:r>
            <w:r>
              <w:tab/>
            </w:r>
            <w:r>
              <w:fldChar w:fldCharType="begin"/>
            </w:r>
            <w:r>
              <w:instrText xml:space="preserve"> PAGEREF _Toc236222432 \h </w:instrText>
            </w:r>
            <w:r/>
            <w:r>
              <w:fldChar w:fldCharType="separate"/>
            </w:r>
            <w:r>
              <w:t xml:space="preserve">11</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33" w:anchor="_Toc236222433" w:history="1">
            <w:r>
              <w:rPr>
                <w:rStyle w:val="2069"/>
              </w:rPr>
              <w:t xml:space="preserve">3.</w:t>
            </w:r>
            <w:r>
              <w:rPr>
                <w:rFonts w:asciiTheme="minorHAnsi" w:hAnsiTheme="minorHAnsi" w:eastAsiaTheme="minorEastAsia"/>
                <w:sz w:val="22"/>
                <w:lang w:eastAsia="fr-FR"/>
              </w:rPr>
              <w:tab/>
            </w:r>
            <w:r>
              <w:rPr>
                <w:rStyle w:val="2069"/>
              </w:rPr>
              <w:t xml:space="preserve">La description des documents</w:t>
            </w:r>
            <w:r>
              <w:tab/>
            </w:r>
            <w:r>
              <w:fldChar w:fldCharType="begin"/>
            </w:r>
            <w:r>
              <w:instrText xml:space="preserve"> PAGEREF _Toc236222433 \h </w:instrText>
            </w:r>
            <w:r/>
            <w:r>
              <w:fldChar w:fldCharType="separate"/>
            </w:r>
            <w:r>
              <w:t xml:space="preserve">11</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34" w:anchor="_Toc236222434" w:history="1">
            <w:r>
              <w:rPr>
                <w:rStyle w:val="2069"/>
              </w:rPr>
              <w:t xml:space="preserve">3.1.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_Toc236222434 \h </w:instrText>
            </w:r>
            <w:r/>
            <w:r>
              <w:fldChar w:fldCharType="separate"/>
            </w:r>
            <w:r>
              <w:t xml:space="preserve">11</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35" w:anchor="_Toc236222435" w:history="1">
            <w:r>
              <w:rPr>
                <w:rStyle w:val="2069"/>
              </w:rPr>
              <w:t xml:space="preserve">3.2.</w:t>
            </w:r>
            <w:r>
              <w:rPr>
                <w:rFonts w:asciiTheme="minorHAnsi" w:hAnsiTheme="minorHAnsi" w:eastAsiaTheme="minorEastAsia"/>
                <w:sz w:val="22"/>
                <w:lang w:eastAsia="fr-FR"/>
              </w:rPr>
              <w:tab/>
            </w:r>
            <w:r>
              <w:rPr>
                <w:rStyle w:val="2069"/>
              </w:rPr>
              <w:t xml:space="preserve">Les propositions d’amélioration des répondants</w:t>
            </w:r>
            <w:r>
              <w:tab/>
            </w:r>
            <w:r>
              <w:fldChar w:fldCharType="begin"/>
            </w:r>
            <w:r>
              <w:instrText xml:space="preserve"> PAGEREF _Toc236222435 \h </w:instrText>
            </w:r>
            <w:r/>
            <w:r>
              <w:fldChar w:fldCharType="separate"/>
            </w:r>
            <w:r>
              <w:t xml:space="preserve">12</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36" w:anchor="_Toc236222436" w:history="1">
            <w:r>
              <w:rPr>
                <w:rStyle w:val="2069"/>
              </w:rPr>
              <w:t xml:space="preserve">4.</w:t>
            </w:r>
            <w:r>
              <w:rPr>
                <w:rFonts w:asciiTheme="minorHAnsi" w:hAnsiTheme="minorHAnsi" w:eastAsiaTheme="minorEastAsia"/>
                <w:sz w:val="22"/>
                <w:lang w:eastAsia="fr-FR"/>
              </w:rPr>
              <w:tab/>
            </w:r>
            <w:r>
              <w:rPr>
                <w:rStyle w:val="2069"/>
              </w:rPr>
              <w:t xml:space="preserve">La recherche d’information</w:t>
            </w:r>
            <w:r>
              <w:tab/>
            </w:r>
            <w:r>
              <w:fldChar w:fldCharType="begin"/>
            </w:r>
            <w:r>
              <w:instrText xml:space="preserve"> PAGEREF _Toc236222436 \h </w:instrText>
            </w:r>
            <w:r/>
            <w:r>
              <w:fldChar w:fldCharType="separate"/>
            </w:r>
            <w:r>
              <w:t xml:space="preserve">12</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37" w:anchor="_Toc236222437" w:history="1">
            <w:r>
              <w:rPr>
                <w:rStyle w:val="2069"/>
              </w:rPr>
              <w:t xml:space="preserve">4.1.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_Toc236222437 \h </w:instrText>
            </w:r>
            <w:r/>
            <w:r>
              <w:fldChar w:fldCharType="separate"/>
            </w:r>
            <w:r>
              <w:t xml:space="preserve">12</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38" w:anchor="_Toc236222438" w:history="1">
            <w:r>
              <w:rPr>
                <w:rStyle w:val="2069"/>
                <w:rFonts w:eastAsia="Times New Roman"/>
                <w:lang w:eastAsia="fr-FR"/>
              </w:rPr>
              <w:t xml:space="preserve">4.1.1.</w:t>
            </w:r>
            <w:r>
              <w:rPr>
                <w:rFonts w:asciiTheme="minorHAnsi" w:hAnsiTheme="minorHAnsi" w:eastAsiaTheme="minorEastAsia"/>
                <w:sz w:val="22"/>
                <w:lang w:eastAsia="fr-FR"/>
              </w:rPr>
              <w:tab/>
            </w:r>
            <w:r>
              <w:rPr>
                <w:rStyle w:val="2069"/>
                <w:rFonts w:eastAsia="Times New Roman"/>
                <w:lang w:eastAsia="fr-FR"/>
              </w:rPr>
              <w:t xml:space="preserve">Les différents moyens de recherche : recherche simple, avancée et dans l’OCR</w:t>
            </w:r>
            <w:r>
              <w:tab/>
            </w:r>
            <w:r>
              <w:fldChar w:fldCharType="begin"/>
            </w:r>
            <w:r>
              <w:instrText xml:space="preserve"> PAGEREF _Toc236222438 \h </w:instrText>
            </w:r>
            <w:r/>
            <w:r>
              <w:fldChar w:fldCharType="separate"/>
            </w:r>
            <w:r>
              <w:t xml:space="preserve">12</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39" w:anchor="_Toc236222439" w:history="1">
            <w:r>
              <w:rPr>
                <w:rStyle w:val="2069"/>
                <w:rFonts w:eastAsia="Times New Roman"/>
                <w:lang w:eastAsia="fr-FR"/>
              </w:rPr>
              <w:t xml:space="preserve">4.1.2.</w:t>
            </w:r>
            <w:r>
              <w:rPr>
                <w:rFonts w:asciiTheme="minorHAnsi" w:hAnsiTheme="minorHAnsi" w:eastAsiaTheme="minorEastAsia"/>
                <w:sz w:val="22"/>
                <w:lang w:eastAsia="fr-FR"/>
              </w:rPr>
              <w:tab/>
            </w:r>
            <w:r>
              <w:rPr>
                <w:rStyle w:val="2069"/>
                <w:rFonts w:eastAsia="Times New Roman"/>
                <w:lang w:eastAsia="fr-FR"/>
              </w:rPr>
              <w:t xml:space="preserve">Navigation par thèmes</w:t>
            </w:r>
            <w:r>
              <w:tab/>
            </w:r>
            <w:r>
              <w:fldChar w:fldCharType="begin"/>
            </w:r>
            <w:r>
              <w:instrText xml:space="preserve"> PAGEREF _Toc236222439 \h </w:instrText>
            </w:r>
            <w:r/>
            <w:r>
              <w:fldChar w:fldCharType="separate"/>
            </w:r>
            <w:r>
              <w:t xml:space="preserve">12</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40" w:anchor="_Toc236222440" w:history="1">
            <w:r>
              <w:rPr>
                <w:rStyle w:val="2069"/>
              </w:rPr>
              <w:t xml:space="preserve">4.2.</w:t>
            </w:r>
            <w:r>
              <w:rPr>
                <w:rFonts w:asciiTheme="minorHAnsi" w:hAnsiTheme="minorHAnsi" w:eastAsiaTheme="minorEastAsia"/>
                <w:sz w:val="22"/>
                <w:lang w:eastAsia="fr-FR"/>
              </w:rPr>
              <w:tab/>
            </w:r>
            <w:r>
              <w:rPr>
                <w:rStyle w:val="2069"/>
              </w:rPr>
              <w:t xml:space="preserve">Les propositions d’amélioration des répondants</w:t>
            </w:r>
            <w:r>
              <w:tab/>
            </w:r>
            <w:r>
              <w:fldChar w:fldCharType="begin"/>
            </w:r>
            <w:r>
              <w:instrText xml:space="preserve"> PAGEREF _Toc236222440 \h </w:instrText>
            </w:r>
            <w:r/>
            <w:r>
              <w:fldChar w:fldCharType="separate"/>
            </w:r>
            <w:r>
              <w:t xml:space="preserve">13</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41" w:anchor="_Toc236222441" w:history="1">
            <w:r>
              <w:rPr>
                <w:rStyle w:val="2069"/>
                <w:rFonts w:eastAsia="Times New Roman"/>
                <w:lang w:eastAsia="fr-FR"/>
              </w:rPr>
              <w:t xml:space="preserve">4.2.1.</w:t>
            </w:r>
            <w:r>
              <w:rPr>
                <w:rFonts w:asciiTheme="minorHAnsi" w:hAnsiTheme="minorHAnsi" w:eastAsiaTheme="minorEastAsia"/>
                <w:sz w:val="22"/>
                <w:lang w:eastAsia="fr-FR"/>
              </w:rPr>
              <w:tab/>
            </w:r>
            <w:r>
              <w:rPr>
                <w:rStyle w:val="2069"/>
                <w:rFonts w:eastAsia="Times New Roman"/>
                <w:lang w:eastAsia="fr-FR"/>
              </w:rPr>
              <w:t xml:space="preserve">Les différents moyens de recherche : recherche simple, avancée et par OCR</w:t>
            </w:r>
            <w:r>
              <w:tab/>
            </w:r>
            <w:r>
              <w:fldChar w:fldCharType="begin"/>
            </w:r>
            <w:r>
              <w:instrText xml:space="preserve"> PAGEREF _Toc236222441 \h </w:instrText>
            </w:r>
            <w:r/>
            <w:r>
              <w:fldChar w:fldCharType="separate"/>
            </w:r>
            <w:r>
              <w:t xml:space="preserve">13</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42" w:anchor="_Toc236222442" w:history="1">
            <w:r>
              <w:rPr>
                <w:rStyle w:val="2069"/>
                <w:rFonts w:eastAsia="Times New Roman"/>
                <w:lang w:eastAsia="fr-FR"/>
              </w:rPr>
              <w:t xml:space="preserve">4.2.2.</w:t>
            </w:r>
            <w:r>
              <w:rPr>
                <w:rFonts w:asciiTheme="minorHAnsi" w:hAnsiTheme="minorHAnsi" w:eastAsiaTheme="minorEastAsia"/>
                <w:sz w:val="22"/>
                <w:lang w:eastAsia="fr-FR"/>
              </w:rPr>
              <w:tab/>
            </w:r>
            <w:r>
              <w:rPr>
                <w:rStyle w:val="2069"/>
                <w:rFonts w:eastAsia="Times New Roman"/>
                <w:lang w:eastAsia="fr-FR"/>
              </w:rPr>
              <w:t xml:space="preserve">Navigation par thèmes</w:t>
            </w:r>
            <w:r>
              <w:tab/>
            </w:r>
            <w:r>
              <w:fldChar w:fldCharType="begin"/>
            </w:r>
            <w:r>
              <w:instrText xml:space="preserve"> PAGEREF _Toc236222442 \h </w:instrText>
            </w:r>
            <w:r/>
            <w:r>
              <w:fldChar w:fldCharType="separate"/>
            </w:r>
            <w:r>
              <w:t xml:space="preserve">13</w:t>
            </w:r>
            <w:r>
              <w:fldChar w:fldCharType="end"/>
            </w:r>
          </w:hyperlink>
          <w:r/>
          <w:r>
            <w:rPr>
              <w:rFonts w:asciiTheme="minorHAnsi" w:hAnsiTheme="minorHAnsi" w:eastAsiaTheme="minorEastAsia"/>
              <w:sz w:val="22"/>
              <w:lang w:eastAsia="fr-FR"/>
            </w:rPr>
          </w:r>
        </w:p>
        <w:p>
          <w:pPr>
            <w:pStyle w:val="2075"/>
            <w:pBdr/>
            <w:tabs>
              <w:tab w:val="left" w:leader="none" w:pos="1320"/>
              <w:tab w:val="right" w:leader="dot" w:pos="9062"/>
            </w:tabs>
            <w:spacing/>
            <w:ind/>
            <w:rPr>
              <w:rFonts w:asciiTheme="minorHAnsi" w:hAnsiTheme="minorHAnsi" w:eastAsiaTheme="minorEastAsia"/>
              <w:sz w:val="22"/>
              <w:lang w:eastAsia="fr-FR"/>
            </w:rPr>
          </w:pPr>
          <w:r/>
          <w:hyperlink w:tooltip="#_Toc236222443" w:anchor="_Toc236222443" w:history="1">
            <w:r>
              <w:rPr>
                <w:rStyle w:val="2069"/>
                <w:rFonts w:eastAsia="Times New Roman"/>
                <w:lang w:eastAsia="fr-FR"/>
              </w:rPr>
              <w:t xml:space="preserve">4.2.3.</w:t>
            </w:r>
            <w:r>
              <w:rPr>
                <w:rFonts w:asciiTheme="minorHAnsi" w:hAnsiTheme="minorHAnsi" w:eastAsiaTheme="minorEastAsia"/>
                <w:sz w:val="22"/>
                <w:lang w:eastAsia="fr-FR"/>
              </w:rPr>
              <w:tab/>
            </w:r>
            <w:r>
              <w:rPr>
                <w:rStyle w:val="2069"/>
                <w:rFonts w:eastAsia="Times New Roman"/>
                <w:lang w:eastAsia="fr-FR"/>
              </w:rPr>
              <w:t xml:space="preserve">Filtres et facettes</w:t>
            </w:r>
            <w:r>
              <w:tab/>
            </w:r>
            <w:r>
              <w:fldChar w:fldCharType="begin"/>
            </w:r>
            <w:r>
              <w:instrText xml:space="preserve"> PAGEREF _Toc236222443 \h </w:instrText>
            </w:r>
            <w:r/>
            <w:r>
              <w:fldChar w:fldCharType="separate"/>
            </w:r>
            <w:r>
              <w:t xml:space="preserve">13</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44" w:anchor="_Toc236222444" w:history="1">
            <w:r>
              <w:rPr>
                <w:rStyle w:val="2069"/>
              </w:rPr>
              <w:t xml:space="preserve">5.</w:t>
            </w:r>
            <w:r>
              <w:rPr>
                <w:rFonts w:asciiTheme="minorHAnsi" w:hAnsiTheme="minorHAnsi" w:eastAsiaTheme="minorEastAsia"/>
                <w:sz w:val="22"/>
                <w:lang w:eastAsia="fr-FR"/>
              </w:rPr>
              <w:tab/>
            </w:r>
            <w:r>
              <w:rPr>
                <w:rStyle w:val="2069"/>
              </w:rPr>
              <w:t xml:space="preserve">La consultation</w:t>
            </w:r>
            <w:r>
              <w:tab/>
            </w:r>
            <w:r>
              <w:fldChar w:fldCharType="begin"/>
            </w:r>
            <w:r>
              <w:instrText xml:space="preserve"> PAGEREF _Toc236222444 \h </w:instrText>
            </w:r>
            <w:r/>
            <w:r>
              <w:fldChar w:fldCharType="separate"/>
            </w:r>
            <w:r>
              <w:t xml:space="preserve">14</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45" w:anchor="_Toc236222445" w:history="1">
            <w:r>
              <w:rPr>
                <w:rStyle w:val="2069"/>
              </w:rPr>
              <w:t xml:space="preserve">5.1.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_Toc236222445 \h </w:instrText>
            </w:r>
            <w:r/>
            <w:r>
              <w:fldChar w:fldCharType="separate"/>
            </w:r>
            <w:r>
              <w:t xml:space="preserve">14</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46" w:anchor="_Toc236222446" w:history="1">
            <w:r>
              <w:rPr>
                <w:rStyle w:val="2069"/>
              </w:rPr>
              <w:t xml:space="preserve">5.2.</w:t>
            </w:r>
            <w:r>
              <w:rPr>
                <w:rFonts w:asciiTheme="minorHAnsi" w:hAnsiTheme="minorHAnsi" w:eastAsiaTheme="minorEastAsia"/>
                <w:sz w:val="22"/>
                <w:lang w:eastAsia="fr-FR"/>
              </w:rPr>
              <w:tab/>
            </w:r>
            <w:r>
              <w:rPr>
                <w:rStyle w:val="2069"/>
              </w:rPr>
              <w:t xml:space="preserve">Les propositions d’amélioration des répondants</w:t>
            </w:r>
            <w:r>
              <w:tab/>
            </w:r>
            <w:r>
              <w:fldChar w:fldCharType="begin"/>
            </w:r>
            <w:r>
              <w:instrText xml:space="preserve"> PAGEREF _Toc236222446 \h </w:instrText>
            </w:r>
            <w:r/>
            <w:r>
              <w:fldChar w:fldCharType="separate"/>
            </w:r>
            <w:r>
              <w:t xml:space="preserve">14</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47" w:anchor="_Toc236222447" w:history="1">
            <w:r>
              <w:rPr>
                <w:rStyle w:val="2069"/>
              </w:rPr>
              <w:t xml:space="preserve">6.</w:t>
            </w:r>
            <w:r>
              <w:rPr>
                <w:rFonts w:asciiTheme="minorHAnsi" w:hAnsiTheme="minorHAnsi" w:eastAsiaTheme="minorEastAsia"/>
                <w:sz w:val="22"/>
                <w:lang w:eastAsia="fr-FR"/>
              </w:rPr>
              <w:tab/>
            </w:r>
            <w:r>
              <w:rPr>
                <w:rStyle w:val="2069"/>
              </w:rPr>
              <w:t xml:space="preserve">Les services proposés</w:t>
            </w:r>
            <w:r>
              <w:tab/>
            </w:r>
            <w:r>
              <w:fldChar w:fldCharType="begin"/>
            </w:r>
            <w:r>
              <w:instrText xml:space="preserve"> PAGEREF _Toc236222447 \h </w:instrText>
            </w:r>
            <w:r/>
            <w:r>
              <w:fldChar w:fldCharType="separate"/>
            </w:r>
            <w:r>
              <w:t xml:space="preserve">14</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48" w:anchor="_Toc236222448" w:history="1">
            <w:r>
              <w:rPr>
                <w:rStyle w:val="2069"/>
              </w:rPr>
              <w:t xml:space="preserve">6.1.</w:t>
            </w:r>
            <w:r>
              <w:rPr>
                <w:rFonts w:asciiTheme="minorHAnsi" w:hAnsiTheme="minorHAnsi" w:eastAsiaTheme="minorEastAsia"/>
                <w:sz w:val="22"/>
                <w:lang w:eastAsia="fr-FR"/>
              </w:rPr>
              <w:tab/>
            </w:r>
            <w:r>
              <w:rPr>
                <w:rStyle w:val="2069"/>
              </w:rPr>
              <w:t xml:space="preserve">L’analyse de l’existant</w:t>
            </w:r>
            <w:r>
              <w:tab/>
            </w:r>
            <w:r>
              <w:fldChar w:fldCharType="begin"/>
            </w:r>
            <w:r>
              <w:instrText xml:space="preserve"> PAGEREF _Toc236222448 \h </w:instrText>
            </w:r>
            <w:r/>
            <w:r>
              <w:fldChar w:fldCharType="separate"/>
            </w:r>
            <w:r>
              <w:t xml:space="preserve">14</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49" w:anchor="_Toc236222449" w:history="1">
            <w:r>
              <w:rPr>
                <w:rStyle w:val="2069"/>
                <w:lang w:eastAsia="fr-FR"/>
              </w:rPr>
              <w:t xml:space="preserve">6.2.</w:t>
            </w:r>
            <w:r>
              <w:rPr>
                <w:rFonts w:asciiTheme="minorHAnsi" w:hAnsiTheme="minorHAnsi" w:eastAsiaTheme="minorEastAsia"/>
                <w:sz w:val="22"/>
                <w:lang w:eastAsia="fr-FR"/>
              </w:rPr>
              <w:tab/>
            </w:r>
            <w:r>
              <w:rPr>
                <w:rStyle w:val="2069"/>
                <w:lang w:eastAsia="fr-FR"/>
              </w:rPr>
              <w:t xml:space="preserve">Les propositions d’amélioration</w:t>
            </w:r>
            <w:r>
              <w:tab/>
            </w:r>
            <w:r>
              <w:fldChar w:fldCharType="begin"/>
            </w:r>
            <w:r>
              <w:instrText xml:space="preserve"> PAGEREF _Toc236222449 \h </w:instrText>
            </w:r>
            <w:r/>
            <w:r>
              <w:fldChar w:fldCharType="separate"/>
            </w:r>
            <w:r>
              <w:t xml:space="preserve">15</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50" w:anchor="_Toc236222450" w:history="1">
            <w:r>
              <w:rPr>
                <w:rStyle w:val="2069"/>
                <w:rFonts w:eastAsia="Times New Roman"/>
                <w:lang w:eastAsia="fr-FR"/>
              </w:rPr>
              <w:t xml:space="preserve">7.</w:t>
            </w:r>
            <w:r>
              <w:rPr>
                <w:rFonts w:asciiTheme="minorHAnsi" w:hAnsiTheme="minorHAnsi" w:eastAsiaTheme="minorEastAsia"/>
                <w:sz w:val="22"/>
                <w:lang w:eastAsia="fr-FR"/>
              </w:rPr>
              <w:tab/>
            </w:r>
            <w:r>
              <w:rPr>
                <w:rStyle w:val="2069"/>
                <w:rFonts w:eastAsia="Times New Roman"/>
                <w:lang w:eastAsia="fr-FR"/>
              </w:rPr>
              <w:t xml:space="preserve">Ergonomie</w:t>
            </w:r>
            <w:r>
              <w:tab/>
            </w:r>
            <w:r>
              <w:fldChar w:fldCharType="begin"/>
            </w:r>
            <w:r>
              <w:instrText xml:space="preserve"> PAGEREF _Toc236222450 \h </w:instrText>
            </w:r>
            <w:r/>
            <w:r>
              <w:fldChar w:fldCharType="separate"/>
            </w:r>
            <w:r>
              <w:t xml:space="preserve">15</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1" w:anchor="_Toc236222451" w:history="1">
            <w:r>
              <w:rPr>
                <w:rStyle w:val="2069"/>
                <w:lang w:eastAsia="fr-FR"/>
              </w:rPr>
              <w:t xml:space="preserve">7.1.</w:t>
            </w:r>
            <w:r>
              <w:rPr>
                <w:rFonts w:asciiTheme="minorHAnsi" w:hAnsiTheme="minorHAnsi" w:eastAsiaTheme="minorEastAsia"/>
                <w:sz w:val="22"/>
                <w:lang w:eastAsia="fr-FR"/>
              </w:rPr>
              <w:tab/>
            </w:r>
            <w:r>
              <w:rPr>
                <w:rStyle w:val="2069"/>
                <w:lang w:eastAsia="fr-FR"/>
              </w:rPr>
              <w:t xml:space="preserve">L’analyse de l’existant</w:t>
            </w:r>
            <w:r>
              <w:tab/>
            </w:r>
            <w:r>
              <w:fldChar w:fldCharType="begin"/>
            </w:r>
            <w:r>
              <w:instrText xml:space="preserve"> PAGEREF _Toc236222451 \h </w:instrText>
            </w:r>
            <w:r/>
            <w:r>
              <w:fldChar w:fldCharType="separate"/>
            </w:r>
            <w:r>
              <w:t xml:space="preserve">15</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2" w:anchor="_Toc236222452" w:history="1">
            <w:r>
              <w:rPr>
                <w:rStyle w:val="2069"/>
                <w:rFonts w:eastAsia="Times New Roman"/>
                <w:lang w:eastAsia="fr-FR"/>
              </w:rPr>
              <w:t xml:space="preserve">7.2.</w:t>
            </w:r>
            <w:r>
              <w:rPr>
                <w:rFonts w:asciiTheme="minorHAnsi" w:hAnsiTheme="minorHAnsi" w:eastAsiaTheme="minorEastAsia"/>
                <w:sz w:val="22"/>
                <w:lang w:eastAsia="fr-FR"/>
              </w:rPr>
              <w:tab/>
            </w:r>
            <w:r>
              <w:rPr>
                <w:rStyle w:val="2069"/>
                <w:rFonts w:eastAsia="Times New Roman"/>
                <w:lang w:eastAsia="fr-FR"/>
              </w:rPr>
              <w:t xml:space="preserve">Les propositions d’amélioration</w:t>
            </w:r>
            <w:r>
              <w:tab/>
            </w:r>
            <w:r>
              <w:fldChar w:fldCharType="begin"/>
            </w:r>
            <w:r>
              <w:instrText xml:space="preserve"> PAGEREF _Toc236222452 \h </w:instrText>
            </w:r>
            <w:r/>
            <w:r>
              <w:fldChar w:fldCharType="separate"/>
            </w:r>
            <w:r>
              <w:t xml:space="preserve">16</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53" w:anchor="_Toc236222453" w:history="1">
            <w:r>
              <w:rPr>
                <w:rStyle w:val="2069"/>
                <w:rFonts w:eastAsia="Times New Roman"/>
                <w:lang w:eastAsia="fr-FR"/>
              </w:rPr>
              <w:t xml:space="preserve">8.</w:t>
            </w:r>
            <w:r>
              <w:rPr>
                <w:rFonts w:asciiTheme="minorHAnsi" w:hAnsiTheme="minorHAnsi" w:eastAsiaTheme="minorEastAsia"/>
                <w:sz w:val="22"/>
                <w:lang w:eastAsia="fr-FR"/>
              </w:rPr>
              <w:tab/>
            </w:r>
            <w:r>
              <w:rPr>
                <w:rStyle w:val="2069"/>
                <w:rFonts w:eastAsia="Times New Roman"/>
                <w:lang w:eastAsia="fr-FR"/>
              </w:rPr>
              <w:t xml:space="preserve">Analyse juridique</w:t>
            </w:r>
            <w:r>
              <w:tab/>
            </w:r>
            <w:r>
              <w:fldChar w:fldCharType="begin"/>
            </w:r>
            <w:r>
              <w:instrText xml:space="preserve"> PAGEREF _Toc236222453 \h </w:instrText>
            </w:r>
            <w:r/>
            <w:r>
              <w:fldChar w:fldCharType="separate"/>
            </w:r>
            <w:r>
              <w:t xml:space="preserve">16</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4" w:anchor="_Toc236222454" w:history="1">
            <w:r>
              <w:rPr>
                <w:rStyle w:val="2069"/>
                <w:lang w:eastAsia="fr-FR"/>
              </w:rPr>
              <w:t xml:space="preserve">8.1.</w:t>
            </w:r>
            <w:r>
              <w:rPr>
                <w:rFonts w:asciiTheme="minorHAnsi" w:hAnsiTheme="minorHAnsi" w:eastAsiaTheme="minorEastAsia"/>
                <w:sz w:val="22"/>
                <w:lang w:eastAsia="fr-FR"/>
              </w:rPr>
              <w:tab/>
            </w:r>
            <w:r>
              <w:rPr>
                <w:rStyle w:val="2069"/>
                <w:lang w:eastAsia="fr-FR"/>
              </w:rPr>
              <w:t xml:space="preserve">L’analyse de l’existant</w:t>
            </w:r>
            <w:r>
              <w:tab/>
            </w:r>
            <w:r>
              <w:fldChar w:fldCharType="begin"/>
            </w:r>
            <w:r>
              <w:instrText xml:space="preserve"> PAGEREF _Toc236222454 \h </w:instrText>
            </w:r>
            <w:r/>
            <w:r>
              <w:fldChar w:fldCharType="separate"/>
            </w:r>
            <w:r>
              <w:t xml:space="preserve">16</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5" w:anchor="_Toc236222455" w:history="1">
            <w:r>
              <w:rPr>
                <w:rStyle w:val="2069"/>
                <w:lang w:eastAsia="fr-FR"/>
              </w:rPr>
              <w:t xml:space="preserve">8.2.</w:t>
            </w:r>
            <w:r>
              <w:rPr>
                <w:rFonts w:asciiTheme="minorHAnsi" w:hAnsiTheme="minorHAnsi" w:eastAsiaTheme="minorEastAsia"/>
                <w:sz w:val="22"/>
                <w:lang w:eastAsia="fr-FR"/>
              </w:rPr>
              <w:tab/>
            </w:r>
            <w:r>
              <w:rPr>
                <w:rStyle w:val="2069"/>
                <w:lang w:eastAsia="fr-FR"/>
              </w:rPr>
              <w:t xml:space="preserve">Les propositions d’amélioration</w:t>
            </w:r>
            <w:r>
              <w:tab/>
            </w:r>
            <w:r>
              <w:fldChar w:fldCharType="begin"/>
            </w:r>
            <w:r>
              <w:instrText xml:space="preserve"> PAGEREF _Toc236222455 \h </w:instrText>
            </w:r>
            <w:r/>
            <w:r>
              <w:fldChar w:fldCharType="separate"/>
            </w:r>
            <w:r>
              <w:t xml:space="preserve">17</w:t>
            </w:r>
            <w:r>
              <w:fldChar w:fldCharType="end"/>
            </w:r>
          </w:hyperlink>
          <w:r/>
          <w:r>
            <w:rPr>
              <w:rFonts w:asciiTheme="minorHAnsi" w:hAnsiTheme="minorHAnsi" w:eastAsiaTheme="minorEastAsia"/>
              <w:sz w:val="22"/>
              <w:lang w:eastAsia="fr-FR"/>
            </w:rPr>
          </w:r>
        </w:p>
        <w:p>
          <w:pPr>
            <w:pStyle w:val="2068"/>
            <w:pBdr/>
            <w:tabs>
              <w:tab w:val="right" w:leader="dot" w:pos="9062"/>
            </w:tabs>
            <w:spacing/>
            <w:ind/>
            <w:rPr>
              <w:rFonts w:asciiTheme="minorHAnsi" w:hAnsiTheme="minorHAnsi" w:eastAsiaTheme="minorEastAsia"/>
              <w:sz w:val="22"/>
              <w:lang w:eastAsia="fr-FR"/>
            </w:rPr>
          </w:pPr>
          <w:r/>
          <w:hyperlink w:tooltip="#_Toc236222456" w:anchor="_Toc236222456" w:history="1">
            <w:r>
              <w:rPr>
                <w:rStyle w:val="2069"/>
              </w:rPr>
              <w:t xml:space="preserve">Analyse technique</w:t>
            </w:r>
            <w:r>
              <w:tab/>
            </w:r>
            <w:r>
              <w:fldChar w:fldCharType="begin"/>
            </w:r>
            <w:r>
              <w:instrText xml:space="preserve"> PAGEREF _Toc236222456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57" w:anchor="_Toc236222457" w:history="1">
            <w:r>
              <w:rPr>
                <w:rStyle w:val="2069"/>
                <w:lang w:eastAsia="fr-FR"/>
              </w:rPr>
              <w:t xml:space="preserve">1.</w:t>
            </w:r>
            <w:r>
              <w:rPr>
                <w:rFonts w:asciiTheme="minorHAnsi" w:hAnsiTheme="minorHAnsi" w:eastAsiaTheme="minorEastAsia"/>
                <w:sz w:val="22"/>
                <w:lang w:eastAsia="fr-FR"/>
              </w:rPr>
              <w:tab/>
            </w:r>
            <w:r>
              <w:rPr>
                <w:rStyle w:val="2069"/>
                <w:lang w:eastAsia="fr-FR"/>
              </w:rPr>
              <w:t xml:space="preserve">CujasNum</w:t>
            </w:r>
            <w:r>
              <w:tab/>
            </w:r>
            <w:r>
              <w:fldChar w:fldCharType="begin"/>
            </w:r>
            <w:r>
              <w:instrText xml:space="preserve"> PAGEREF _Toc236222457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8" w:anchor="_Toc236222458" w:history="1">
            <w:r>
              <w:rPr>
                <w:rStyle w:val="2069"/>
                <w:lang w:eastAsia="fr-FR"/>
              </w:rPr>
              <w:t xml:space="preserve">1.1.</w:t>
            </w:r>
            <w:r>
              <w:rPr>
                <w:rFonts w:asciiTheme="minorHAnsi" w:hAnsiTheme="minorHAnsi" w:eastAsiaTheme="minorEastAsia"/>
                <w:sz w:val="22"/>
                <w:lang w:eastAsia="fr-FR"/>
              </w:rPr>
              <w:tab/>
            </w:r>
            <w:r>
              <w:rPr>
                <w:rStyle w:val="2069"/>
                <w:lang w:eastAsia="fr-FR"/>
              </w:rPr>
              <w:t xml:space="preserve">Éléments techniques</w:t>
            </w:r>
            <w:r>
              <w:tab/>
            </w:r>
            <w:r>
              <w:fldChar w:fldCharType="begin"/>
            </w:r>
            <w:r>
              <w:instrText xml:space="preserve"> PAGEREF _Toc236222458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59" w:anchor="_Toc236222459" w:history="1">
            <w:r>
              <w:rPr>
                <w:rStyle w:val="2069"/>
                <w:lang w:eastAsia="fr-FR"/>
              </w:rPr>
              <w:t xml:space="preserve">1.2.</w:t>
            </w:r>
            <w:r>
              <w:rPr>
                <w:rFonts w:asciiTheme="minorHAnsi" w:hAnsiTheme="minorHAnsi" w:eastAsiaTheme="minorEastAsia"/>
                <w:sz w:val="22"/>
                <w:lang w:eastAsia="fr-FR"/>
              </w:rPr>
              <w:tab/>
            </w:r>
            <w:r>
              <w:rPr>
                <w:rStyle w:val="2069"/>
                <w:lang w:eastAsia="fr-FR"/>
              </w:rPr>
              <w:t xml:space="preserve">SWOT</w:t>
            </w:r>
            <w:r>
              <w:tab/>
            </w:r>
            <w:r>
              <w:fldChar w:fldCharType="begin"/>
            </w:r>
            <w:r>
              <w:instrText xml:space="preserve"> PAGEREF _Toc236222459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68"/>
            <w:pBdr/>
            <w:tabs>
              <w:tab w:val="left" w:leader="none" w:pos="440"/>
              <w:tab w:val="right" w:leader="dot" w:pos="9062"/>
            </w:tabs>
            <w:spacing/>
            <w:ind/>
            <w:rPr>
              <w:rFonts w:asciiTheme="minorHAnsi" w:hAnsiTheme="minorHAnsi" w:eastAsiaTheme="minorEastAsia"/>
              <w:sz w:val="22"/>
              <w:lang w:eastAsia="fr-FR"/>
            </w:rPr>
          </w:pPr>
          <w:r/>
          <w:hyperlink w:tooltip="#_Toc236222460" w:anchor="_Toc236222460" w:history="1">
            <w:r>
              <w:rPr>
                <w:rStyle w:val="2069"/>
                <w:lang w:eastAsia="fr-FR"/>
              </w:rPr>
              <w:t xml:space="preserve">2.</w:t>
            </w:r>
            <w:r>
              <w:rPr>
                <w:rFonts w:asciiTheme="minorHAnsi" w:hAnsiTheme="minorHAnsi" w:eastAsiaTheme="minorEastAsia"/>
                <w:sz w:val="22"/>
                <w:lang w:eastAsia="fr-FR"/>
              </w:rPr>
              <w:tab/>
            </w:r>
            <w:r>
              <w:rPr>
                <w:rStyle w:val="2069"/>
                <w:lang w:eastAsia="fr-FR"/>
              </w:rPr>
              <w:t xml:space="preserve">Codex</w:t>
            </w:r>
            <w:r>
              <w:tab/>
            </w:r>
            <w:r>
              <w:fldChar w:fldCharType="begin"/>
            </w:r>
            <w:r>
              <w:instrText xml:space="preserve"> PAGEREF _Toc236222460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61" w:anchor="_Toc236222461" w:history="1">
            <w:r>
              <w:rPr>
                <w:rStyle w:val="2069"/>
                <w:lang w:eastAsia="fr-FR"/>
              </w:rPr>
              <w:t xml:space="preserve">2.1.</w:t>
            </w:r>
            <w:r>
              <w:rPr>
                <w:rFonts w:asciiTheme="minorHAnsi" w:hAnsiTheme="minorHAnsi" w:eastAsiaTheme="minorEastAsia"/>
                <w:sz w:val="22"/>
                <w:lang w:eastAsia="fr-FR"/>
              </w:rPr>
              <w:tab/>
            </w:r>
            <w:r>
              <w:rPr>
                <w:rStyle w:val="2069"/>
                <w:lang w:eastAsia="fr-FR"/>
              </w:rPr>
              <w:t xml:space="preserve">Aspects techniques de Codex</w:t>
            </w:r>
            <w:r>
              <w:tab/>
            </w:r>
            <w:r>
              <w:fldChar w:fldCharType="begin"/>
            </w:r>
            <w:r>
              <w:instrText xml:space="preserve"> PAGEREF _Toc236222461 \h </w:instrText>
            </w:r>
            <w:r/>
            <w:r>
              <w:fldChar w:fldCharType="separate"/>
            </w:r>
            <w:r>
              <w:t xml:space="preserve">18</w:t>
            </w:r>
            <w:r>
              <w:fldChar w:fldCharType="end"/>
            </w:r>
          </w:hyperlink>
          <w:r/>
          <w:r>
            <w:rPr>
              <w:rFonts w:asciiTheme="minorHAnsi" w:hAnsiTheme="minorHAnsi" w:eastAsiaTheme="minorEastAsia"/>
              <w:sz w:val="22"/>
              <w:lang w:eastAsia="fr-FR"/>
            </w:rPr>
          </w:r>
        </w:p>
        <w:p>
          <w:pPr>
            <w:pStyle w:val="2074"/>
            <w:pBdr/>
            <w:tabs>
              <w:tab w:val="left" w:leader="none" w:pos="880"/>
              <w:tab w:val="right" w:leader="dot" w:pos="9062"/>
            </w:tabs>
            <w:spacing/>
            <w:ind/>
            <w:rPr>
              <w:rFonts w:asciiTheme="minorHAnsi" w:hAnsiTheme="minorHAnsi" w:eastAsiaTheme="minorEastAsia"/>
              <w:sz w:val="22"/>
              <w:lang w:eastAsia="fr-FR"/>
            </w:rPr>
          </w:pPr>
          <w:r/>
          <w:hyperlink w:tooltip="#_Toc236222462" w:anchor="_Toc236222462" w:history="1">
            <w:r>
              <w:rPr>
                <w:rStyle w:val="2069"/>
                <w:lang w:eastAsia="fr-FR"/>
              </w:rPr>
              <w:t xml:space="preserve">2.2.</w:t>
            </w:r>
            <w:r>
              <w:rPr>
                <w:rFonts w:asciiTheme="minorHAnsi" w:hAnsiTheme="minorHAnsi" w:eastAsiaTheme="minorEastAsia"/>
                <w:sz w:val="22"/>
                <w:lang w:eastAsia="fr-FR"/>
              </w:rPr>
              <w:tab/>
            </w:r>
            <w:r>
              <w:rPr>
                <w:rStyle w:val="2069"/>
                <w:lang w:eastAsia="fr-FR"/>
              </w:rPr>
              <w:t xml:space="preserve">SWOT</w:t>
            </w:r>
            <w:r>
              <w:tab/>
            </w:r>
            <w:r>
              <w:fldChar w:fldCharType="begin"/>
            </w:r>
            <w:r>
              <w:instrText xml:space="preserve"> PAGEREF _Toc236222462 \h </w:instrText>
            </w:r>
            <w:r/>
            <w:r>
              <w:fldChar w:fldCharType="separate"/>
            </w:r>
            <w:r>
              <w:t xml:space="preserve">19</w:t>
            </w:r>
            <w:r>
              <w:fldChar w:fldCharType="end"/>
            </w:r>
          </w:hyperlink>
          <w:r/>
          <w:r>
            <w:rPr>
              <w:rFonts w:asciiTheme="minorHAnsi" w:hAnsiTheme="minorHAnsi" w:eastAsiaTheme="minorEastAsia"/>
              <w:sz w:val="22"/>
              <w:lang w:eastAsia="fr-FR"/>
            </w:rPr>
          </w:r>
        </w:p>
        <w:p>
          <w:pPr>
            <w:pStyle w:val="2068"/>
            <w:pBdr/>
            <w:tabs>
              <w:tab w:val="right" w:leader="dot" w:pos="9062"/>
            </w:tabs>
            <w:spacing/>
            <w:ind/>
            <w:rPr>
              <w:rFonts w:asciiTheme="minorHAnsi" w:hAnsiTheme="minorHAnsi" w:eastAsiaTheme="minorEastAsia"/>
              <w:sz w:val="22"/>
              <w:lang w:eastAsia="fr-FR"/>
            </w:rPr>
          </w:pPr>
          <w:r/>
          <w:hyperlink w:tooltip="#_Toc236222463" w:anchor="_Toc236222463" w:history="1">
            <w:r>
              <w:rPr>
                <w:rStyle w:val="2069"/>
              </w:rPr>
              <w:t xml:space="preserve">ANNEXES</w:t>
            </w:r>
            <w:r>
              <w:tab/>
            </w:r>
            <w:r>
              <w:fldChar w:fldCharType="begin"/>
            </w:r>
            <w:r>
              <w:instrText xml:space="preserve"> PAGEREF _Toc236222463 \h </w:instrText>
            </w:r>
            <w:r/>
            <w:r>
              <w:fldChar w:fldCharType="separate"/>
            </w:r>
            <w:r>
              <w:t xml:space="preserve">20</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4" w:anchor="_Toc236222464" w:history="1">
            <w:r>
              <w:rPr>
                <w:rStyle w:val="2069"/>
              </w:rPr>
              <w:t xml:space="preserve">Annexe 1 : Descamps Olivier (OD), Professeur de l’histoire du droit de Paris II, responsable scientifique du CST droit (BNF).</w:t>
            </w:r>
            <w:r>
              <w:tab/>
            </w:r>
            <w:r>
              <w:fldChar w:fldCharType="begin"/>
            </w:r>
            <w:r>
              <w:instrText xml:space="preserve"> PAGEREF _Toc236222464 \h </w:instrText>
            </w:r>
            <w:r/>
            <w:r>
              <w:fldChar w:fldCharType="separate"/>
            </w:r>
            <w:r>
              <w:t xml:space="preserve">20</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5" w:anchor="_Toc236222465" w:history="1">
            <w:r>
              <w:rPr>
                <w:rStyle w:val="2069"/>
              </w:rPr>
              <w:t xml:space="preserve">Annexe 2 : Masséna Floriane (FM), Maître de conférence d’histoire du droit et des institutions de Paris I, entretien du 01/06/2026.</w:t>
            </w:r>
            <w:r>
              <w:tab/>
            </w:r>
            <w:r>
              <w:fldChar w:fldCharType="begin"/>
            </w:r>
            <w:r>
              <w:instrText xml:space="preserve"> PAGEREF _Toc236222465 \h </w:instrText>
            </w:r>
            <w:r/>
            <w:r>
              <w:fldChar w:fldCharType="separate"/>
            </w:r>
            <w:r>
              <w:t xml:space="preserve">21</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6" w:anchor="_Toc236222466" w:history="1">
            <w:r>
              <w:rPr>
                <w:rStyle w:val="2069"/>
              </w:rPr>
              <w:t xml:space="preserve">Annexe 3 : Moiroud Cécile (CM), Maître de conférences HDR, Droit public, Paris I, entretien du 17/05/2026.</w:t>
            </w:r>
            <w:r>
              <w:tab/>
            </w:r>
            <w:r>
              <w:fldChar w:fldCharType="begin"/>
            </w:r>
            <w:r>
              <w:instrText xml:space="preserve"> PAGEREF _Toc236222466 \h </w:instrText>
            </w:r>
            <w:r/>
            <w:r>
              <w:fldChar w:fldCharType="separate"/>
            </w:r>
            <w:r>
              <w:t xml:space="preserve">23</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7" w:anchor="_Toc236222467" w:history="1">
            <w:r>
              <w:rPr>
                <w:rStyle w:val="2069"/>
              </w:rPr>
              <w:t xml:space="preserve">Annexe 4 : Pfister Laurent (LP), Professeur d’histoire du droit et des institutions de Paris II, entretien du 17/05/2026.</w:t>
            </w:r>
            <w:r>
              <w:tab/>
            </w:r>
            <w:r>
              <w:fldChar w:fldCharType="begin"/>
            </w:r>
            <w:r>
              <w:instrText xml:space="preserve"> PAGEREF _Toc236222467 \h </w:instrText>
            </w:r>
            <w:r/>
            <w:r>
              <w:fldChar w:fldCharType="separate"/>
            </w:r>
            <w:r>
              <w:t xml:space="preserve">23</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8" w:anchor="_Toc236222468" w:history="1">
            <w:r>
              <w:rPr>
                <w:rStyle w:val="2069"/>
              </w:rPr>
              <w:t xml:space="preserve">Annexe 5 : Bolard Cécile (CB), Responsable de la numérisation et des collections numérisées, entretien du 19/05/2026.</w:t>
            </w:r>
            <w:r>
              <w:tab/>
            </w:r>
            <w:r>
              <w:fldChar w:fldCharType="begin"/>
            </w:r>
            <w:r>
              <w:instrText xml:space="preserve"> PAGEREF _Toc236222468 \h </w:instrText>
            </w:r>
            <w:r/>
            <w:r>
              <w:fldChar w:fldCharType="separate"/>
            </w:r>
            <w:r>
              <w:t xml:space="preserve">25</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69" w:anchor="_Toc236222469" w:history="1">
            <w:r>
              <w:rPr>
                <w:rStyle w:val="2069"/>
              </w:rPr>
              <w:t xml:space="preserve">Annexe 6 : Colcanap Gregory (GC), Directeur de la bibliothèque interuniversitaire Cujas, entretien du 27/04/2026.</w:t>
            </w:r>
            <w:r>
              <w:tab/>
            </w:r>
            <w:r>
              <w:fldChar w:fldCharType="begin"/>
            </w:r>
            <w:r>
              <w:instrText xml:space="preserve"> PAGEREF _Toc236222469 \h </w:instrText>
            </w:r>
            <w:r/>
            <w:r>
              <w:fldChar w:fldCharType="separate"/>
            </w:r>
            <w:r>
              <w:t xml:space="preserve">26</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0" w:anchor="_Toc236222470" w:history="1">
            <w:r>
              <w:rPr>
                <w:rStyle w:val="2069"/>
              </w:rPr>
              <w:t xml:space="preserve">Annexe 7 : Dubois Olesea (OD), Responsable de la bibliothèque numérique de Sciences Po, entretien du 15/06/2026.</w:t>
            </w:r>
            <w:r>
              <w:tab/>
            </w:r>
            <w:r>
              <w:fldChar w:fldCharType="begin"/>
            </w:r>
            <w:r>
              <w:instrText xml:space="preserve"> PAGEREF _Toc236222470 \h </w:instrText>
            </w:r>
            <w:r/>
            <w:r>
              <w:fldChar w:fldCharType="separate"/>
            </w:r>
            <w:r>
              <w:t xml:space="preserve">26</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1" w:anchor="_Toc236222471" w:history="1">
            <w:r>
              <w:rPr>
                <w:rStyle w:val="2069"/>
              </w:rPr>
              <w:t xml:space="preserve">Annexe 8 : Dufournet Stéphane (SD), Responsable du Département du Patrimoine, de la conservation, et de la numérisation, entretien du 22/04/2026.</w:t>
            </w:r>
            <w:r>
              <w:tab/>
            </w:r>
            <w:r>
              <w:fldChar w:fldCharType="begin"/>
            </w:r>
            <w:r>
              <w:instrText xml:space="preserve"> PAGEREF _Toc236222471 \h </w:instrText>
            </w:r>
            <w:r/>
            <w:r>
              <w:fldChar w:fldCharType="separate"/>
            </w:r>
            <w:r>
              <w:t xml:space="preserve">27</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2" w:anchor="_Toc236222472" w:history="1">
            <w:r>
              <w:rPr>
                <w:rStyle w:val="2069"/>
              </w:rPr>
              <w:t xml:space="preserve">Annexe 9 : Gottely Alexandra (AG) : Responsable du Département partenariats et appui à la recherche, ancienne responsable de la bibliothèque numérique, entretien du 28/04/2026.</w:t>
            </w:r>
            <w:r>
              <w:tab/>
            </w:r>
            <w:r>
              <w:fldChar w:fldCharType="begin"/>
            </w:r>
            <w:r>
              <w:instrText xml:space="preserve"> PAGEREF _Toc236222472 \h </w:instrText>
            </w:r>
            <w:r/>
            <w:r>
              <w:fldChar w:fldCharType="separate"/>
            </w:r>
            <w:r>
              <w:t xml:space="preserve">28</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3" w:anchor="_Toc236222473" w:history="1">
            <w:r>
              <w:rPr>
                <w:rStyle w:val="2069"/>
              </w:rPr>
              <w:t xml:space="preserve">Annexe 10 : Leulmi Mebrouk (BL), Responsable du Département informatique technique, entretien du 29/04/2026 et du 27/05/2026.</w:t>
            </w:r>
            <w:r>
              <w:tab/>
            </w:r>
            <w:r>
              <w:fldChar w:fldCharType="begin"/>
            </w:r>
            <w:r>
              <w:instrText xml:space="preserve"> PAGEREF _Toc236222473 \h </w:instrText>
            </w:r>
            <w:r/>
            <w:r>
              <w:fldChar w:fldCharType="separate"/>
            </w:r>
            <w:r>
              <w:t xml:space="preserve">29</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4" w:anchor="_Toc236222474" w:history="1">
            <w:r>
              <w:rPr>
                <w:rStyle w:val="2069"/>
              </w:rPr>
              <w:t xml:space="preserve">Annexe 11 : Limandri Sandrine (SL) : Responsable de l’atelier de numérisation, entretien du 02/04/2026.</w:t>
            </w:r>
            <w:r>
              <w:tab/>
            </w:r>
            <w:r>
              <w:fldChar w:fldCharType="begin"/>
            </w:r>
            <w:r>
              <w:instrText xml:space="preserve"> PAGEREF _Toc236222474 \h </w:instrText>
            </w:r>
            <w:r/>
            <w:r>
              <w:fldChar w:fldCharType="separate"/>
            </w:r>
            <w:r>
              <w:t xml:space="preserve">30</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5" w:anchor="_Toc236222475" w:history="1">
            <w:r>
              <w:rPr>
                <w:rStyle w:val="2069"/>
              </w:rPr>
              <w:t xml:space="preserve">Annexe 12 : Merat Alix (AM) et Sourdillon Jeanne (JS) : Responsable et adjointe du Département des périodiques et des ressources électroniques, entretien du 15/04/2026.</w:t>
            </w:r>
            <w:r>
              <w:tab/>
            </w:r>
            <w:r>
              <w:fldChar w:fldCharType="begin"/>
            </w:r>
            <w:r>
              <w:instrText xml:space="preserve"> PAGEREF _Toc236222475 \h </w:instrText>
            </w:r>
            <w:r/>
            <w:r>
              <w:fldChar w:fldCharType="separate"/>
            </w:r>
            <w:r>
              <w:t xml:space="preserve">31</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6" w:anchor="_Toc236222476" w:history="1">
            <w:r>
              <w:rPr>
                <w:rStyle w:val="2069"/>
              </w:rPr>
              <w:t xml:space="preserve">Annexe 13 : Suszko Fanny (FS), stagiaire, état de l’existant de la bibliothèque numérique actuelle et du prototype Codex datant du 16/06/2026.</w:t>
            </w:r>
            <w:r>
              <w:tab/>
            </w:r>
            <w:r>
              <w:fldChar w:fldCharType="begin"/>
            </w:r>
            <w:r>
              <w:instrText xml:space="preserve"> PAGEREF _Toc236222476 \h </w:instrText>
            </w:r>
            <w:r/>
            <w:r>
              <w:fldChar w:fldCharType="separate"/>
            </w:r>
            <w:r>
              <w:t xml:space="preserve">31</w:t>
            </w:r>
            <w:r>
              <w:fldChar w:fldCharType="end"/>
            </w:r>
          </w:hyperlink>
          <w:r/>
          <w:r>
            <w:rPr>
              <w:rFonts w:asciiTheme="minorHAnsi" w:hAnsiTheme="minorHAnsi" w:eastAsiaTheme="minorEastAsia"/>
              <w:sz w:val="22"/>
              <w:lang w:eastAsia="fr-FR"/>
            </w:rPr>
          </w:r>
        </w:p>
        <w:p>
          <w:pPr>
            <w:pStyle w:val="2074"/>
            <w:pBdr/>
            <w:tabs>
              <w:tab w:val="right" w:leader="dot" w:pos="9062"/>
            </w:tabs>
            <w:spacing/>
            <w:ind/>
            <w:rPr>
              <w:rFonts w:asciiTheme="minorHAnsi" w:hAnsiTheme="minorHAnsi" w:eastAsiaTheme="minorEastAsia"/>
              <w:sz w:val="22"/>
              <w:lang w:eastAsia="fr-FR"/>
            </w:rPr>
          </w:pPr>
          <w:r/>
          <w:hyperlink w:tooltip="#_Toc236222477" w:anchor="_Toc236222477" w:history="1">
            <w:r>
              <w:rPr>
                <w:rStyle w:val="2069"/>
              </w:rPr>
              <w:t xml:space="preserve">Annexe 14 : Enquête de satisfaction sous LimeSurvey ouverte du 14 avril au 03 juillet 2026 sur les sites de la bibliothèque numérique et de la bibliothèque Cujas.</w:t>
            </w:r>
            <w:r>
              <w:tab/>
            </w:r>
            <w:r>
              <w:fldChar w:fldCharType="begin"/>
            </w:r>
            <w:r>
              <w:instrText xml:space="preserve"> PAGEREF _Toc236222477 \h </w:instrText>
            </w:r>
            <w:r/>
            <w:r>
              <w:fldChar w:fldCharType="separate"/>
            </w:r>
            <w:r>
              <w:t xml:space="preserve">33</w:t>
            </w:r>
            <w:r>
              <w:fldChar w:fldCharType="end"/>
            </w:r>
          </w:hyperlink>
          <w:r/>
          <w:r>
            <w:rPr>
              <w:rFonts w:asciiTheme="minorHAnsi" w:hAnsiTheme="minorHAnsi" w:eastAsiaTheme="minorEastAsia"/>
              <w:sz w:val="22"/>
              <w:lang w:eastAsia="fr-FR"/>
            </w:rPr>
          </w:r>
        </w:p>
        <w:p>
          <w:pPr>
            <w:pBdr/>
            <w:spacing w:line="240" w:lineRule="auto"/>
            <w:ind/>
            <w:rPr/>
          </w:pPr>
          <w:r>
            <w:rPr>
              <w:rFonts w:ascii="Times New Roman" w:hAnsi="Times New Roman" w:cs="Times New Roman"/>
              <w:b/>
              <w:bCs/>
              <w:szCs w:val="24"/>
            </w:rPr>
            <w:fldChar w:fldCharType="end"/>
          </w:r>
          <w:r/>
        </w:p>
      </w:sdtContent>
    </w:sdt>
    <w:p>
      <w:pPr>
        <w:pBdr/>
        <w:spacing w:line="240" w:lineRule="auto"/>
        <w:ind/>
        <w:jc w:val="center"/>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pPr>
        <w:pBdr/>
        <w:spacing w:line="240" w:lineRule="auto"/>
        <w:ind/>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pPr>
        <w:pBdr/>
        <w:spacing w:line="240" w:lineRule="auto"/>
        <w:ind/>
        <w:jc w:val="center"/>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pPr>
        <w:pBdr/>
        <w:spacing w:line="240" w:lineRule="auto"/>
        <w:ind/>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pPr>
        <w:pStyle w:val="2057"/>
        <w:pBdr/>
        <w:spacing w:line="240" w:lineRule="auto"/>
        <w:ind/>
        <w:jc w:val="center"/>
        <w:rPr/>
      </w:pPr>
      <w:r/>
      <w:bookmarkStart w:id="0" w:name="_Toc234420552"/>
      <w:r/>
      <w:bookmarkStart w:id="1" w:name="_Toc236222406"/>
      <w:r>
        <w:t xml:space="preserve">Sources</w:t>
      </w:r>
      <w:bookmarkEnd w:id="0"/>
      <w:r/>
      <w:bookmarkEnd w:id="1"/>
      <w:r/>
      <w:r/>
    </w:p>
    <w:p>
      <w:pPr>
        <w:pStyle w:val="2066"/>
        <w:pBdr/>
        <w:spacing w:line="24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2058"/>
        <w:pBdr/>
        <w:spacing w:line="240" w:lineRule="auto"/>
        <w:ind/>
        <w:rPr/>
      </w:pPr>
      <w:r/>
      <w:bookmarkStart w:id="2" w:name="_Toc236222407"/>
      <w:r>
        <w:t xml:space="preserve">Enseignants et chercheurs</w:t>
      </w:r>
      <w:bookmarkEnd w:id="2"/>
      <w:r/>
      <w:r/>
    </w:p>
    <w:p>
      <w:pPr>
        <w:pBdr/>
        <w:spacing w:line="240" w:lineRule="auto"/>
        <w:ind/>
        <w:rPr>
          <w:sz w:val="22"/>
        </w:rPr>
      </w:pPr>
      <w:r>
        <w:rPr>
          <w:rFonts w:eastAsia="Times New Roman"/>
          <w:sz w:val="22"/>
          <w:lang w:eastAsia="fr-FR"/>
        </w:rPr>
        <w:t xml:space="preserve">Descamps </w:t>
      </w:r>
      <w:r>
        <w:rPr>
          <w:rFonts w:eastAsia="Times New Roman"/>
          <w:sz w:val="22"/>
          <w:lang w:eastAsia="fr-FR"/>
        </w:rPr>
        <w:t xml:space="preserve">Olivier (OD), </w:t>
      </w:r>
      <w:r>
        <w:rPr>
          <w:sz w:val="22"/>
        </w:rPr>
        <w:t xml:space="preserve">Professeur de l’histoire du droit de Paris </w:t>
      </w:r>
      <w:r>
        <w:rPr>
          <w:sz w:val="22"/>
        </w:rPr>
        <w:t xml:space="preserve">II</w:t>
      </w:r>
      <w:r>
        <w:rPr>
          <w:sz w:val="22"/>
        </w:rPr>
        <w:t xml:space="preserve">, responsable s</w:t>
      </w:r>
      <w:r>
        <w:rPr>
          <w:sz w:val="22"/>
        </w:rPr>
        <w:t xml:space="preserve">cientifique du CST droit (BNF), e</w:t>
      </w:r>
      <w:r>
        <w:rPr>
          <w:rFonts w:eastAsia="Times New Roman"/>
          <w:sz w:val="22"/>
          <w:lang w:eastAsia="fr-FR"/>
        </w:rPr>
        <w:t xml:space="preserve">ntretien du 18/05/2026. But de l’interview :</w:t>
      </w:r>
      <w:r>
        <w:rPr>
          <w:sz w:val="22"/>
        </w:rPr>
        <w:t xml:space="preserve"> besoin des chercheurs, aimerait bien créer une deuxième liste </w:t>
      </w:r>
      <w:r>
        <w:rPr>
          <w:sz w:val="22"/>
        </w:rPr>
        <w:t xml:space="preserve">Pfister-Roumy</w:t>
      </w:r>
      <w:r>
        <w:rPr>
          <w:sz w:val="22"/>
        </w:rPr>
        <w:t xml:space="preserve"> pour continuer le travail entamé par ces deux professeurs. </w:t>
      </w:r>
      <w:r>
        <w:rPr>
          <w:sz w:val="22"/>
        </w:rPr>
      </w:r>
    </w:p>
    <w:p>
      <w:pPr>
        <w:pBdr/>
        <w:spacing w:line="240" w:lineRule="auto"/>
        <w:ind/>
        <w:rPr>
          <w:sz w:val="22"/>
        </w:rPr>
      </w:pPr>
      <w:r>
        <w:rPr>
          <w:sz w:val="22"/>
        </w:rPr>
        <w:t xml:space="preserve">Masséna Floriane (FM), </w:t>
      </w:r>
      <w:r>
        <w:rPr>
          <w:sz w:val="22"/>
        </w:rPr>
        <w:t xml:space="preserve">Maître de conférence d’histoire du droit et des institutions de Paris I, </w:t>
      </w:r>
      <w:r>
        <w:rPr>
          <w:sz w:val="22"/>
        </w:rPr>
        <w:t xml:space="preserve">entretien du 01/06/2026. But de l’interview : Utilisation de </w:t>
      </w:r>
      <w:r>
        <w:rPr>
          <w:sz w:val="22"/>
        </w:rPr>
        <w:t xml:space="preserve">CujasNum</w:t>
      </w:r>
      <w:r>
        <w:rPr>
          <w:sz w:val="22"/>
        </w:rPr>
        <w:t xml:space="preserve"> pour son doctorat. Connaitre son avis sur la bibliothèque numérique en générale ainsi que ses habitudes de recherches.</w:t>
      </w:r>
      <w:r>
        <w:rPr>
          <w:sz w:val="22"/>
        </w:rPr>
      </w:r>
    </w:p>
    <w:p>
      <w:pPr>
        <w:pBdr/>
        <w:spacing w:line="240" w:lineRule="auto"/>
        <w:ind/>
        <w:rPr>
          <w:sz w:val="22"/>
        </w:rPr>
      </w:pPr>
      <w:r>
        <w:rPr>
          <w:sz w:val="22"/>
        </w:rPr>
        <w:t xml:space="preserve">Moiroud</w:t>
      </w:r>
      <w:r>
        <w:rPr>
          <w:sz w:val="22"/>
        </w:rPr>
        <w:t xml:space="preserve"> Cécile (CM), Maître de conférences HDR, Droit p</w:t>
      </w:r>
      <w:r>
        <w:rPr>
          <w:sz w:val="22"/>
        </w:rPr>
        <w:t xml:space="preserve">ublic, Paris I, e</w:t>
      </w:r>
      <w:r>
        <w:rPr>
          <w:sz w:val="22"/>
        </w:rPr>
        <w:t xml:space="preserve">ntretien du 17/05/2026. But de l’interview : un entretien semi-directif où Cécile </w:t>
      </w:r>
      <w:r>
        <w:rPr>
          <w:sz w:val="22"/>
        </w:rPr>
        <w:t xml:space="preserve">Moiroud</w:t>
      </w:r>
      <w:r>
        <w:rPr>
          <w:sz w:val="22"/>
        </w:rPr>
        <w:t xml:space="preserve"> a indiqué au fil de sa consultation de la bibliothèque numérique actuelle ses remarques et ce qu’elle apprécie.</w:t>
      </w:r>
      <w:r>
        <w:rPr>
          <w:sz w:val="22"/>
        </w:rPr>
      </w:r>
    </w:p>
    <w:p>
      <w:pPr>
        <w:pBdr/>
        <w:spacing w:line="240" w:lineRule="auto"/>
        <w:ind/>
        <w:rPr>
          <w:sz w:val="22"/>
        </w:rPr>
      </w:pPr>
      <w:r>
        <w:rPr>
          <w:sz w:val="22"/>
        </w:rPr>
        <w:t xml:space="preserve">Pfister</w:t>
      </w:r>
      <w:r>
        <w:rPr>
          <w:sz w:val="22"/>
        </w:rPr>
        <w:t xml:space="preserve"> </w:t>
      </w:r>
      <w:r>
        <w:rPr>
          <w:sz w:val="22"/>
        </w:rPr>
        <w:t xml:space="preserve">Laurent (LP), </w:t>
      </w:r>
      <w:r>
        <w:rPr>
          <w:sz w:val="22"/>
        </w:rPr>
        <w:t xml:space="preserve">Professeur d’histoire du droit et des institutions de Paris II, </w:t>
      </w:r>
      <w:r>
        <w:rPr>
          <w:sz w:val="22"/>
        </w:rPr>
        <w:t xml:space="preserve">entretien du 17/05/2026. But de l’interview : Rôle joué dans la création de la première bibliothèque numérique de Cujas, en constituant la liste </w:t>
      </w:r>
      <w:r>
        <w:rPr>
          <w:sz w:val="22"/>
        </w:rPr>
        <w:t xml:space="preserve">Pfister-Roumy</w:t>
      </w:r>
      <w:r>
        <w:rPr>
          <w:sz w:val="22"/>
        </w:rPr>
        <w:t xml:space="preserve">, corpus important de la bibliothèque. Demander également son avis sur la valorisation des collections et sur ses habitudes de recherches.</w:t>
      </w:r>
      <w:r>
        <w:rPr>
          <w:sz w:val="22"/>
        </w:rPr>
      </w:r>
    </w:p>
    <w:p>
      <w:pPr>
        <w:pStyle w:val="2058"/>
        <w:pBdr/>
        <w:spacing w:line="240" w:lineRule="auto"/>
        <w:ind/>
        <w:rPr/>
      </w:pPr>
      <w:r/>
      <w:bookmarkStart w:id="3" w:name="_Toc236222408"/>
      <w:r>
        <w:t xml:space="preserve">Professionnel</w:t>
      </w:r>
      <w:r>
        <w:t xml:space="preserve"> de Cujas</w:t>
      </w:r>
      <w:bookmarkEnd w:id="3"/>
      <w:r/>
      <w:r/>
    </w:p>
    <w:p>
      <w:pPr>
        <w:pBdr/>
        <w:spacing w:line="240" w:lineRule="auto"/>
        <w:ind/>
        <w:rPr>
          <w:sz w:val="22"/>
        </w:rPr>
      </w:pPr>
      <w:r>
        <w:rPr>
          <w:sz w:val="22"/>
        </w:rPr>
        <w:t xml:space="preserve">Bolard</w:t>
      </w:r>
      <w:r>
        <w:rPr>
          <w:sz w:val="22"/>
        </w:rPr>
        <w:t xml:space="preserve"> Cécile (CB), Responsable de la numérisation et des</w:t>
      </w:r>
      <w:r>
        <w:rPr>
          <w:sz w:val="22"/>
        </w:rPr>
        <w:t xml:space="preserve"> collections numérisées, entretien du 19/05/2026. But de l’interview : Avoir son avis concernant la bibliothèque numérique actuelle, ce qui lui convient, ne lui convient pas, ses attentes et ses souhaits concernant la refonte de la bibliothèque numérique. </w:t>
      </w:r>
      <w:r>
        <w:rPr>
          <w:sz w:val="22"/>
        </w:rPr>
      </w:r>
    </w:p>
    <w:p>
      <w:pPr>
        <w:pBdr/>
        <w:spacing w:line="240" w:lineRule="auto"/>
        <w:ind/>
        <w:rPr>
          <w:sz w:val="22"/>
        </w:rPr>
      </w:pPr>
      <w:r>
        <w:rPr>
          <w:sz w:val="22"/>
        </w:rPr>
        <w:t xml:space="preserve">Colcanap</w:t>
      </w:r>
      <w:r>
        <w:rPr>
          <w:sz w:val="22"/>
        </w:rPr>
        <w:t xml:space="preserve"> </w:t>
      </w:r>
      <w:r>
        <w:rPr>
          <w:sz w:val="22"/>
        </w:rPr>
        <w:t xml:space="preserve">Gregory (GC), </w:t>
      </w:r>
      <w:r>
        <w:rPr>
          <w:sz w:val="22"/>
        </w:rPr>
        <w:t xml:space="preserve">Directeur de la bibliothèque interuniversitaire Cujas, </w:t>
      </w:r>
      <w:r>
        <w:rPr>
          <w:sz w:val="22"/>
        </w:rPr>
        <w:t xml:space="preserve">entretien du 27/04/2026. But de l’interview : Connaître ses attentes concernant la bibliothèque numérique, avoir son avis sur l’existant.</w:t>
      </w:r>
      <w:r>
        <w:rPr>
          <w:sz w:val="22"/>
        </w:rPr>
      </w:r>
    </w:p>
    <w:p>
      <w:pPr>
        <w:pBdr/>
        <w:spacing w:line="240" w:lineRule="auto"/>
        <w:ind/>
        <w:rPr>
          <w:sz w:val="22"/>
        </w:rPr>
      </w:pPr>
      <w:r>
        <w:rPr>
          <w:sz w:val="22"/>
        </w:rPr>
        <w:t xml:space="preserve">Dubois </w:t>
      </w:r>
      <w:r>
        <w:rPr>
          <w:sz w:val="22"/>
        </w:rPr>
        <w:t xml:space="preserve">Olesea</w:t>
      </w:r>
      <w:r>
        <w:rPr>
          <w:sz w:val="22"/>
        </w:rPr>
        <w:t xml:space="preserve"> (</w:t>
      </w:r>
      <w:r>
        <w:rPr>
          <w:sz w:val="22"/>
        </w:rPr>
        <w:t xml:space="preserve">OD), Responsable de la bibliothèque numérique de Sciences Po, entretien du 15/06/2026. But de l’interview : elle a travaillé à la bibliothèque Cujas où elle a contribué à faire évoluer le processus de numérisation. Avoir son retour d’expérience concernant </w:t>
      </w:r>
      <w:r>
        <w:rPr>
          <w:sz w:val="22"/>
        </w:rPr>
        <w:t xml:space="preserve">CujasNum</w:t>
      </w:r>
      <w:r>
        <w:rPr>
          <w:sz w:val="22"/>
        </w:rPr>
        <w:t xml:space="preserve">, avoir l’historique de </w:t>
      </w:r>
      <w:r>
        <w:rPr>
          <w:sz w:val="22"/>
        </w:rPr>
        <w:t xml:space="preserve">CujasNum</w:t>
      </w:r>
      <w:r>
        <w:rPr>
          <w:sz w:val="22"/>
        </w:rPr>
        <w:t xml:space="preserve">.</w:t>
      </w:r>
      <w:r>
        <w:rPr>
          <w:sz w:val="22"/>
        </w:rPr>
      </w:r>
    </w:p>
    <w:p>
      <w:pPr>
        <w:pBdr/>
        <w:spacing w:line="240" w:lineRule="auto"/>
        <w:ind/>
        <w:rPr>
          <w:sz w:val="22"/>
        </w:rPr>
      </w:pPr>
      <w:r>
        <w:rPr>
          <w:sz w:val="22"/>
        </w:rPr>
        <w:t xml:space="preserve">Dufournet</w:t>
      </w:r>
      <w:r>
        <w:rPr>
          <w:sz w:val="22"/>
        </w:rPr>
        <w:t xml:space="preserve"> </w:t>
      </w:r>
      <w:r>
        <w:rPr>
          <w:sz w:val="22"/>
        </w:rPr>
        <w:t xml:space="preserve">Stéphane (SD), </w:t>
      </w:r>
      <w:r>
        <w:rPr>
          <w:sz w:val="22"/>
        </w:rPr>
        <w:t xml:space="preserve">Responsable du Département du Patrimoine, de la conservation, et de la numérisation, </w:t>
      </w:r>
      <w:r>
        <w:rPr>
          <w:sz w:val="22"/>
        </w:rPr>
        <w:t xml:space="preserve">entretien du 22/04/202</w:t>
      </w:r>
      <w:r>
        <w:rPr>
          <w:sz w:val="22"/>
        </w:rPr>
        <w:t xml:space="preserve">6</w:t>
      </w:r>
      <w:r>
        <w:rPr>
          <w:sz w:val="22"/>
        </w:rPr>
        <w:t xml:space="preserve">. But de l’interview : Connaitre son avis sur l’existant, et avoir ses attentes concernant la nouvelle bibliothèque numérique ainsi que des suggestions de fonctionnalités pour celle-ci.</w:t>
      </w:r>
      <w:r>
        <w:rPr>
          <w:sz w:val="22"/>
        </w:rPr>
      </w:r>
    </w:p>
    <w:p>
      <w:pPr>
        <w:pBdr/>
        <w:spacing w:line="240" w:lineRule="auto"/>
        <w:ind/>
        <w:rPr>
          <w:sz w:val="22"/>
        </w:rPr>
      </w:pPr>
      <w:r>
        <w:rPr>
          <w:sz w:val="22"/>
        </w:rPr>
        <w:t xml:space="preserve">Gottely</w:t>
      </w:r>
      <w:r>
        <w:rPr>
          <w:sz w:val="22"/>
        </w:rPr>
        <w:t xml:space="preserve"> Alexandra (AG) : </w:t>
      </w:r>
      <w:r>
        <w:rPr>
          <w:sz w:val="22"/>
        </w:rPr>
        <w:t xml:space="preserve">Responsable du Département partenariats et appui à la recherche, ancienne responsable de la bibliothèque numérique, </w:t>
      </w:r>
      <w:r>
        <w:rPr>
          <w:sz w:val="22"/>
        </w:rPr>
        <w:t xml:space="preserve">entretien du 28/04/2026. But de l’interview : avoir un historique de la bibliothèque numérique (</w:t>
      </w:r>
      <w:r>
        <w:rPr>
          <w:sz w:val="22"/>
        </w:rPr>
        <w:t xml:space="preserve">CujasNum</w:t>
      </w:r>
      <w:r>
        <w:rPr>
          <w:sz w:val="22"/>
        </w:rPr>
        <w:t xml:space="preserve">), ainsi qu’une présentation du premier projet de </w:t>
      </w:r>
      <w:r>
        <w:rPr>
          <w:sz w:val="22"/>
        </w:rPr>
        <w:t xml:space="preserve">réinformatisation</w:t>
      </w:r>
      <w:r>
        <w:rPr>
          <w:sz w:val="22"/>
        </w:rPr>
        <w:t xml:space="preserve"> de la bibliothèque numérique avec les constats qu’elle avait fait à ce moment-là.</w:t>
      </w:r>
      <w:r>
        <w:rPr>
          <w:sz w:val="22"/>
        </w:rPr>
      </w:r>
    </w:p>
    <w:p>
      <w:pPr>
        <w:pBdr/>
        <w:spacing w:line="240" w:lineRule="auto"/>
        <w:ind/>
        <w:rPr>
          <w:sz w:val="22"/>
        </w:rPr>
      </w:pPr>
      <w:r>
        <w:rPr>
          <w:sz w:val="22"/>
        </w:rPr>
        <w:t xml:space="preserve">Leulmi</w:t>
      </w:r>
      <w:r>
        <w:rPr>
          <w:sz w:val="22"/>
        </w:rPr>
        <w:t xml:space="preserve"> </w:t>
      </w:r>
      <w:r>
        <w:rPr>
          <w:sz w:val="22"/>
        </w:rPr>
        <w:t xml:space="preserve">Mebrouk</w:t>
      </w:r>
      <w:r>
        <w:rPr>
          <w:sz w:val="22"/>
        </w:rPr>
        <w:t xml:space="preserve"> (BL), </w:t>
      </w:r>
      <w:r>
        <w:rPr>
          <w:sz w:val="22"/>
        </w:rPr>
        <w:t xml:space="preserve">Responsable du Département informatique technique, </w:t>
      </w:r>
      <w:r>
        <w:rPr>
          <w:sz w:val="22"/>
        </w:rPr>
        <w:t xml:space="preserve">entretien du 29/04/2026 et du 27/05/2026. But de la première interview : avoir un historique de la création de </w:t>
      </w:r>
      <w:r>
        <w:rPr>
          <w:sz w:val="22"/>
        </w:rPr>
        <w:t xml:space="preserve">CujasNum</w:t>
      </w:r>
      <w:r>
        <w:rPr>
          <w:sz w:val="22"/>
        </w:rPr>
        <w:t xml:space="preserve">, et la schématisation de la donnée depuis le traitement jusqu’à la mise en ligne. But de la seconde interview : les questions portaient sur l’architecture logicielle du prototype.</w:t>
      </w:r>
      <w:r>
        <w:rPr>
          <w:sz w:val="22"/>
        </w:rPr>
      </w:r>
    </w:p>
    <w:p>
      <w:pPr>
        <w:pBdr/>
        <w:spacing w:line="240" w:lineRule="auto"/>
        <w:ind/>
        <w:rPr>
          <w:sz w:val="22"/>
        </w:rPr>
      </w:pPr>
      <w:r>
        <w:rPr>
          <w:sz w:val="22"/>
        </w:rPr>
        <w:t xml:space="preserve">Limandri</w:t>
      </w:r>
      <w:r>
        <w:rPr>
          <w:sz w:val="22"/>
        </w:rPr>
        <w:t xml:space="preserve"> Sandrine (SL) :</w:t>
      </w:r>
      <w:r>
        <w:rPr>
          <w:sz w:val="22"/>
        </w:rPr>
        <w:t xml:space="preserve"> Responsable de l’atelier de numérisation, </w:t>
      </w:r>
      <w:r>
        <w:rPr>
          <w:sz w:val="22"/>
        </w:rPr>
        <w:t xml:space="preserve">entretie</w:t>
      </w:r>
      <w:r>
        <w:rPr>
          <w:sz w:val="22"/>
        </w:rPr>
        <w:t xml:space="preserve">n du 02/04/2026. But de l’interview : explication concernant l’atelier de numérisation en me montrant les listes de suivi et toutes les étapes depuis la sélection jusqu’à la mise en ligne ainsi que les éléments constitutifs d’un document numérique à Cujas.</w:t>
      </w:r>
      <w:r>
        <w:rPr>
          <w:sz w:val="22"/>
        </w:rPr>
      </w:r>
    </w:p>
    <w:p>
      <w:pPr>
        <w:pBdr/>
        <w:spacing w:line="240" w:lineRule="auto"/>
        <w:ind/>
        <w:rPr>
          <w:sz w:val="22"/>
        </w:rPr>
      </w:pPr>
      <w:r>
        <w:rPr>
          <w:sz w:val="22"/>
        </w:rPr>
        <w:t xml:space="preserve">Merat</w:t>
      </w:r>
      <w:r>
        <w:rPr>
          <w:sz w:val="22"/>
        </w:rPr>
        <w:t xml:space="preserve"> Alix (AM) et </w:t>
      </w:r>
      <w:r>
        <w:rPr>
          <w:sz w:val="22"/>
        </w:rPr>
        <w:t xml:space="preserve">Sourdillon</w:t>
      </w:r>
      <w:r>
        <w:rPr>
          <w:sz w:val="22"/>
        </w:rPr>
        <w:t xml:space="preserve"> Jeanne (JS)</w:t>
      </w:r>
      <w:r>
        <w:rPr>
          <w:sz w:val="22"/>
        </w:rPr>
        <w:t xml:space="preserve"> : Responsable et adjointe du Département des périodiques et des ressources électroniques, entretien du 15/04/2026. But de l’interview : comprendre leurs attentes concernant les périodiques si les revues sont ajoutées dans la future bibliothèque numérique.</w:t>
      </w:r>
      <w:r>
        <w:rPr>
          <w:sz w:val="22"/>
        </w:rPr>
      </w:r>
    </w:p>
    <w:p>
      <w:pPr>
        <w:pBdr/>
        <w:spacing w:line="240" w:lineRule="auto"/>
        <w:ind/>
        <w:rPr>
          <w:sz w:val="22"/>
        </w:rPr>
      </w:pPr>
      <w:r>
        <w:rPr>
          <w:sz w:val="22"/>
        </w:rPr>
        <w:t xml:space="preserve">Suszko</w:t>
      </w:r>
      <w:r>
        <w:rPr>
          <w:sz w:val="22"/>
        </w:rPr>
        <w:t xml:space="preserve"> Fanny (FS), </w:t>
      </w:r>
      <w:r>
        <w:rPr>
          <w:sz w:val="22"/>
        </w:rPr>
        <w:t xml:space="preserve">stagiaire, </w:t>
      </w:r>
      <w:r>
        <w:rPr>
          <w:sz w:val="22"/>
        </w:rPr>
        <w:t xml:space="preserve">état de l’existant de la bibliothèque numérique actuelle et du prototype Codex datant du 16/06/20</w:t>
      </w:r>
      <w:r>
        <w:rPr>
          <w:sz w:val="22"/>
        </w:rPr>
        <w:t xml:space="preserve">26. But : Analyse de l’existant. Les préconisations de Fanny </w:t>
      </w:r>
      <w:r>
        <w:rPr>
          <w:sz w:val="22"/>
        </w:rPr>
        <w:t xml:space="preserve">Suszko</w:t>
      </w:r>
      <w:r>
        <w:rPr>
          <w:sz w:val="22"/>
        </w:rPr>
        <w:t xml:space="preserve"> sont renvoyées au document de propositions ciblées. </w:t>
      </w:r>
      <w:r>
        <w:rPr>
          <w:sz w:val="22"/>
        </w:rPr>
      </w:r>
    </w:p>
    <w:p>
      <w:pPr>
        <w:pBdr/>
        <w:spacing w:line="240" w:lineRule="auto"/>
        <w:ind/>
        <w:rPr>
          <w:sz w:val="22"/>
        </w:rPr>
      </w:pPr>
      <w:r>
        <w:rPr>
          <w:sz w:val="22"/>
        </w:rPr>
        <w:t xml:space="preserve">Enquête de satisfaction sous </w:t>
      </w:r>
      <w:r>
        <w:rPr>
          <w:sz w:val="22"/>
        </w:rPr>
        <w:t xml:space="preserve">LimeSurvey</w:t>
      </w:r>
      <w:r>
        <w:rPr>
          <w:sz w:val="22"/>
        </w:rPr>
        <w:t xml:space="preserve"> ouverte du 14 avril au 03 juillet 2026 sur les sites de la bibliothèque numérique et de la bibliothèque Cujas</w:t>
      </w:r>
      <w:r>
        <w:rPr>
          <w:sz w:val="22"/>
        </w:rPr>
        <w:t xml:space="preserve">.</w:t>
      </w:r>
      <w:r>
        <w:rPr>
          <w:sz w:val="22"/>
        </w:rPr>
        <w:t xml:space="preserve">  </w:t>
      </w:r>
      <w:r>
        <w:rPr>
          <w:sz w:val="22"/>
        </w:rPr>
      </w:r>
    </w:p>
    <w:p>
      <w:pPr>
        <w:pBdr/>
        <w:spacing w:line="240" w:lineRule="auto"/>
        <w:ind/>
        <w:rPr>
          <w:sz w:val="22"/>
        </w:rPr>
      </w:pPr>
      <w:r>
        <w:rPr>
          <w:sz w:val="22"/>
        </w:rPr>
        <w:t xml:space="preserve">Entretien</w:t>
      </w:r>
      <w:r>
        <w:rPr>
          <w:sz w:val="22"/>
        </w:rPr>
        <w:t xml:space="preserve">s</w:t>
      </w:r>
      <w:r>
        <w:rPr>
          <w:sz w:val="22"/>
        </w:rPr>
        <w:t xml:space="preserve"> </w:t>
      </w:r>
      <w:r>
        <w:rPr>
          <w:sz w:val="22"/>
        </w:rPr>
        <w:t xml:space="preserve">de manière informelle avec l’équipe du Service patrimoine et numérisation (SPN).</w:t>
      </w:r>
      <w:r>
        <w:rPr>
          <w:sz w:val="22"/>
        </w:rPr>
      </w:r>
    </w:p>
    <w:p>
      <w:pPr>
        <w:pBdr/>
        <w:spacing w:line="240" w:lineRule="auto"/>
        <w:ind/>
        <w:rPr>
          <w:sz w:val="22"/>
        </w:rPr>
      </w:pPr>
      <w:r>
        <w:rPr>
          <w:sz w:val="22"/>
        </w:rPr>
        <w:t xml:space="preserve">Entretiens avec le Département de l’informatique documentaire</w:t>
      </w:r>
      <w:r>
        <w:rPr>
          <w:sz w:val="22"/>
        </w:rPr>
        <w:t xml:space="preserve">.</w:t>
      </w:r>
      <w:r>
        <w:rPr>
          <w:sz w:val="22"/>
        </w:rP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Style w:val="2057"/>
        <w:pBdr/>
        <w:spacing w:line="240" w:lineRule="auto"/>
        <w:ind/>
        <w:jc w:val="center"/>
        <w:rPr/>
      </w:pPr>
      <w:r/>
      <w:bookmarkStart w:id="4" w:name="_Toc234420553"/>
      <w:r/>
      <w:bookmarkStart w:id="5" w:name="_Toc236222409"/>
      <w:r/>
      <w:bookmarkStart w:id="6" w:name="_GoBack"/>
      <w:r/>
      <w:bookmarkEnd w:id="6"/>
      <w:r>
        <w:t xml:space="preserve">Introduction</w:t>
      </w:r>
      <w:bookmarkEnd w:id="5"/>
      <w:r>
        <w:t xml:space="preserve"> </w:t>
      </w:r>
      <w:bookmarkEnd w:id="4"/>
      <w:r/>
      <w:r/>
    </w:p>
    <w:p>
      <w:pPr>
        <w:pBdr/>
        <w:spacing w:line="240" w:lineRule="auto"/>
        <w:ind/>
        <w:rPr/>
      </w:pPr>
      <w:r/>
      <w:r/>
    </w:p>
    <w:p>
      <w:pPr>
        <w:pStyle w:val="2058"/>
        <w:pBdr/>
        <w:spacing w:line="240" w:lineRule="auto"/>
        <w:ind/>
        <w:rPr/>
      </w:pPr>
      <w:r/>
      <w:bookmarkStart w:id="7" w:name="_Toc234420554"/>
      <w:r/>
      <w:bookmarkStart w:id="8" w:name="_Toc236222410"/>
      <w:r>
        <w:t xml:space="preserve">Contexte</w:t>
      </w:r>
      <w:bookmarkEnd w:id="7"/>
      <w:r/>
      <w:bookmarkEnd w:id="8"/>
      <w:r/>
      <w:r/>
    </w:p>
    <w:p>
      <w:pPr>
        <w:pBdr/>
        <w:spacing w:line="240" w:lineRule="auto"/>
        <w:ind/>
        <w:rPr>
          <w:sz w:val="20"/>
          <w:szCs w:val="20"/>
        </w:rPr>
      </w:pPr>
      <w:r>
        <w:rPr>
          <w:sz w:val="20"/>
          <w:szCs w:val="20"/>
        </w:rPr>
        <w:t xml:space="preserve">A l’origine, la bibliothèque Cujas a été c</w:t>
      </w:r>
      <w:r>
        <w:rPr>
          <w:sz w:val="20"/>
          <w:szCs w:val="20"/>
        </w:rPr>
        <w:t xml:space="preserve">réée en 1829 comme bibliothèque de </w:t>
      </w:r>
      <w:r>
        <w:rPr>
          <w:sz w:val="20"/>
          <w:szCs w:val="20"/>
        </w:rPr>
        <w:t xml:space="preserve">la Faculté de droit de Paris. En 1970,</w:t>
      </w:r>
      <w:r>
        <w:rPr>
          <w:sz w:val="20"/>
          <w:szCs w:val="20"/>
        </w:rPr>
        <w:t xml:space="preserve"> </w:t>
      </w:r>
      <w:r>
        <w:rPr>
          <w:sz w:val="20"/>
          <w:szCs w:val="20"/>
        </w:rPr>
        <w:t xml:space="preserve">elle</w:t>
      </w:r>
      <w:r>
        <w:rPr>
          <w:sz w:val="20"/>
          <w:szCs w:val="20"/>
        </w:rPr>
        <w:t xml:space="preserve"> devient une bibliothèque interuniversitaire à la suite des réformes universitaires</w:t>
      </w:r>
      <w:r>
        <w:rPr>
          <w:rStyle w:val="2079"/>
          <w:rFonts w:ascii="Times New Roman" w:hAnsi="Times New Roman" w:cs="Times New Roman"/>
          <w:sz w:val="20"/>
          <w:szCs w:val="20"/>
        </w:rPr>
        <w:footnoteReference w:id="2"/>
      </w:r>
      <w:r>
        <w:rPr>
          <w:sz w:val="20"/>
          <w:szCs w:val="20"/>
        </w:rPr>
        <w:t xml:space="preserve">.</w:t>
      </w:r>
      <w:r>
        <w:rPr>
          <w:sz w:val="20"/>
          <w:szCs w:val="20"/>
        </w:rPr>
        <w:t xml:space="preserve"> Cujas est s</w:t>
      </w:r>
      <w:r>
        <w:rPr>
          <w:sz w:val="20"/>
          <w:szCs w:val="20"/>
        </w:rPr>
        <w:t xml:space="preserve">pécialisé en droit, en économie et en sciences politiques, elle constitue aujourd’hui une bibliothèque de référence nationale et internationale dans ces domaines</w:t>
      </w:r>
      <w:r>
        <w:rPr>
          <w:rStyle w:val="2079"/>
          <w:rFonts w:ascii="Times New Roman" w:hAnsi="Times New Roman" w:cs="Times New Roman"/>
          <w:sz w:val="20"/>
          <w:szCs w:val="20"/>
        </w:rPr>
        <w:footnoteReference w:id="3"/>
      </w:r>
      <w:r>
        <w:rPr>
          <w:sz w:val="20"/>
          <w:szCs w:val="20"/>
        </w:rPr>
        <w:t xml:space="preserve">. </w:t>
      </w:r>
      <w:r>
        <w:rPr>
          <w:sz w:val="20"/>
          <w:szCs w:val="20"/>
        </w:rPr>
        <w:t xml:space="preserve">Par ailleurs, elle devient p</w:t>
      </w:r>
      <w:r>
        <w:rPr>
          <w:sz w:val="20"/>
          <w:szCs w:val="20"/>
        </w:rPr>
        <w:t xml:space="preserve">ôle associé de la </w:t>
      </w:r>
      <w:r>
        <w:rPr>
          <w:sz w:val="20"/>
          <w:szCs w:val="20"/>
        </w:rPr>
        <w:t xml:space="preserve">BnF</w:t>
      </w:r>
      <w:r>
        <w:rPr>
          <w:sz w:val="20"/>
          <w:szCs w:val="20"/>
        </w:rPr>
        <w:t xml:space="preserve"> en sciences juridiques.</w:t>
      </w:r>
      <w:r>
        <w:rPr>
          <w:sz w:val="20"/>
          <w:szCs w:val="20"/>
        </w:rPr>
      </w:r>
    </w:p>
    <w:p>
      <w:pPr>
        <w:pBdr/>
        <w:spacing w:line="240" w:lineRule="auto"/>
        <w:ind/>
        <w:rPr>
          <w:sz w:val="20"/>
          <w:szCs w:val="20"/>
        </w:rPr>
      </w:pPr>
      <w:r>
        <w:rPr>
          <w:sz w:val="20"/>
          <w:szCs w:val="20"/>
        </w:rPr>
        <w:t xml:space="preserve">Depuis 1979, e</w:t>
      </w:r>
      <w:r>
        <w:rPr>
          <w:sz w:val="20"/>
          <w:szCs w:val="20"/>
        </w:rPr>
        <w:t xml:space="preserve">lle devient bibliothèque interuniversitaire par convention </w:t>
      </w:r>
      <w:r>
        <w:rPr>
          <w:sz w:val="20"/>
          <w:szCs w:val="20"/>
        </w:rPr>
        <w:t xml:space="preserve">entre les universités de Panthéon-Sorbonne (Paris I) et Panthéon-Assas (Paris II)</w:t>
      </w:r>
      <w:r>
        <w:rPr>
          <w:rStyle w:val="2079"/>
          <w:rFonts w:ascii="Times New Roman" w:hAnsi="Times New Roman" w:cs="Times New Roman"/>
          <w:sz w:val="20"/>
          <w:szCs w:val="20"/>
        </w:rPr>
        <w:footnoteReference w:id="4"/>
      </w:r>
      <w:r>
        <w:rPr>
          <w:sz w:val="20"/>
          <w:szCs w:val="20"/>
        </w:rPr>
        <w:t xml:space="preserve">. Elle possède un riche patrimoine documentaire plus de 40 000 volumes anciens et un fonds francophone et international d’une grande diversité</w:t>
      </w:r>
      <w:r>
        <w:rPr>
          <w:rStyle w:val="2079"/>
          <w:rFonts w:ascii="Times New Roman" w:hAnsi="Times New Roman" w:cs="Times New Roman"/>
          <w:sz w:val="20"/>
          <w:szCs w:val="20"/>
        </w:rPr>
        <w:footnoteReference w:id="5"/>
      </w:r>
      <w:r>
        <w:rPr>
          <w:sz w:val="20"/>
          <w:szCs w:val="20"/>
        </w:rPr>
        <w:t xml:space="preserve">.</w:t>
      </w:r>
      <w:r>
        <w:rPr>
          <w:sz w:val="20"/>
          <w:szCs w:val="20"/>
        </w:rPr>
      </w:r>
    </w:p>
    <w:p>
      <w:pPr>
        <w:pBdr/>
        <w:spacing w:line="240" w:lineRule="auto"/>
        <w:ind/>
        <w:rPr>
          <w:sz w:val="20"/>
          <w:szCs w:val="20"/>
        </w:rPr>
      </w:pPr>
      <w:r>
        <w:rPr>
          <w:sz w:val="20"/>
          <w:szCs w:val="20"/>
        </w:rPr>
        <w:t xml:space="preserve">La bibliothèque possède </w:t>
      </w:r>
      <w:r>
        <w:rPr>
          <w:sz w:val="20"/>
          <w:szCs w:val="20"/>
        </w:rPr>
        <w:t xml:space="preserve">aussi des</w:t>
      </w:r>
      <w:r>
        <w:rPr>
          <w:sz w:val="20"/>
          <w:szCs w:val="20"/>
        </w:rPr>
        <w:t xml:space="preserve"> fonds spécialisés. Elle conserve</w:t>
      </w:r>
      <w:r>
        <w:rPr>
          <w:sz w:val="20"/>
          <w:szCs w:val="20"/>
        </w:rPr>
        <w:t xml:space="preserve"> un ensemble unique de ressources de collections de sciences juridiques, économique et politiques remarquables : thèses et mémoires, publications officielles de la Société des Nations, des Nations Unies, du Jour</w:t>
      </w:r>
      <w:r>
        <w:rPr>
          <w:sz w:val="20"/>
          <w:szCs w:val="20"/>
        </w:rPr>
        <w:t xml:space="preserve">nal officiel France et des anciennes colonies, une collection de travaux académiques imprimés en Allemagne aux XVIe et XIXe siècle, des documents retraçant la sociabilité universitaire et l’histoire de l’enseignement de l’ancienne Faculté de Droit de Paris</w:t>
      </w:r>
      <w:r>
        <w:rPr>
          <w:rStyle w:val="2079"/>
          <w:rFonts w:ascii="Times New Roman" w:hAnsi="Times New Roman" w:cs="Times New Roman"/>
          <w:sz w:val="20"/>
          <w:szCs w:val="20"/>
        </w:rPr>
        <w:footnoteReference w:id="6"/>
      </w:r>
      <w:r>
        <w:rPr>
          <w:sz w:val="20"/>
          <w:szCs w:val="20"/>
        </w:rPr>
        <w:t xml:space="preserve">.</w:t>
      </w:r>
      <w:r>
        <w:rPr>
          <w:sz w:val="20"/>
          <w:szCs w:val="20"/>
        </w:rPr>
      </w:r>
    </w:p>
    <w:p>
      <w:pPr>
        <w:pBdr/>
        <w:spacing w:line="240" w:lineRule="auto"/>
        <w:ind/>
        <w:rPr>
          <w:sz w:val="20"/>
          <w:szCs w:val="20"/>
        </w:rPr>
      </w:pPr>
      <w:r>
        <w:rPr>
          <w:sz w:val="20"/>
          <w:szCs w:val="20"/>
        </w:rPr>
        <w:t xml:space="preserve">Entre </w:t>
      </w:r>
      <w:r>
        <w:rPr>
          <w:sz w:val="20"/>
          <w:szCs w:val="20"/>
        </w:rPr>
        <w:t xml:space="preserve">2001 </w:t>
      </w:r>
      <w:r>
        <w:rPr>
          <w:sz w:val="20"/>
          <w:szCs w:val="20"/>
        </w:rPr>
        <w:t xml:space="preserve">et 2004, </w:t>
      </w:r>
      <w:r>
        <w:rPr>
          <w:sz w:val="20"/>
          <w:szCs w:val="20"/>
        </w:rPr>
        <w:t xml:space="preserve">la </w:t>
      </w:r>
      <w:r>
        <w:rPr>
          <w:sz w:val="20"/>
          <w:szCs w:val="20"/>
        </w:rPr>
        <w:t xml:space="preserve">bibliothèque Cujas entreprend une première phase de numérisation </w:t>
      </w:r>
      <w:r>
        <w:rPr>
          <w:sz w:val="20"/>
          <w:szCs w:val="20"/>
        </w:rPr>
        <w:t xml:space="preserve">autour d’un projet d’exposition virtuelle pour le bicentenaire du Code civil (2004) </w:t>
      </w:r>
      <w:r>
        <w:rPr>
          <w:sz w:val="20"/>
          <w:szCs w:val="20"/>
        </w:rPr>
        <w:t xml:space="preserve">confiant cette prestation à la société </w:t>
      </w:r>
      <w:r>
        <w:rPr>
          <w:sz w:val="20"/>
          <w:szCs w:val="20"/>
        </w:rPr>
        <w:t xml:space="preserve">Safig</w:t>
      </w:r>
      <w:r>
        <w:rPr>
          <w:sz w:val="20"/>
          <w:szCs w:val="20"/>
        </w:rPr>
        <w:t xml:space="preserve">. Il s’agit d’une numérisation en mode image et en niveaux de gris, </w:t>
      </w:r>
      <w:r>
        <w:rPr>
          <w:sz w:val="20"/>
          <w:szCs w:val="20"/>
        </w:rPr>
        <w:t xml:space="preserve">avec une </w:t>
      </w:r>
      <w:r>
        <w:rPr>
          <w:sz w:val="20"/>
          <w:szCs w:val="20"/>
        </w:rPr>
        <w:t xml:space="preserve">saisie manuelle de la table des matières ou au moins de la pagination</w:t>
      </w:r>
      <w:r>
        <w:rPr>
          <w:sz w:val="20"/>
          <w:szCs w:val="20"/>
        </w:rPr>
        <w:t xml:space="preserve">. Le prestataire fournit</w:t>
      </w:r>
      <w:r>
        <w:rPr>
          <w:sz w:val="20"/>
          <w:szCs w:val="20"/>
        </w:rPr>
        <w:t xml:space="preserve"> l’hébergement des données</w:t>
      </w:r>
      <w:r>
        <w:rPr>
          <w:rStyle w:val="2079"/>
          <w:rFonts w:ascii="Times New Roman" w:hAnsi="Times New Roman" w:cs="Times New Roman"/>
          <w:sz w:val="20"/>
          <w:szCs w:val="20"/>
        </w:rPr>
        <w:footnoteReference w:id="7"/>
      </w:r>
      <w:r>
        <w:rPr>
          <w:sz w:val="20"/>
          <w:szCs w:val="20"/>
        </w:rPr>
        <w:t xml:space="preserve">.</w:t>
      </w:r>
      <w:r>
        <w:rPr>
          <w:sz w:val="20"/>
          <w:szCs w:val="20"/>
        </w:rPr>
      </w:r>
    </w:p>
    <w:p>
      <w:pPr>
        <w:pStyle w:val="2058"/>
        <w:pBdr/>
        <w:spacing w:line="240" w:lineRule="auto"/>
        <w:ind/>
        <w:rPr/>
      </w:pPr>
      <w:r/>
      <w:bookmarkStart w:id="9" w:name="_Toc234420555"/>
      <w:r/>
      <w:bookmarkStart w:id="10" w:name="_Toc236222411"/>
      <w:r>
        <w:t xml:space="preserve">Présentation du projet de la bibliothèque</w:t>
      </w:r>
      <w:bookmarkEnd w:id="9"/>
      <w:r/>
      <w:bookmarkEnd w:id="10"/>
      <w:r/>
      <w:r/>
    </w:p>
    <w:p>
      <w:pPr>
        <w:pBdr/>
        <w:spacing w:line="240" w:lineRule="auto"/>
        <w:ind/>
        <w:rPr>
          <w:sz w:val="20"/>
          <w:szCs w:val="20"/>
        </w:rPr>
      </w:pPr>
      <w:r>
        <w:rPr>
          <w:sz w:val="20"/>
          <w:szCs w:val="20"/>
        </w:rPr>
        <w:t xml:space="preserve">En 2006, la décision est prise de créer une bibliothèque numérique juridique, à l’origine du projet de </w:t>
      </w:r>
      <w:r>
        <w:rPr>
          <w:sz w:val="20"/>
          <w:szCs w:val="20"/>
        </w:rPr>
        <w:t xml:space="preserve">CujasNum</w:t>
      </w:r>
      <w:r>
        <w:rPr>
          <w:sz w:val="20"/>
          <w:szCs w:val="20"/>
        </w:rPr>
        <w:t xml:space="preserve">. Deux enseignants-chercheurs, Laurent </w:t>
      </w:r>
      <w:r>
        <w:rPr>
          <w:sz w:val="20"/>
          <w:szCs w:val="20"/>
        </w:rPr>
        <w:t xml:space="preserve">Pfister</w:t>
      </w:r>
      <w:r>
        <w:rPr>
          <w:sz w:val="20"/>
          <w:szCs w:val="20"/>
        </w:rPr>
        <w:t xml:space="preserve"> et Franck </w:t>
      </w:r>
      <w:r>
        <w:rPr>
          <w:sz w:val="20"/>
          <w:szCs w:val="20"/>
        </w:rPr>
        <w:t xml:space="preserve">Roumy</w:t>
      </w:r>
      <w:r>
        <w:rPr>
          <w:sz w:val="20"/>
          <w:szCs w:val="20"/>
        </w:rPr>
        <w:t xml:space="preserve">, rédigent </w:t>
      </w:r>
      <w:r>
        <w:rPr>
          <w:sz w:val="20"/>
          <w:szCs w:val="20"/>
        </w:rPr>
        <w:t xml:space="preserve">une liste de « fondamentaux du droit » à numériser en priorité : 471 ouvrages du XVe au XXe siècle, soit 1 462 volumes et environ 1 001 559 pages issus de la réserve Pavillon</w:t>
      </w:r>
      <w:r>
        <w:rPr>
          <w:rStyle w:val="2079"/>
          <w:rFonts w:ascii="Times New Roman" w:hAnsi="Times New Roman" w:cs="Times New Roman"/>
          <w:sz w:val="20"/>
          <w:szCs w:val="20"/>
        </w:rPr>
        <w:footnoteReference w:id="8"/>
      </w:r>
      <w:r>
        <w:rPr>
          <w:sz w:val="20"/>
          <w:szCs w:val="20"/>
        </w:rPr>
        <w:t xml:space="preserve">.</w:t>
      </w:r>
      <w:r>
        <w:rPr>
          <w:sz w:val="20"/>
          <w:szCs w:val="20"/>
        </w:rPr>
      </w:r>
    </w:p>
    <w:p>
      <w:pPr>
        <w:pBdr/>
        <w:spacing w:line="240" w:lineRule="auto"/>
        <w:ind/>
        <w:rPr>
          <w:sz w:val="20"/>
          <w:szCs w:val="20"/>
        </w:rPr>
      </w:pPr>
      <w:r>
        <w:rPr>
          <w:sz w:val="20"/>
          <w:szCs w:val="20"/>
        </w:rPr>
        <w:t xml:space="preserve">A l’origine, la BIU Cujas souhaite devenir </w:t>
      </w:r>
      <w:r>
        <w:rPr>
          <w:sz w:val="20"/>
          <w:szCs w:val="20"/>
        </w:rPr>
        <w:t xml:space="preserve">un pôle de réplication de Persée et acquiert </w:t>
      </w:r>
      <w:r>
        <w:rPr>
          <w:sz w:val="20"/>
          <w:szCs w:val="20"/>
        </w:rPr>
        <w:t xml:space="preserve">un scanner </w:t>
      </w:r>
      <w:r>
        <w:rPr>
          <w:sz w:val="20"/>
          <w:szCs w:val="20"/>
        </w:rPr>
        <w:t xml:space="preserve">Kirtas</w:t>
      </w:r>
      <w:r>
        <w:rPr>
          <w:sz w:val="20"/>
          <w:szCs w:val="20"/>
        </w:rPr>
        <w:t xml:space="preserve"> pour ce projet. Toutefois, </w:t>
      </w:r>
      <w:r>
        <w:rPr>
          <w:sz w:val="20"/>
          <w:szCs w:val="20"/>
        </w:rPr>
        <w:t xml:space="preserve">sa candidature n’est pas retenue.</w:t>
      </w:r>
      <w:r>
        <w:t xml:space="preserve"> </w:t>
      </w:r>
      <w:r>
        <w:rPr>
          <w:sz w:val="20"/>
          <w:szCs w:val="20"/>
        </w:rPr>
        <w:t xml:space="preserve">Elle refond alors son projet en diminuant le nombre d’ouvrage à numériser et en se coordonnant avec la </w:t>
      </w:r>
      <w:r>
        <w:rPr>
          <w:sz w:val="20"/>
          <w:szCs w:val="20"/>
        </w:rPr>
        <w:t xml:space="preserve">BnF</w:t>
      </w:r>
      <w:r>
        <w:rPr>
          <w:sz w:val="20"/>
          <w:szCs w:val="20"/>
        </w:rPr>
        <w:t xml:space="preserve"> qui a créé sa propre liste de fondamentaux du droit, la liste </w:t>
      </w:r>
      <w:r>
        <w:rPr>
          <w:sz w:val="20"/>
          <w:szCs w:val="20"/>
        </w:rPr>
        <w:t xml:space="preserve">Kerbrat</w:t>
      </w:r>
      <w:r>
        <w:rPr>
          <w:rStyle w:val="2079"/>
          <w:rFonts w:ascii="Times New Roman" w:hAnsi="Times New Roman" w:cs="Times New Roman"/>
          <w:sz w:val="20"/>
          <w:szCs w:val="20"/>
        </w:rPr>
        <w:footnoteReference w:id="9"/>
      </w:r>
      <w:r>
        <w:rPr>
          <w:sz w:val="20"/>
          <w:szCs w:val="20"/>
        </w:rPr>
        <w:t xml:space="preserve">. </w:t>
      </w:r>
      <w:r>
        <w:rPr>
          <w:sz w:val="20"/>
          <w:szCs w:val="20"/>
        </w:rPr>
      </w:r>
    </w:p>
    <w:p>
      <w:pPr>
        <w:pBdr/>
        <w:spacing w:line="240" w:lineRule="auto"/>
        <w:ind/>
        <w:rPr>
          <w:sz w:val="20"/>
          <w:szCs w:val="20"/>
        </w:rPr>
      </w:pPr>
      <w:r>
        <w:rPr>
          <w:sz w:val="20"/>
          <w:szCs w:val="20"/>
        </w:rPr>
        <w:t xml:space="preserve">La liste </w:t>
      </w:r>
      <w:r>
        <w:rPr>
          <w:sz w:val="20"/>
          <w:szCs w:val="20"/>
        </w:rPr>
        <w:t xml:space="preserve">Pfister-Roumy</w:t>
      </w:r>
      <w:r>
        <w:rPr>
          <w:sz w:val="20"/>
          <w:szCs w:val="20"/>
        </w:rPr>
        <w:t xml:space="preserve"> retravaillée </w:t>
      </w:r>
      <w:r>
        <w:rPr>
          <w:sz w:val="20"/>
          <w:szCs w:val="20"/>
        </w:rPr>
        <w:t xml:space="preserve">est constituée de près de 435 titres des XVème au XXème siècles concerne les fondamentaux de l’histoire du droit : sources normatives en droit romain, en droit coutumier, en législation, jurisprudence et doctrine</w:t>
      </w:r>
      <w:r>
        <w:rPr>
          <w:rStyle w:val="2079"/>
          <w:rFonts w:ascii="Times New Roman" w:hAnsi="Times New Roman" w:cs="Times New Roman"/>
          <w:sz w:val="20"/>
          <w:szCs w:val="20"/>
        </w:rPr>
        <w:footnoteReference w:id="10"/>
      </w:r>
      <w:r>
        <w:rPr>
          <w:sz w:val="20"/>
          <w:szCs w:val="20"/>
        </w:rPr>
        <w:t xml:space="preserve">.</w:t>
      </w:r>
      <w:r>
        <w:rPr>
          <w:sz w:val="20"/>
          <w:szCs w:val="20"/>
        </w:rPr>
      </w:r>
    </w:p>
    <w:p>
      <w:pPr>
        <w:pBdr/>
        <w:spacing w:line="240" w:lineRule="auto"/>
        <w:ind/>
        <w:rPr>
          <w:sz w:val="20"/>
          <w:szCs w:val="20"/>
        </w:rPr>
      </w:pPr>
      <w:r>
        <w:rPr>
          <w:sz w:val="20"/>
          <w:szCs w:val="20"/>
        </w:rPr>
        <w:t xml:space="preserve">L’enjeu de la bibliothèque numérique est de favoriser l’étude et la recherche en sciences juridiques, en facilitant l’accès à l’information,</w:t>
      </w:r>
      <w:r>
        <w:rPr>
          <w:sz w:val="20"/>
          <w:szCs w:val="20"/>
        </w:rPr>
        <w:t xml:space="preserve"> d’apporter du contenu au système d’information de la bibliothèque afin qu’il devienne un outil de travail performant pour l’ensemble des publics intéressés. Il est nécessaire également de protéger les collections de la BIU Cujas tout en accroissance leur </w:t>
      </w:r>
      <w:r>
        <w:rPr>
          <w:sz w:val="20"/>
          <w:szCs w:val="20"/>
        </w:rPr>
        <w:t xml:space="preserve">utilisation, de les valoriser en les rendant accessibles plus facilement en France et à l’étranger, accroissant ainsi la visibilité du droit français</w:t>
      </w:r>
      <w:r>
        <w:rPr>
          <w:rStyle w:val="2079"/>
          <w:rFonts w:ascii="Times New Roman" w:hAnsi="Times New Roman" w:cs="Times New Roman"/>
          <w:sz w:val="20"/>
          <w:szCs w:val="20"/>
        </w:rPr>
        <w:footnoteReference w:id="11"/>
      </w:r>
      <w:r>
        <w:rPr>
          <w:sz w:val="20"/>
          <w:szCs w:val="20"/>
        </w:rPr>
        <w:t xml:space="preserve">.</w:t>
      </w:r>
      <w:r>
        <w:rPr>
          <w:sz w:val="20"/>
          <w:szCs w:val="20"/>
        </w:rPr>
      </w:r>
    </w:p>
    <w:p>
      <w:pPr>
        <w:pBdr/>
        <w:spacing w:line="240" w:lineRule="auto"/>
        <w:ind/>
        <w:rPr>
          <w:sz w:val="20"/>
          <w:szCs w:val="20"/>
        </w:rPr>
      </w:pPr>
      <w:r>
        <w:rPr>
          <w:sz w:val="20"/>
          <w:szCs w:val="20"/>
        </w:rPr>
        <w:t xml:space="preserve">CujasNum</w:t>
      </w:r>
      <w:r>
        <w:rPr>
          <w:sz w:val="20"/>
          <w:szCs w:val="20"/>
        </w:rPr>
        <w:t xml:space="preserve"> est développé sous XTF. Il s’agit au début d’un catalogue de PDF accessible numérique avec des tables des matières écrites manuellement permettant de naviguer à l’intérieur du document</w:t>
      </w:r>
      <w:r>
        <w:rPr>
          <w:rStyle w:val="2079"/>
          <w:rFonts w:ascii="Times New Roman" w:hAnsi="Times New Roman" w:cs="Times New Roman"/>
          <w:sz w:val="20"/>
          <w:szCs w:val="20"/>
        </w:rPr>
        <w:footnoteReference w:id="12"/>
      </w:r>
      <w:r>
        <w:rPr>
          <w:sz w:val="20"/>
          <w:szCs w:val="20"/>
        </w:rPr>
        <w:t xml:space="preserve">. </w:t>
      </w:r>
      <w:r>
        <w:rPr>
          <w:sz w:val="20"/>
          <w:szCs w:val="20"/>
        </w:rPr>
        <w:t xml:space="preserve">En 2013, l’</w:t>
      </w:r>
      <w:r>
        <w:rPr>
          <w:sz w:val="20"/>
          <w:szCs w:val="20"/>
        </w:rPr>
        <w:t xml:space="preserve">implémentation d’une visionneuse JPEG permettant aux usagers de consulter les documents directement à partir de la bibliothèque numérique</w:t>
      </w:r>
      <w:r>
        <w:rPr>
          <w:rStyle w:val="2079"/>
          <w:rFonts w:ascii="Times New Roman" w:hAnsi="Times New Roman" w:cs="Times New Roman"/>
          <w:sz w:val="20"/>
          <w:szCs w:val="20"/>
        </w:rPr>
        <w:footnoteReference w:id="13"/>
      </w:r>
      <w:r>
        <w:rPr>
          <w:sz w:val="20"/>
          <w:szCs w:val="20"/>
        </w:rPr>
        <w:t xml:space="preserve">.</w:t>
      </w:r>
      <w:r>
        <w:rPr>
          <w:sz w:val="20"/>
          <w:szCs w:val="20"/>
        </w:rPr>
        <w:t xml:space="preserve"> Quoique robuste, XTF </w:t>
      </w:r>
      <w:r>
        <w:rPr>
          <w:sz w:val="20"/>
          <w:szCs w:val="20"/>
        </w:rPr>
        <w:t xml:space="preserve">est devenu obsolète avec le temps et répond</w:t>
      </w:r>
      <w:r>
        <w:rPr>
          <w:sz w:val="20"/>
          <w:szCs w:val="20"/>
        </w:rPr>
        <w:t xml:space="preserve"> </w:t>
      </w:r>
      <w:r>
        <w:rPr>
          <w:sz w:val="20"/>
          <w:szCs w:val="20"/>
        </w:rPr>
        <w:t xml:space="preserve">difficilement aux besoins actuels des usagers (</w:t>
      </w:r>
      <w:r>
        <w:rPr>
          <w:iCs/>
          <w:sz w:val="20"/>
          <w:szCs w:val="20"/>
        </w:rPr>
        <w:t xml:space="preserve">impossibilité d'</w:t>
      </w:r>
      <w:r>
        <w:rPr>
          <w:iCs/>
          <w:sz w:val="20"/>
          <w:szCs w:val="20"/>
        </w:rPr>
        <w:t xml:space="preserve">éditorialiser</w:t>
      </w:r>
      <w:r>
        <w:rPr>
          <w:iCs/>
          <w:sz w:val="20"/>
          <w:szCs w:val="20"/>
        </w:rPr>
        <w:t xml:space="preserve"> les collections ou d'intégrer </w:t>
      </w:r>
      <w:r>
        <w:rPr>
          <w:iCs/>
          <w:sz w:val="20"/>
          <w:szCs w:val="20"/>
        </w:rPr>
        <w:t xml:space="preserve">d’autres types de documents</w:t>
      </w:r>
      <w:r>
        <w:rPr>
          <w:iCs/>
          <w:sz w:val="20"/>
          <w:szCs w:val="20"/>
        </w:rPr>
        <w:t xml:space="preserve">)</w:t>
      </w:r>
      <w:r>
        <w:rPr>
          <w:sz w:val="20"/>
          <w:szCs w:val="20"/>
        </w:rPr>
        <w:t xml:space="preserve">. </w:t>
      </w:r>
      <w:r>
        <w:rPr>
          <w:sz w:val="20"/>
          <w:szCs w:val="20"/>
        </w:rPr>
      </w:r>
    </w:p>
    <w:p>
      <w:pPr>
        <w:pBdr/>
        <w:spacing w:line="240" w:lineRule="auto"/>
        <w:ind/>
        <w:rPr>
          <w:sz w:val="20"/>
          <w:szCs w:val="20"/>
        </w:rPr>
      </w:pPr>
      <w:r>
        <w:rPr>
          <w:sz w:val="20"/>
          <w:szCs w:val="20"/>
        </w:rPr>
        <w:t xml:space="preserve">Face à ce constat, un nouveau prototype interne (nommé « Codex ») est actuellement à l’étude. L’enjeu de cette refonte est de sortir la bibliothèque numérique de son isolement en la f</w:t>
      </w:r>
      <w:r>
        <w:rPr>
          <w:sz w:val="20"/>
          <w:szCs w:val="20"/>
        </w:rPr>
        <w:t xml:space="preserve">aisant basculer vers un outil ouvert et interopérable (via l’intégration de serveurs IIIF, d’API et du protocole OAI-PMH), afin de pouvoir s’insérer dans les grands projets documentaires nationaux de l’Enseignement Supérieur, tels que le projet Orion de l’</w:t>
      </w:r>
      <w:r>
        <w:rPr>
          <w:sz w:val="20"/>
          <w:szCs w:val="20"/>
        </w:rPr>
        <w:t xml:space="preserve">Abes</w:t>
      </w:r>
      <w:r>
        <w:rPr>
          <w:rStyle w:val="2079"/>
          <w:rFonts w:ascii="Times New Roman" w:hAnsi="Times New Roman" w:cs="Times New Roman"/>
          <w:sz w:val="20"/>
          <w:szCs w:val="20"/>
        </w:rPr>
        <w:footnoteReference w:id="14"/>
      </w:r>
      <w:r>
        <w:rPr>
          <w:sz w:val="20"/>
          <w:szCs w:val="20"/>
        </w:rPr>
        <w:t xml:space="preserve">.</w:t>
      </w:r>
      <w:r>
        <w:rPr>
          <w:sz w:val="20"/>
          <w:szCs w:val="20"/>
        </w:rPr>
      </w:r>
    </w:p>
    <w:p>
      <w:pPr>
        <w:pStyle w:val="2058"/>
        <w:pBdr/>
        <w:spacing w:line="240" w:lineRule="auto"/>
        <w:ind/>
        <w:rPr/>
      </w:pPr>
      <w:r/>
      <w:bookmarkStart w:id="11" w:name="_Toc234420556"/>
      <w:r/>
      <w:bookmarkStart w:id="12" w:name="_Toc236222412"/>
      <w:r>
        <w:t xml:space="preserve">Objectifs des entretiens</w:t>
      </w:r>
      <w:bookmarkEnd w:id="11"/>
      <w:r/>
      <w:bookmarkEnd w:id="12"/>
      <w:r>
        <w:t xml:space="preserve"> </w:t>
      </w:r>
      <w:r/>
    </w:p>
    <w:p>
      <w:pPr>
        <w:pBdr/>
        <w:spacing w:line="240" w:lineRule="auto"/>
        <w:ind/>
        <w:rPr>
          <w:sz w:val="20"/>
          <w:szCs w:val="20"/>
          <w:lang w:eastAsia="fr-FR"/>
        </w:rPr>
      </w:pPr>
      <w:r>
        <w:rPr>
          <w:sz w:val="20"/>
          <w:szCs w:val="20"/>
          <w:lang w:eastAsia="fr-FR"/>
        </w:rPr>
        <w:t xml:space="preserve">L’objectif de ses entretiens étaient multiples. D’abord, il s’agissait de disposer d’un retour critique sur la bibliothèque numérique actuelle, de c</w:t>
      </w:r>
      <w:r>
        <w:rPr>
          <w:sz w:val="20"/>
          <w:szCs w:val="20"/>
          <w:lang w:eastAsia="fr-FR"/>
        </w:rPr>
        <w:t xml:space="preserve">omprendre les attentes des chercheurs, et des services de la BIU Cujas concernant </w:t>
      </w:r>
      <w:r>
        <w:rPr>
          <w:sz w:val="20"/>
          <w:szCs w:val="20"/>
          <w:lang w:eastAsia="fr-FR"/>
        </w:rPr>
        <w:t xml:space="preserve">la future bibliothèque numérique, en particulier en terme de fonctionnalités et de services. Cela permet de disposer d’éléments pour préparer des propositions fonctionnelles pour le projet.</w:t>
      </w:r>
      <w:r>
        <w:rPr>
          <w:sz w:val="20"/>
          <w:szCs w:val="20"/>
          <w:lang w:eastAsia="fr-FR"/>
        </w:rPr>
      </w:r>
    </w:p>
    <w:p>
      <w:pPr>
        <w:pStyle w:val="2058"/>
        <w:pBdr/>
        <w:spacing w:line="240" w:lineRule="auto"/>
        <w:ind/>
        <w:rPr/>
      </w:pPr>
      <w:r/>
      <w:bookmarkStart w:id="13" w:name="_Toc234420557"/>
      <w:r/>
      <w:bookmarkStart w:id="14" w:name="_Toc236222413"/>
      <w:r>
        <w:t xml:space="preserve">Méthodologie employée</w:t>
      </w:r>
      <w:bookmarkEnd w:id="13"/>
      <w:r/>
      <w:bookmarkEnd w:id="14"/>
      <w:r>
        <w:t xml:space="preserve"> </w:t>
      </w:r>
      <w:r/>
    </w:p>
    <w:p>
      <w:pPr>
        <w:pBdr/>
        <w:spacing w:line="240" w:lineRule="auto"/>
        <w:ind/>
        <w:rPr/>
      </w:pPr>
      <w:r>
        <w:rPr>
          <w:sz w:val="20"/>
          <w:szCs w:val="20"/>
        </w:rPr>
        <w:t xml:space="preserve">Cette étude se déroule entre le </w:t>
      </w:r>
      <w:r>
        <w:rPr>
          <w:sz w:val="20"/>
          <w:szCs w:val="20"/>
        </w:rPr>
        <w:t xml:space="preserve">1</w:t>
      </w:r>
      <w:r>
        <w:rPr>
          <w:sz w:val="20"/>
          <w:szCs w:val="20"/>
          <w:vertAlign w:val="superscript"/>
        </w:rPr>
        <w:t xml:space="preserve">er</w:t>
      </w:r>
      <w:r>
        <w:rPr>
          <w:sz w:val="20"/>
          <w:szCs w:val="20"/>
        </w:rPr>
        <w:t xml:space="preserve"> avril au 31 juillet 2026.</w:t>
      </w:r>
      <w:r>
        <w:rPr>
          <w:sz w:val="20"/>
          <w:szCs w:val="20"/>
        </w:rPr>
        <w:t xml:space="preserve"> </w:t>
      </w:r>
      <w:r>
        <w:rPr>
          <w:sz w:val="20"/>
          <w:szCs w:val="20"/>
        </w:rPr>
        <w:t xml:space="preserve">La méthodologie utilisée pour récolter les avis et les besoins liés à l’existant ont été obtenu entre croisant différentes méthodes</w:t>
      </w:r>
      <w:r>
        <w:rPr>
          <w:sz w:val="20"/>
          <w:szCs w:val="20"/>
        </w:rPr>
        <w:t xml:space="preserve"> : </w:t>
      </w:r>
      <w:r>
        <w:rPr>
          <w:sz w:val="20"/>
          <w:szCs w:val="20"/>
        </w:rPr>
        <w:t xml:space="preserve">des entretiens avec les professionnels de Cujas</w:t>
      </w:r>
      <w:r>
        <w:rPr>
          <w:sz w:val="20"/>
          <w:szCs w:val="20"/>
        </w:rPr>
        <w:t xml:space="preserve"> et</w:t>
      </w:r>
      <w:r>
        <w:rPr>
          <w:sz w:val="20"/>
          <w:szCs w:val="20"/>
        </w:rPr>
        <w:t xml:space="preserve">, les</w:t>
      </w:r>
      <w:r>
        <w:t xml:space="preserve"> </w:t>
      </w:r>
      <w:r>
        <w:rPr>
          <w:sz w:val="20"/>
          <w:szCs w:val="20"/>
        </w:rPr>
        <w:t xml:space="preserve">enseignants-chercheurs,</w:t>
      </w:r>
      <w:r>
        <w:rPr>
          <w:sz w:val="20"/>
          <w:szCs w:val="20"/>
        </w:rPr>
        <w:t xml:space="preserve"> des échanges informels ainsi qu’une enquête </w:t>
      </w:r>
      <w:r>
        <w:rPr>
          <w:sz w:val="20"/>
          <w:szCs w:val="20"/>
        </w:rPr>
        <w:t xml:space="preserve">en ligne qui a eu lieu du 14 avril au 3 juillet 2026.</w:t>
      </w:r>
      <w:r/>
    </w:p>
    <w:p>
      <w:pPr>
        <w:pBdr/>
        <w:spacing w:line="240" w:lineRule="auto"/>
        <w:ind/>
        <w:rPr>
          <w:sz w:val="20"/>
          <w:szCs w:val="20"/>
        </w:rPr>
      </w:pPr>
      <w:r>
        <w:rPr>
          <w:sz w:val="20"/>
          <w:szCs w:val="20"/>
        </w:rPr>
        <w:t xml:space="preserve">Ces éléments sont complétés par mes propres observations et analyses. Mes recommandations sont renvoyées au document de préconisation ciblées que je livrerai à l’issue de ce stage.</w:t>
      </w:r>
      <w:r>
        <w:rPr>
          <w:sz w:val="20"/>
          <w:szCs w:val="20"/>
        </w:rP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Bdr/>
        <w:spacing w:line="240" w:lineRule="auto"/>
        <w:ind/>
        <w:rPr/>
      </w:pPr>
      <w:r/>
      <w:r/>
    </w:p>
    <w:p>
      <w:pPr>
        <w:pStyle w:val="2057"/>
        <w:pBdr/>
        <w:spacing w:line="240" w:lineRule="auto"/>
        <w:ind/>
        <w:jc w:val="center"/>
        <w:rPr/>
      </w:pPr>
      <w:r/>
      <w:bookmarkStart w:id="15" w:name="_Toc234420558"/>
      <w:r/>
      <w:bookmarkStart w:id="16" w:name="_Toc236222414"/>
      <w:r>
        <w:t xml:space="preserve">Analyse fonctionnelle</w:t>
      </w:r>
      <w:bookmarkEnd w:id="15"/>
      <w:r/>
      <w:bookmarkEnd w:id="16"/>
      <w:r/>
      <w:r/>
    </w:p>
    <w:p>
      <w:pPr>
        <w:pBdr/>
        <w:spacing w:line="240" w:lineRule="auto"/>
        <w:ind/>
        <w:rPr/>
      </w:pPr>
      <w:r/>
      <w:r/>
    </w:p>
    <w:p>
      <w:pPr>
        <w:pStyle w:val="2057"/>
        <w:numPr>
          <w:ilvl w:val="0"/>
          <w:numId w:val="23"/>
        </w:numPr>
        <w:pBdr/>
        <w:spacing w:line="240" w:lineRule="auto"/>
        <w:ind/>
        <w:rPr/>
      </w:pPr>
      <w:r/>
      <w:bookmarkStart w:id="17" w:name="_Toc234420559"/>
      <w:r/>
      <w:bookmarkStart w:id="18" w:name="_Toc236222415"/>
      <w:r>
        <w:t xml:space="preserve">Les contenus</w:t>
      </w:r>
      <w:bookmarkEnd w:id="17"/>
      <w:r/>
      <w:bookmarkEnd w:id="18"/>
      <w:r/>
      <w:r/>
    </w:p>
    <w:p>
      <w:pPr>
        <w:pStyle w:val="2058"/>
        <w:numPr>
          <w:ilvl w:val="1"/>
          <w:numId w:val="23"/>
        </w:numPr>
        <w:pBdr/>
        <w:spacing w:line="240" w:lineRule="auto"/>
        <w:ind/>
        <w:rPr/>
      </w:pPr>
      <w:r/>
      <w:bookmarkStart w:id="19" w:name="_Toc236222416"/>
      <w:r>
        <w:t xml:space="preserve">L’analyse de l’existant</w:t>
      </w:r>
      <w:bookmarkEnd w:id="19"/>
      <w:r/>
      <w:r/>
    </w:p>
    <w:p>
      <w:pPr>
        <w:pStyle w:val="2059"/>
        <w:numPr>
          <w:ilvl w:val="2"/>
          <w:numId w:val="23"/>
        </w:numPr>
        <w:pBdr/>
        <w:spacing w:line="240" w:lineRule="auto"/>
        <w:ind/>
        <w:rPr/>
      </w:pPr>
      <w:r/>
      <w:bookmarkStart w:id="20" w:name="_Toc236222417"/>
      <w:r>
        <w:t xml:space="preserve">La politique documentaire et la qualité scientifique des contenus</w:t>
      </w:r>
      <w:bookmarkEnd w:id="20"/>
      <w:r/>
      <w:r/>
    </w:p>
    <w:p>
      <w:pPr>
        <w:pBdr/>
        <w:spacing w:line="240" w:lineRule="auto"/>
        <w:ind/>
        <w:rPr>
          <w:sz w:val="20"/>
          <w:szCs w:val="20"/>
        </w:rPr>
      </w:pPr>
      <w:r>
        <w:rPr>
          <w:sz w:val="20"/>
          <w:szCs w:val="20"/>
        </w:rPr>
        <w:t xml:space="preserve">Les chercheurs signalent</w:t>
      </w:r>
      <w:r>
        <w:rPr>
          <w:sz w:val="20"/>
          <w:szCs w:val="20"/>
        </w:rPr>
        <w:t xml:space="preserve"> une lacune importante dans les collections numérisées concernant les recueils de la période 1930 à 1980. Ce manque est lié aux contraintes du domaine public empêchant la</w:t>
      </w:r>
      <w:r>
        <w:rPr>
          <w:sz w:val="20"/>
          <w:szCs w:val="20"/>
        </w:rPr>
        <w:t xml:space="preserve"> diffusion libre de bon nombre d’ouvrage</w:t>
      </w:r>
      <w:r>
        <w:rPr>
          <w:sz w:val="20"/>
          <w:szCs w:val="20"/>
        </w:rPr>
        <w:t xml:space="preserve">s</w:t>
      </w:r>
      <w:r>
        <w:rPr>
          <w:sz w:val="20"/>
          <w:szCs w:val="20"/>
        </w:rPr>
        <w:t xml:space="preserve"> numéris</w:t>
      </w:r>
      <w:r>
        <w:rPr>
          <w:sz w:val="20"/>
          <w:szCs w:val="20"/>
        </w:rPr>
        <w:t xml:space="preserve">és de cette période ainsi qu’à la date déjà ancienne de création de la liste </w:t>
      </w:r>
      <w:r>
        <w:rPr>
          <w:sz w:val="20"/>
          <w:szCs w:val="20"/>
        </w:rPr>
        <w:t xml:space="preserve">Pfister-Roumy</w:t>
      </w:r>
      <w:r>
        <w:rPr>
          <w:sz w:val="20"/>
          <w:szCs w:val="20"/>
        </w:rPr>
        <w:t xml:space="preserve">. Ces lacunes pourraient cependant être en partie comblées par la négociation d’accords ou un dispositif technique, comme le font d’autres établissements</w:t>
      </w:r>
      <w:r>
        <w:rPr>
          <w:rStyle w:val="2079"/>
          <w:rFonts w:ascii="Times New Roman" w:hAnsi="Times New Roman" w:cs="Times New Roman"/>
          <w:sz w:val="20"/>
          <w:szCs w:val="20"/>
        </w:rPr>
        <w:footnoteReference w:id="15"/>
      </w:r>
      <w:r>
        <w:rPr>
          <w:sz w:val="20"/>
          <w:szCs w:val="20"/>
        </w:rPr>
        <w:t xml:space="preserve">.</w:t>
      </w:r>
      <w:r>
        <w:rPr>
          <w:sz w:val="20"/>
          <w:szCs w:val="20"/>
        </w:rPr>
      </w:r>
    </w:p>
    <w:p>
      <w:pPr>
        <w:pStyle w:val="2059"/>
        <w:numPr>
          <w:ilvl w:val="2"/>
          <w:numId w:val="23"/>
        </w:numPr>
        <w:pBdr/>
        <w:spacing w:line="240" w:lineRule="auto"/>
        <w:ind/>
        <w:rPr/>
      </w:pPr>
      <w:r/>
      <w:bookmarkStart w:id="21" w:name="_Toc236222418"/>
      <w:r>
        <w:t xml:space="preserve">La diversité des types de documents</w:t>
      </w:r>
      <w:bookmarkEnd w:id="21"/>
      <w:r/>
      <w:r/>
    </w:p>
    <w:p>
      <w:pPr>
        <w:pBdr/>
        <w:spacing w:line="240" w:lineRule="auto"/>
        <w:ind/>
        <w:rPr>
          <w:sz w:val="20"/>
          <w:szCs w:val="20"/>
        </w:rPr>
      </w:pPr>
      <w:r>
        <w:rPr>
          <w:sz w:val="20"/>
          <w:szCs w:val="20"/>
        </w:rPr>
        <w:t xml:space="preserve">Actuellement, la bibliothèque numérique propose uniquement des monographies</w:t>
      </w:r>
      <w:r>
        <w:rPr>
          <w:rStyle w:val="2079"/>
          <w:rFonts w:ascii="Times New Roman" w:hAnsi="Times New Roman" w:cs="Times New Roman"/>
          <w:sz w:val="20"/>
          <w:szCs w:val="20"/>
        </w:rPr>
        <w:footnoteReference w:id="16"/>
      </w:r>
      <w:r>
        <w:rPr>
          <w:sz w:val="20"/>
          <w:szCs w:val="20"/>
        </w:rPr>
        <w:t xml:space="preserve">. Cette situation génère u</w:t>
      </w:r>
      <w:r>
        <w:rPr>
          <w:sz w:val="20"/>
          <w:szCs w:val="20"/>
        </w:rPr>
        <w:t xml:space="preserve">ne forte insatisfaction tant que du côté du Département du patrimoine, de la conservation et de la numérisation (DPCN) que de celui du Département des Périodiques et des ressources électroniques (DPRE). La cause principale est d’ordre technique. En effet, </w:t>
      </w:r>
      <w:r>
        <w:rPr>
          <w:sz w:val="20"/>
          <w:szCs w:val="20"/>
        </w:rPr>
        <w:t xml:space="preserve">le logiciel sous XTF de </w:t>
      </w:r>
      <w:r>
        <w:rPr>
          <w:sz w:val="20"/>
          <w:szCs w:val="20"/>
        </w:rPr>
        <w:t xml:space="preserve">CujasNum</w:t>
      </w:r>
      <w:r>
        <w:rPr>
          <w:sz w:val="20"/>
          <w:szCs w:val="20"/>
        </w:rPr>
        <w:t xml:space="preserve"> accepte uniquement l’arborescence « à plat » empêchant ainsi l’intégration de documents nécessitant une hiérarchie</w:t>
      </w:r>
      <w:r>
        <w:rPr>
          <w:rStyle w:val="2079"/>
          <w:rFonts w:ascii="Times New Roman" w:hAnsi="Times New Roman" w:cs="Times New Roman"/>
          <w:sz w:val="20"/>
          <w:szCs w:val="20"/>
        </w:rPr>
        <w:footnoteReference w:id="17"/>
      </w:r>
      <w:r>
        <w:rPr>
          <w:sz w:val="20"/>
          <w:szCs w:val="20"/>
        </w:rPr>
        <w:t xml:space="preserve">, comme les revues ou les archives. Ils ne peuvent pas pour le moment intégrer ou traiter d’autres formats comme </w:t>
      </w:r>
      <w:r>
        <w:rPr>
          <w:sz w:val="20"/>
          <w:szCs w:val="20"/>
        </w:rPr>
        <w:t xml:space="preserve">des périodiques qui nécessit</w:t>
      </w:r>
      <w:r>
        <w:rPr>
          <w:sz w:val="20"/>
          <w:szCs w:val="20"/>
        </w:rPr>
        <w:t xml:space="preserve">ent une architecture arborescenc</w:t>
      </w:r>
      <w:r>
        <w:rPr>
          <w:sz w:val="20"/>
          <w:szCs w:val="20"/>
        </w:rPr>
        <w:t xml:space="preserve">e</w:t>
      </w:r>
      <w:r>
        <w:rPr>
          <w:rStyle w:val="2079"/>
          <w:rFonts w:ascii="Times New Roman" w:hAnsi="Times New Roman" w:cs="Times New Roman"/>
          <w:sz w:val="20"/>
          <w:szCs w:val="20"/>
        </w:rPr>
        <w:footnoteReference w:id="18"/>
      </w:r>
      <w:r>
        <w:rPr>
          <w:sz w:val="20"/>
          <w:szCs w:val="20"/>
        </w:rPr>
        <w:t xml:space="preserve">. </w:t>
      </w:r>
      <w:r>
        <w:rPr>
          <w:sz w:val="20"/>
          <w:szCs w:val="20"/>
        </w:rPr>
      </w:r>
    </w:p>
    <w:p>
      <w:pPr>
        <w:pStyle w:val="2059"/>
        <w:numPr>
          <w:ilvl w:val="2"/>
          <w:numId w:val="23"/>
        </w:numPr>
        <w:pBdr/>
        <w:spacing w:line="240" w:lineRule="auto"/>
        <w:ind/>
        <w:rPr>
          <w:sz w:val="28"/>
        </w:rPr>
      </w:pPr>
      <w:r/>
      <w:bookmarkStart w:id="22" w:name="_Toc236222419"/>
      <w:r>
        <w:t xml:space="preserve">L’</w:t>
      </w:r>
      <w:r>
        <w:t xml:space="preserve">éditorialisation</w:t>
      </w:r>
      <w:bookmarkEnd w:id="22"/>
      <w:r/>
      <w:r>
        <w:rPr>
          <w:sz w:val="28"/>
        </w:rPr>
      </w:r>
    </w:p>
    <w:p>
      <w:pPr>
        <w:pBdr/>
        <w:spacing w:line="240" w:lineRule="auto"/>
        <w:ind/>
        <w:rPr>
          <w:sz w:val="20"/>
          <w:szCs w:val="20"/>
        </w:rPr>
      </w:pPr>
      <w:r>
        <w:rPr>
          <w:sz w:val="20"/>
          <w:szCs w:val="20"/>
        </w:rPr>
        <w:t xml:space="preserve">L’</w:t>
      </w:r>
      <w:r>
        <w:rPr>
          <w:sz w:val="20"/>
          <w:szCs w:val="20"/>
        </w:rPr>
        <w:t xml:space="preserve">éditorialisation</w:t>
      </w:r>
      <w:r>
        <w:rPr>
          <w:sz w:val="20"/>
          <w:szCs w:val="20"/>
        </w:rPr>
        <w:t xml:space="preserve"> des contenus</w:t>
      </w:r>
      <w:r>
        <w:rPr>
          <w:sz w:val="20"/>
          <w:szCs w:val="20"/>
        </w:rPr>
        <w:t xml:space="preserve"> par le DPCN</w:t>
      </w:r>
      <w:r>
        <w:rPr>
          <w:sz w:val="20"/>
          <w:szCs w:val="20"/>
        </w:rPr>
        <w:t xml:space="preserve"> est actuellement impossible sous XTF</w:t>
      </w:r>
      <w:r>
        <w:rPr>
          <w:sz w:val="20"/>
          <w:szCs w:val="20"/>
        </w:rPr>
        <w:t xml:space="preserve"> sans une intervention du Département informatique technique</w:t>
      </w:r>
      <w:r>
        <w:rPr>
          <w:sz w:val="20"/>
          <w:szCs w:val="20"/>
        </w:rPr>
        <w:t xml:space="preserve">.</w:t>
      </w:r>
      <w:r>
        <w:rPr>
          <w:sz w:val="20"/>
          <w:szCs w:val="20"/>
        </w:rPr>
        <w:t xml:space="preserve"> L’absence d’outils d’</w:t>
      </w:r>
      <w:r>
        <w:rPr>
          <w:sz w:val="20"/>
          <w:szCs w:val="20"/>
        </w:rPr>
        <w:t xml:space="preserve">éditorialisation</w:t>
      </w:r>
      <w:r>
        <w:rPr>
          <w:sz w:val="20"/>
          <w:szCs w:val="20"/>
        </w:rPr>
        <w:t xml:space="preserve"> empêche la création de corpus spécifiques et limite la finesse d’affichage</w:t>
      </w:r>
      <w:r>
        <w:rPr>
          <w:rStyle w:val="2079"/>
          <w:rFonts w:ascii="Times New Roman" w:hAnsi="Times New Roman" w:cs="Times New Roman"/>
          <w:sz w:val="20"/>
          <w:szCs w:val="20"/>
        </w:rPr>
        <w:footnoteReference w:id="19"/>
      </w:r>
      <w:r>
        <w:rPr>
          <w:sz w:val="20"/>
          <w:szCs w:val="20"/>
        </w:rPr>
        <w:t xml:space="preserve">. L’</w:t>
      </w:r>
      <w:r>
        <w:rPr>
          <w:sz w:val="20"/>
          <w:szCs w:val="20"/>
        </w:rPr>
        <w:t xml:space="preserve">éditorialisation</w:t>
      </w:r>
      <w:r>
        <w:rPr>
          <w:sz w:val="20"/>
          <w:szCs w:val="20"/>
        </w:rPr>
        <w:t xml:space="preserve"> résume donc à une présentation sommaire des corpus, une production de tables de matières et une structuration en collections chronologiques ou thématiques.</w:t>
      </w:r>
      <w:r>
        <w:rPr>
          <w:sz w:val="20"/>
          <w:szCs w:val="20"/>
        </w:rPr>
      </w:r>
    </w:p>
    <w:p>
      <w:pPr>
        <w:pBdr/>
        <w:spacing w:line="240" w:lineRule="auto"/>
        <w:ind/>
        <w:rPr>
          <w:sz w:val="20"/>
          <w:szCs w:val="20"/>
        </w:rPr>
      </w:pPr>
      <w:r>
        <w:rPr>
          <w:sz w:val="20"/>
          <w:szCs w:val="20"/>
        </w:rPr>
        <w:t xml:space="preserve">Les utilisateurs qualifient l’organisation actuelle des collections de « casse-tête » chronophage</w:t>
      </w:r>
      <w:r>
        <w:rPr>
          <w:rStyle w:val="2079"/>
          <w:rFonts w:ascii="Times New Roman" w:hAnsi="Times New Roman" w:cs="Times New Roman"/>
          <w:sz w:val="20"/>
          <w:szCs w:val="20"/>
        </w:rPr>
        <w:footnoteReference w:id="20"/>
      </w:r>
      <w:r>
        <w:rPr>
          <w:sz w:val="20"/>
          <w:szCs w:val="20"/>
        </w:rPr>
        <w:t xml:space="preserve">. Le mélange entre des collections thématiques et chronologiques n’est pas intui</w:t>
      </w:r>
      <w:r>
        <w:rPr>
          <w:sz w:val="20"/>
          <w:szCs w:val="20"/>
        </w:rPr>
        <w:t xml:space="preserve">tif, et les vignettes présentes</w:t>
      </w:r>
      <w:r>
        <w:rPr>
          <w:sz w:val="20"/>
          <w:szCs w:val="20"/>
        </w:rPr>
        <w:t xml:space="preserve"> sur la page d’accueil créent de fausses attentes quant à la précision des sources proposées</w:t>
      </w:r>
      <w:r>
        <w:rPr>
          <w:rStyle w:val="2079"/>
          <w:rFonts w:ascii="Times New Roman" w:hAnsi="Times New Roman" w:cs="Times New Roman"/>
          <w:sz w:val="20"/>
          <w:szCs w:val="20"/>
        </w:rPr>
        <w:footnoteReference w:id="21"/>
      </w:r>
      <w:r>
        <w:rPr>
          <w:sz w:val="20"/>
          <w:szCs w:val="20"/>
        </w:rPr>
        <w:t xml:space="preserve">.</w:t>
      </w:r>
      <w:r>
        <w:rPr>
          <w:sz w:val="20"/>
          <w:szCs w:val="20"/>
        </w:rPr>
        <w:t xml:space="preserve"> </w:t>
      </w:r>
      <w:r>
        <w:rPr>
          <w:sz w:val="20"/>
          <w:szCs w:val="20"/>
        </w:rPr>
      </w:r>
    </w:p>
    <w:p>
      <w:pPr>
        <w:pBdr/>
        <w:spacing w:line="240" w:lineRule="auto"/>
        <w:ind/>
        <w:rPr>
          <w:sz w:val="20"/>
          <w:szCs w:val="20"/>
        </w:rPr>
      </w:pPr>
      <w:r>
        <w:rPr>
          <w:sz w:val="20"/>
          <w:szCs w:val="20"/>
        </w:rPr>
        <w:t xml:space="preserve">L</w:t>
      </w:r>
      <w:r>
        <w:rPr>
          <w:sz w:val="20"/>
          <w:szCs w:val="20"/>
        </w:rPr>
        <w:t xml:space="preserve">a bibliothèque numérique actuelle n’est pas rattachée aux canaux de communication existant dans la bibliothèque Cujas.</w:t>
      </w:r>
      <w:r>
        <w:rPr>
          <w:sz w:val="20"/>
          <w:szCs w:val="20"/>
        </w:rPr>
        <w:t xml:space="preserve"> Actuellement, </w:t>
      </w:r>
      <w:r>
        <w:rPr>
          <w:sz w:val="20"/>
          <w:szCs w:val="20"/>
        </w:rPr>
        <w:t xml:space="preserve">CujasNum</w:t>
      </w:r>
      <w:r>
        <w:rPr>
          <w:sz w:val="20"/>
          <w:szCs w:val="20"/>
        </w:rPr>
        <w:t xml:space="preserve"> ne partage aucune nouveauté concernant les numérisations misent en ligne sur le site, participant ainsi à son invisibilité auprès des utilisateurs</w:t>
      </w:r>
      <w:r>
        <w:rPr>
          <w:rStyle w:val="2079"/>
          <w:rFonts w:ascii="Times New Roman" w:hAnsi="Times New Roman" w:cs="Times New Roman"/>
          <w:sz w:val="20"/>
          <w:szCs w:val="20"/>
        </w:rPr>
        <w:footnoteReference w:id="22"/>
      </w:r>
      <w:r>
        <w:rPr>
          <w:sz w:val="20"/>
          <w:szCs w:val="20"/>
        </w:rPr>
        <w:t xml:space="preserve">. </w:t>
      </w:r>
      <w:r>
        <w:rPr>
          <w:sz w:val="20"/>
          <w:szCs w:val="20"/>
        </w:rPr>
        <w:t xml:space="preserve">Il existait auparavant</w:t>
      </w:r>
      <w:r>
        <w:rPr>
          <w:sz w:val="20"/>
          <w:szCs w:val="20"/>
        </w:rPr>
        <w:t xml:space="preserve"> un bulletin de numérisation</w:t>
      </w:r>
      <w:r>
        <w:rPr>
          <w:rStyle w:val="2079"/>
          <w:rFonts w:ascii="Times New Roman" w:hAnsi="Times New Roman" w:cs="Times New Roman"/>
          <w:sz w:val="20"/>
          <w:szCs w:val="20"/>
        </w:rPr>
        <w:footnoteReference w:id="23"/>
      </w:r>
      <w:r>
        <w:rPr>
          <w:sz w:val="20"/>
          <w:szCs w:val="20"/>
        </w:rPr>
        <w:t xml:space="preserve"> qui jouait ce rôle de communication avec les lecteurs mais qui a été arrêté au moment du COVID. </w:t>
      </w:r>
      <w:r>
        <w:rPr>
          <w:sz w:val="20"/>
          <w:szCs w:val="20"/>
        </w:rPr>
        <w:t xml:space="preserve"> </w:t>
      </w:r>
      <w:r>
        <w:rPr>
          <w:sz w:val="20"/>
          <w:szCs w:val="20"/>
        </w:rPr>
      </w:r>
    </w:p>
    <w:p>
      <w:pPr>
        <w:pStyle w:val="2059"/>
        <w:numPr>
          <w:ilvl w:val="2"/>
          <w:numId w:val="23"/>
        </w:numPr>
        <w:pBdr/>
        <w:spacing w:line="240" w:lineRule="auto"/>
        <w:ind/>
        <w:rPr/>
      </w:pPr>
      <w:r/>
      <w:bookmarkStart w:id="23" w:name="_Toc236222420"/>
      <w:r>
        <w:t xml:space="preserve">L’intégration de collections d’autres bibliothèques numériques</w:t>
      </w:r>
      <w:bookmarkEnd w:id="23"/>
      <w:r/>
      <w:r/>
    </w:p>
    <w:p>
      <w:pPr>
        <w:pBdr/>
        <w:spacing w:line="240" w:lineRule="auto"/>
        <w:ind/>
        <w:rPr>
          <w:sz w:val="20"/>
          <w:szCs w:val="20"/>
        </w:rPr>
      </w:pPr>
      <w:r>
        <w:rPr>
          <w:sz w:val="20"/>
          <w:szCs w:val="20"/>
        </w:rPr>
        <w:t xml:space="preserve">L’infrastructure actuelle souffre d’un fort isol</w:t>
      </w:r>
      <w:r>
        <w:rPr>
          <w:sz w:val="20"/>
          <w:szCs w:val="20"/>
        </w:rPr>
        <w:t xml:space="preserve">ement. Bien qu’il existe un partenariat de numérisation avec Persée pour les revues scientifiques et juridiques, les fichiers générés ne sont pas disponibles et ne peuvent actuellement pas être reversés ou rapatriés dans le système de la bibliothèque Cujas</w:t>
      </w:r>
      <w:r>
        <w:rPr>
          <w:rStyle w:val="2079"/>
          <w:rFonts w:ascii="Times New Roman" w:hAnsi="Times New Roman" w:cs="Times New Roman"/>
          <w:sz w:val="20"/>
          <w:szCs w:val="20"/>
        </w:rPr>
        <w:footnoteReference w:id="24"/>
      </w:r>
      <w:r>
        <w:rPr>
          <w:sz w:val="20"/>
          <w:szCs w:val="20"/>
        </w:rPr>
        <w:t xml:space="preserve">. Il est également impossible de rapatrier les contenus numérisés et consultés massivement sur le portail </w:t>
      </w:r>
      <w:r>
        <w:rPr>
          <w:sz w:val="20"/>
          <w:szCs w:val="20"/>
        </w:rPr>
        <w:t xml:space="preserve">de la BNF à cause des blocages architecturaux</w:t>
      </w:r>
      <w:r>
        <w:rPr>
          <w:rStyle w:val="2079"/>
          <w:rFonts w:ascii="Times New Roman" w:hAnsi="Times New Roman" w:cs="Times New Roman"/>
          <w:sz w:val="20"/>
          <w:szCs w:val="20"/>
        </w:rPr>
        <w:footnoteReference w:id="25"/>
      </w:r>
      <w:r>
        <w:rPr>
          <w:sz w:val="20"/>
          <w:szCs w:val="20"/>
        </w:rPr>
        <w:t xml:space="preserve">.</w:t>
      </w:r>
      <w:r>
        <w:rPr>
          <w:sz w:val="20"/>
          <w:szCs w:val="20"/>
        </w:rPr>
        <w:t xml:space="preserve"> Il n’est pas non plus possible de rapatrier dans la bibliothèque numérique un volume lacunaire qui aurait été numérisé par un autre établissement.</w:t>
      </w:r>
      <w:r>
        <w:rPr>
          <w:sz w:val="20"/>
          <w:szCs w:val="20"/>
        </w:rPr>
      </w:r>
    </w:p>
    <w:p>
      <w:pPr>
        <w:pStyle w:val="2058"/>
        <w:numPr>
          <w:ilvl w:val="1"/>
          <w:numId w:val="23"/>
        </w:numPr>
        <w:pBdr/>
        <w:spacing w:line="240" w:lineRule="auto"/>
        <w:ind/>
        <w:rPr/>
      </w:pPr>
      <w:r/>
      <w:bookmarkStart w:id="24" w:name="_Toc236222421"/>
      <w:r>
        <w:t xml:space="preserve">Les propositions d’améliorations</w:t>
      </w:r>
      <w:r>
        <w:t xml:space="preserve"> des répondants</w:t>
      </w:r>
      <w:bookmarkEnd w:id="24"/>
      <w:r/>
      <w:r/>
    </w:p>
    <w:p>
      <w:pPr>
        <w:pStyle w:val="2059"/>
        <w:numPr>
          <w:ilvl w:val="2"/>
          <w:numId w:val="29"/>
        </w:numPr>
        <w:pBdr/>
        <w:spacing w:line="240" w:lineRule="auto"/>
        <w:ind/>
        <w:rPr/>
      </w:pPr>
      <w:r/>
      <w:bookmarkStart w:id="25" w:name="_Toc236222422"/>
      <w:r>
        <w:t xml:space="preserve">La politique documentaire et la qualité scientifique des contenus</w:t>
      </w:r>
      <w:bookmarkEnd w:id="25"/>
      <w:r/>
      <w:r/>
    </w:p>
    <w:p>
      <w:pPr>
        <w:pBdr/>
        <w:spacing w:line="240" w:lineRule="auto"/>
        <w:ind/>
        <w:rPr>
          <w:sz w:val="20"/>
          <w:szCs w:val="20"/>
        </w:rPr>
      </w:pPr>
      <w:r>
        <w:rPr>
          <w:sz w:val="20"/>
          <w:szCs w:val="20"/>
        </w:rPr>
        <w:t xml:space="preserve">Pour pallier les manques actuels, il est recommandé de compléter les numérisations de la période 1800 à 1940, notamment pour les manuels de droit civil, de procédure et de droit commercial</w:t>
      </w:r>
      <w:r>
        <w:rPr>
          <w:rStyle w:val="2079"/>
          <w:rFonts w:ascii="Times New Roman" w:hAnsi="Times New Roman" w:cs="Times New Roman"/>
          <w:sz w:val="20"/>
          <w:szCs w:val="20"/>
        </w:rPr>
        <w:footnoteReference w:id="26"/>
      </w:r>
      <w:r>
        <w:rPr>
          <w:sz w:val="20"/>
          <w:szCs w:val="20"/>
        </w:rPr>
        <w:t xml:space="preserve">. Il serait également pertinent de numériser les différentes éditions successives d’un même ouvrage afin de permettre aux chercheurs de </w:t>
      </w:r>
      <w:r>
        <w:rPr>
          <w:sz w:val="20"/>
          <w:szCs w:val="20"/>
        </w:rPr>
        <w:t xml:space="preserve">retracer l’évolution de la pensée d’un auteur au fil du temps. Pour piloter cette politique documentaire, la création d’un comité scientifique est suggérée pour établir les priorités de numérisation de façon collaborative comme ce fut le cas pour la liste </w:t>
      </w:r>
      <w:r>
        <w:rPr>
          <w:sz w:val="20"/>
          <w:szCs w:val="20"/>
        </w:rPr>
        <w:t xml:space="preserve">Pfister-Roumy</w:t>
      </w:r>
      <w:r>
        <w:rPr>
          <w:rStyle w:val="2079"/>
          <w:rFonts w:ascii="Times New Roman" w:hAnsi="Times New Roman" w:cs="Times New Roman"/>
          <w:sz w:val="20"/>
          <w:szCs w:val="20"/>
        </w:rPr>
        <w:footnoteReference w:id="27"/>
      </w:r>
      <w:r>
        <w:rPr>
          <w:sz w:val="20"/>
          <w:szCs w:val="20"/>
        </w:rPr>
        <w:t xml:space="preserve">. </w:t>
      </w:r>
      <w:r>
        <w:rPr>
          <w:sz w:val="20"/>
          <w:szCs w:val="20"/>
        </w:rPr>
      </w:r>
    </w:p>
    <w:p>
      <w:pPr>
        <w:pStyle w:val="2059"/>
        <w:numPr>
          <w:ilvl w:val="2"/>
          <w:numId w:val="29"/>
        </w:numPr>
        <w:pBdr/>
        <w:spacing w:line="240" w:lineRule="auto"/>
        <w:ind/>
        <w:rPr/>
      </w:pPr>
      <w:r/>
      <w:bookmarkStart w:id="26" w:name="_Toc236222423"/>
      <w:r>
        <w:t xml:space="preserve">La diversité des types de documents</w:t>
      </w:r>
      <w:bookmarkEnd w:id="26"/>
      <w:r/>
      <w:r/>
    </w:p>
    <w:p>
      <w:pPr>
        <w:pBdr/>
        <w:spacing w:line="240" w:lineRule="auto"/>
        <w:ind/>
        <w:rPr>
          <w:sz w:val="20"/>
          <w:szCs w:val="20"/>
        </w:rPr>
      </w:pPr>
      <w:r>
        <w:rPr>
          <w:sz w:val="20"/>
          <w:szCs w:val="20"/>
        </w:rPr>
        <w:t xml:space="preserve">L’amélioration technique majeure attendue est la capacité d’accueillir de nouveaux types de documents</w:t>
      </w:r>
      <w:r>
        <w:rPr>
          <w:sz w:val="20"/>
          <w:szCs w:val="20"/>
        </w:rPr>
        <w:t xml:space="preserve"> pour refléter la richesse des collections de Cujas</w:t>
      </w:r>
      <w:r>
        <w:rPr>
          <w:rStyle w:val="2079"/>
          <w:rFonts w:ascii="Times New Roman" w:hAnsi="Times New Roman" w:cs="Times New Roman"/>
          <w:sz w:val="20"/>
          <w:szCs w:val="20"/>
        </w:rPr>
        <w:footnoteReference w:id="28"/>
      </w:r>
      <w:r>
        <w:rPr>
          <w:sz w:val="20"/>
          <w:szCs w:val="20"/>
        </w:rPr>
        <w:t xml:space="preserve">.</w:t>
      </w:r>
      <w:r>
        <w:rPr>
          <w:sz w:val="20"/>
          <w:szCs w:val="20"/>
        </w:rPr>
        <w:t xml:space="preserve"> Le système devra impérativement prendre en charge : les revues et les périodiques ainsi que les images et l’iconographie et les archives</w:t>
      </w:r>
      <w:r>
        <w:rPr>
          <w:rStyle w:val="2079"/>
          <w:rFonts w:ascii="Times New Roman" w:hAnsi="Times New Roman" w:cs="Times New Roman"/>
          <w:sz w:val="20"/>
          <w:szCs w:val="20"/>
        </w:rPr>
        <w:footnoteReference w:id="29"/>
      </w:r>
      <w:r>
        <w:rPr>
          <w:sz w:val="20"/>
          <w:szCs w:val="20"/>
        </w:rPr>
        <w:t xml:space="preserve">. Cela permettrait de mettre davantage en avant la richesse des collections de Cujas. Il s’agit d’un souhait évoqué par les chercheurs et les différents services de la bibliothèque.</w:t>
      </w:r>
      <w:r>
        <w:rPr>
          <w:sz w:val="20"/>
          <w:szCs w:val="20"/>
        </w:rPr>
        <w:t xml:space="preserve"> </w:t>
      </w:r>
      <w:r>
        <w:rPr>
          <w:sz w:val="20"/>
          <w:szCs w:val="20"/>
        </w:rPr>
      </w:r>
    </w:p>
    <w:p>
      <w:pPr>
        <w:pStyle w:val="2059"/>
        <w:numPr>
          <w:ilvl w:val="2"/>
          <w:numId w:val="29"/>
        </w:numPr>
        <w:pBdr/>
        <w:spacing w:line="240" w:lineRule="auto"/>
        <w:ind/>
        <w:rPr/>
      </w:pPr>
      <w:r/>
      <w:bookmarkStart w:id="27" w:name="_Toc236222424"/>
      <w:r>
        <w:t xml:space="preserve">L’</w:t>
      </w:r>
      <w:r>
        <w:t xml:space="preserve">éditorialisation</w:t>
      </w:r>
      <w:bookmarkEnd w:id="27"/>
      <w:r/>
      <w:r/>
    </w:p>
    <w:p>
      <w:pPr>
        <w:pBdr/>
        <w:spacing w:line="240" w:lineRule="auto"/>
        <w:ind/>
        <w:rPr>
          <w:sz w:val="20"/>
          <w:szCs w:val="20"/>
        </w:rPr>
      </w:pPr>
      <w:r>
        <w:rPr>
          <w:sz w:val="20"/>
          <w:szCs w:val="20"/>
        </w:rPr>
        <w:t xml:space="preserve">C’est l’un des besoins les plus fortement exprimés pour redonner de la cohérence aux</w:t>
      </w:r>
      <w:r>
        <w:rPr>
          <w:sz w:val="20"/>
          <w:szCs w:val="20"/>
        </w:rPr>
        <w:t xml:space="preserve"> collections. Il est préconisé d’ajouter des textes explicatifs et scientifiques pour justifier la logique de classification adoptée, évitant ainsi la confusion des utilisateurs face à des regroupements thématiques ou chronologiques d’apparence incohérente</w:t>
      </w:r>
      <w:r>
        <w:rPr>
          <w:sz w:val="20"/>
          <w:szCs w:val="20"/>
          <w:vertAlign w:val="superscript"/>
        </w:rPr>
        <w:footnoteReference w:id="30"/>
      </w:r>
      <w:r>
        <w:rPr>
          <w:sz w:val="20"/>
          <w:szCs w:val="20"/>
        </w:rPr>
        <w:t xml:space="preserve">. L’</w:t>
      </w:r>
      <w:r>
        <w:rPr>
          <w:sz w:val="20"/>
          <w:szCs w:val="20"/>
        </w:rPr>
        <w:t xml:space="preserve">éditorialisation</w:t>
      </w:r>
      <w:r>
        <w:rPr>
          <w:sz w:val="20"/>
          <w:szCs w:val="20"/>
        </w:rPr>
        <w:t xml:space="preserve"> doit être pensée par des juristes pour des juristes, afin d’expliquer concrètement pourquoi un ouvrage est important pour l’histoire du droit</w:t>
      </w:r>
      <w:r>
        <w:rPr>
          <w:rStyle w:val="2079"/>
          <w:rFonts w:ascii="Times New Roman" w:hAnsi="Times New Roman" w:cs="Times New Roman"/>
          <w:sz w:val="20"/>
          <w:szCs w:val="20"/>
        </w:rPr>
        <w:footnoteReference w:id="31"/>
      </w:r>
      <w:r>
        <w:rPr>
          <w:sz w:val="20"/>
          <w:szCs w:val="20"/>
        </w:rPr>
        <w:t xml:space="preserve">. Plusieurs formats sont proposés : </w:t>
      </w:r>
      <w:r>
        <w:rPr>
          <w:sz w:val="20"/>
          <w:szCs w:val="20"/>
        </w:rPr>
      </w:r>
    </w:p>
    <w:p>
      <w:pPr>
        <w:pBdr/>
        <w:spacing w:line="240" w:lineRule="auto"/>
        <w:ind/>
        <w:rPr>
          <w:sz w:val="20"/>
          <w:szCs w:val="20"/>
        </w:rPr>
      </w:pPr>
      <w:r>
        <w:rPr>
          <w:sz w:val="20"/>
          <w:szCs w:val="20"/>
        </w:rPr>
        <w:t xml:space="preserve">La création de parcours thématiques guidés ou d’une « galerie des grands juristes »</w:t>
      </w:r>
      <w:r>
        <w:rPr>
          <w:rStyle w:val="2079"/>
          <w:rFonts w:ascii="Times New Roman" w:hAnsi="Times New Roman" w:cs="Times New Roman"/>
          <w:sz w:val="20"/>
          <w:szCs w:val="20"/>
        </w:rPr>
        <w:footnoteReference w:id="32"/>
      </w:r>
      <w:r>
        <w:rPr>
          <w:sz w:val="20"/>
          <w:szCs w:val="20"/>
        </w:rPr>
        <w:t xml:space="preserve">, proposant des notices biographiques et des liens directs vers leurs œuvres</w:t>
      </w:r>
      <w:r>
        <w:rPr>
          <w:rStyle w:val="2079"/>
          <w:rFonts w:ascii="Times New Roman" w:hAnsi="Times New Roman" w:cs="Times New Roman"/>
          <w:sz w:val="20"/>
          <w:szCs w:val="20"/>
        </w:rPr>
        <w:footnoteReference w:id="33"/>
      </w:r>
      <w:r>
        <w:rPr>
          <w:sz w:val="20"/>
          <w:szCs w:val="20"/>
        </w:rPr>
        <w:t xml:space="preserve">.</w:t>
      </w:r>
      <w:r>
        <w:rPr>
          <w:sz w:val="20"/>
          <w:szCs w:val="20"/>
        </w:rPr>
      </w:r>
    </w:p>
    <w:p>
      <w:pPr>
        <w:pBdr/>
        <w:spacing w:line="240" w:lineRule="auto"/>
        <w:ind/>
        <w:rPr>
          <w:sz w:val="20"/>
          <w:szCs w:val="20"/>
        </w:rPr>
      </w:pPr>
      <w:r>
        <w:rPr>
          <w:sz w:val="20"/>
          <w:szCs w:val="20"/>
        </w:rPr>
        <w:t xml:space="preserve">L’intégration d’explications sur le contexte de publication (privilèges accordés, choix des éditeurs, évolution de la doctrine au fil des rééditions)</w:t>
      </w:r>
      <w:r>
        <w:rPr>
          <w:rStyle w:val="2079"/>
          <w:rFonts w:ascii="Times New Roman" w:hAnsi="Times New Roman" w:cs="Times New Roman"/>
          <w:sz w:val="20"/>
          <w:szCs w:val="20"/>
        </w:rPr>
        <w:footnoteReference w:id="34"/>
      </w:r>
      <w:r>
        <w:rPr>
          <w:sz w:val="20"/>
          <w:szCs w:val="20"/>
        </w:rPr>
        <w:t xml:space="preserve">. </w:t>
      </w:r>
      <w:r>
        <w:rPr>
          <w:sz w:val="20"/>
          <w:szCs w:val="20"/>
        </w:rPr>
      </w:r>
    </w:p>
    <w:p>
      <w:pPr>
        <w:pBdr/>
        <w:spacing w:line="240" w:lineRule="auto"/>
        <w:ind/>
        <w:rPr>
          <w:sz w:val="20"/>
          <w:szCs w:val="20"/>
        </w:rPr>
      </w:pPr>
      <w:r>
        <w:rPr>
          <w:sz w:val="20"/>
          <w:szCs w:val="20"/>
        </w:rPr>
        <w:t xml:space="preserve">L’organisation des contenues en sous-catégories claires et rationnelles (droit, doctrine, revues, jurisprudence)</w:t>
      </w:r>
      <w:r>
        <w:rPr>
          <w:rStyle w:val="2079"/>
          <w:rFonts w:ascii="Times New Roman" w:hAnsi="Times New Roman" w:cs="Times New Roman"/>
          <w:sz w:val="20"/>
          <w:szCs w:val="20"/>
        </w:rPr>
        <w:footnoteReference w:id="35"/>
      </w:r>
      <w:r>
        <w:rPr>
          <w:sz w:val="20"/>
          <w:szCs w:val="20"/>
        </w:rPr>
        <w:t xml:space="preserve">.</w:t>
      </w:r>
      <w:r>
        <w:rPr>
          <w:sz w:val="20"/>
          <w:szCs w:val="20"/>
        </w:rPr>
      </w:r>
    </w:p>
    <w:p>
      <w:pPr>
        <w:pStyle w:val="2059"/>
        <w:numPr>
          <w:ilvl w:val="2"/>
          <w:numId w:val="29"/>
        </w:numPr>
        <w:pBdr/>
        <w:spacing w:line="240" w:lineRule="auto"/>
        <w:ind/>
        <w:rPr/>
      </w:pPr>
      <w:r/>
      <w:bookmarkStart w:id="28" w:name="_Toc236222425"/>
      <w:r>
        <w:t xml:space="preserve">Les éléments de communication</w:t>
      </w:r>
      <w:bookmarkEnd w:id="28"/>
      <w:r/>
      <w:r/>
    </w:p>
    <w:p>
      <w:pPr>
        <w:pBdr/>
        <w:spacing w:line="240" w:lineRule="auto"/>
        <w:ind/>
        <w:rPr>
          <w:sz w:val="20"/>
          <w:szCs w:val="20"/>
        </w:rPr>
      </w:pPr>
      <w:r>
        <w:rPr>
          <w:sz w:val="20"/>
          <w:szCs w:val="20"/>
        </w:rPr>
        <w:t xml:space="preserve">Pour valoriser la bibliothèque numérique et accompagner ses publics, il est proposé de créer des supports explicatifs, comme des vidéos de présentation de corpus</w:t>
      </w:r>
      <w:r>
        <w:rPr>
          <w:rStyle w:val="2079"/>
          <w:rFonts w:ascii="Times New Roman" w:hAnsi="Times New Roman" w:cs="Times New Roman"/>
          <w:sz w:val="20"/>
          <w:szCs w:val="20"/>
        </w:rPr>
        <w:footnoteReference w:id="36"/>
      </w:r>
      <w:r>
        <w:rPr>
          <w:sz w:val="20"/>
          <w:szCs w:val="20"/>
        </w:rPr>
        <w:t xml:space="preserve">. P</w:t>
      </w:r>
      <w:r>
        <w:rPr>
          <w:sz w:val="20"/>
          <w:szCs w:val="20"/>
        </w:rPr>
        <w:t xml:space="preserve">roposer des retours d’expérience concrets (par exemple, un doctorant détaillant la procédure suivie pour prendre en main la bibliothèque afin de préparer son article) constituerait une excellente porte d’entrée pour transmettre des conseils d’utilisation (</w:t>
      </w:r>
      <w:r>
        <w:rPr>
          <w:sz w:val="20"/>
          <w:szCs w:val="20"/>
        </w:rPr>
        <w:t xml:space="preserve">tips</w:t>
      </w:r>
      <w:r>
        <w:rPr>
          <w:sz w:val="20"/>
          <w:szCs w:val="20"/>
        </w:rPr>
        <w:t xml:space="preserve">) aux nouveaux chercheurs</w:t>
      </w:r>
      <w:r>
        <w:rPr>
          <w:rStyle w:val="2079"/>
          <w:rFonts w:ascii="Times New Roman" w:hAnsi="Times New Roman" w:cs="Times New Roman"/>
          <w:sz w:val="20"/>
          <w:szCs w:val="20"/>
        </w:rPr>
        <w:footnoteReference w:id="37"/>
      </w:r>
      <w:r>
        <w:rPr>
          <w:sz w:val="20"/>
          <w:szCs w:val="20"/>
        </w:rPr>
        <w:t xml:space="preserve">. L’ajout de tutoriels ou de foire aux questions seraient une aide supplémentaire pour prendre en main la bibliothèque numérique </w:t>
      </w:r>
      <w:r>
        <w:rPr>
          <w:sz w:val="20"/>
          <w:szCs w:val="20"/>
        </w:rPr>
        <w:t xml:space="preserve">pour les nouveaux utilisateurs ou mêmes les plus anciens afin d’avoir un document de référence lorsqu’ils sont confrontés à de nouveaux outils ou services</w:t>
      </w:r>
      <w:r>
        <w:rPr>
          <w:rStyle w:val="2079"/>
          <w:rFonts w:ascii="Times New Roman" w:hAnsi="Times New Roman" w:cs="Times New Roman"/>
          <w:sz w:val="20"/>
          <w:szCs w:val="20"/>
        </w:rPr>
        <w:footnoteReference w:id="38"/>
      </w:r>
      <w:r>
        <w:rPr>
          <w:sz w:val="20"/>
          <w:szCs w:val="20"/>
        </w:rPr>
        <w:t xml:space="preserve">. </w:t>
      </w:r>
      <w:r>
        <w:rPr>
          <w:sz w:val="20"/>
          <w:szCs w:val="20"/>
        </w:rPr>
      </w:r>
    </w:p>
    <w:p>
      <w:pPr>
        <w:pStyle w:val="2059"/>
        <w:numPr>
          <w:ilvl w:val="2"/>
          <w:numId w:val="29"/>
        </w:numPr>
        <w:pBdr/>
        <w:spacing w:line="240" w:lineRule="auto"/>
        <w:ind/>
        <w:rPr/>
      </w:pPr>
      <w:r/>
      <w:bookmarkStart w:id="29" w:name="_Toc236222426"/>
      <w:r>
        <w:t xml:space="preserve">L’intégration de collections d’autres bibliothèques numériques</w:t>
      </w:r>
      <w:bookmarkEnd w:id="29"/>
      <w:r/>
      <w:r/>
    </w:p>
    <w:p>
      <w:pPr>
        <w:pBdr/>
        <w:spacing w:line="240" w:lineRule="auto"/>
        <w:ind/>
        <w:rPr>
          <w:sz w:val="20"/>
          <w:szCs w:val="20"/>
        </w:rPr>
      </w:pPr>
      <w:r>
        <w:rPr>
          <w:sz w:val="20"/>
          <w:szCs w:val="20"/>
        </w:rPr>
        <w:t xml:space="preserve">La bibliothèque numérique doit s’affranchir de son isolement actuel pour devenir un véritable portail interconnecté</w:t>
      </w:r>
      <w:r>
        <w:rPr>
          <w:rStyle w:val="2079"/>
          <w:rFonts w:ascii="Times New Roman" w:hAnsi="Times New Roman" w:cs="Times New Roman"/>
          <w:sz w:val="20"/>
          <w:szCs w:val="20"/>
        </w:rPr>
        <w:footnoteReference w:id="39"/>
      </w:r>
      <w:r>
        <w:rPr>
          <w:sz w:val="20"/>
          <w:szCs w:val="20"/>
        </w:rPr>
        <w:t xml:space="preserve">. Plutôt que de numériser ce qui existe déjà, le nouveau système doit être en mesure de moissonner et rapatrier les données d’autres institutions, de créer des ponts et des liens externes vers des plateformes comme Persée ou Dalloz</w:t>
      </w:r>
      <w:r>
        <w:rPr>
          <w:rStyle w:val="2079"/>
          <w:rFonts w:ascii="Times New Roman" w:hAnsi="Times New Roman" w:cs="Times New Roman"/>
          <w:sz w:val="20"/>
          <w:szCs w:val="20"/>
        </w:rPr>
        <w:footnoteReference w:id="40"/>
      </w:r>
      <w:r>
        <w:rPr>
          <w:sz w:val="20"/>
          <w:szCs w:val="20"/>
        </w:rPr>
        <w:t xml:space="preserve">. Elle doit pouvoir être capable de reconstituer virtuellement les corpus dispersés de la liste </w:t>
      </w:r>
      <w:r>
        <w:rPr>
          <w:sz w:val="20"/>
          <w:szCs w:val="20"/>
        </w:rPr>
        <w:t xml:space="preserve">Pfister-Roumy</w:t>
      </w:r>
      <w:r>
        <w:rPr>
          <w:rStyle w:val="2079"/>
          <w:rFonts w:ascii="Times New Roman" w:hAnsi="Times New Roman" w:cs="Times New Roman"/>
          <w:sz w:val="20"/>
          <w:szCs w:val="20"/>
        </w:rPr>
        <w:footnoteReference w:id="41"/>
      </w:r>
      <w:r>
        <w:rPr>
          <w:sz w:val="20"/>
          <w:szCs w:val="20"/>
        </w:rPr>
        <w:t xml:space="preserve">. </w:t>
      </w:r>
      <w:r>
        <w:rPr>
          <w:sz w:val="20"/>
          <w:szCs w:val="20"/>
        </w:rPr>
      </w:r>
    </w:p>
    <w:p>
      <w:pPr>
        <w:pStyle w:val="2057"/>
        <w:numPr>
          <w:ilvl w:val="0"/>
          <w:numId w:val="29"/>
        </w:numPr>
        <w:pBdr/>
        <w:spacing w:line="240" w:lineRule="auto"/>
        <w:ind/>
        <w:rPr/>
      </w:pPr>
      <w:r/>
      <w:bookmarkStart w:id="30" w:name="_Toc236222427"/>
      <w:r>
        <w:t xml:space="preserve">Les publics</w:t>
      </w:r>
      <w:bookmarkEnd w:id="30"/>
      <w:r/>
      <w:r/>
    </w:p>
    <w:p>
      <w:pPr>
        <w:pStyle w:val="2058"/>
        <w:numPr>
          <w:ilvl w:val="1"/>
          <w:numId w:val="29"/>
        </w:numPr>
        <w:pBdr/>
        <w:spacing w:line="240" w:lineRule="auto"/>
        <w:ind/>
        <w:rPr/>
      </w:pPr>
      <w:r/>
      <w:bookmarkStart w:id="31" w:name="_Toc236222428"/>
      <w:r>
        <w:t xml:space="preserve">L’analyse de l’existant</w:t>
      </w:r>
      <w:bookmarkEnd w:id="31"/>
      <w:r/>
      <w:r/>
    </w:p>
    <w:p>
      <w:pPr>
        <w:pStyle w:val="2059"/>
        <w:numPr>
          <w:ilvl w:val="2"/>
          <w:numId w:val="29"/>
        </w:numPr>
        <w:pBdr/>
        <w:spacing w:line="240" w:lineRule="auto"/>
        <w:ind/>
        <w:rPr/>
      </w:pPr>
      <w:r/>
      <w:bookmarkStart w:id="32" w:name="_Toc236222429"/>
      <w:r>
        <w:t xml:space="preserve">Les profils des utilisateurs</w:t>
      </w:r>
      <w:bookmarkEnd w:id="32"/>
      <w:r/>
      <w:r/>
    </w:p>
    <w:p>
      <w:pPr>
        <w:pBdr/>
        <w:spacing w:line="240" w:lineRule="auto"/>
        <w:ind/>
        <w:rPr>
          <w:sz w:val="20"/>
          <w:szCs w:val="20"/>
        </w:rPr>
      </w:pPr>
      <w:r>
        <w:rPr>
          <w:sz w:val="20"/>
          <w:szCs w:val="20"/>
        </w:rPr>
        <w:t xml:space="preserve">A l’origine de la création de </w:t>
      </w:r>
      <w:r>
        <w:rPr>
          <w:sz w:val="20"/>
          <w:szCs w:val="20"/>
        </w:rPr>
        <w:t xml:space="preserve">CujasNum</w:t>
      </w:r>
      <w:r>
        <w:rPr>
          <w:sz w:val="20"/>
          <w:szCs w:val="20"/>
        </w:rPr>
        <w:t xml:space="preserve">, le public cible que la direction en tête était les chercheurs. Cujas étant une bibliothèque de recherche, </w:t>
      </w:r>
      <w:r>
        <w:rPr>
          <w:sz w:val="20"/>
          <w:szCs w:val="20"/>
        </w:rPr>
        <w:t xml:space="preserve">l</w:t>
      </w:r>
      <w:r>
        <w:rPr>
          <w:sz w:val="20"/>
          <w:szCs w:val="20"/>
        </w:rPr>
        <w:t xml:space="preserve">a bibliothèque numérique a donc été développé</w:t>
      </w:r>
      <w:r>
        <w:rPr>
          <w:sz w:val="20"/>
          <w:szCs w:val="20"/>
        </w:rPr>
        <w:t xml:space="preserve">e</w:t>
      </w:r>
      <w:r>
        <w:rPr>
          <w:sz w:val="20"/>
          <w:szCs w:val="20"/>
        </w:rPr>
        <w:t xml:space="preserve"> pour répondre à leurs besoins</w:t>
      </w:r>
      <w:r>
        <w:rPr>
          <w:rStyle w:val="2079"/>
          <w:rFonts w:ascii="Times New Roman" w:hAnsi="Times New Roman" w:cs="Times New Roman"/>
          <w:sz w:val="20"/>
          <w:szCs w:val="20"/>
        </w:rPr>
        <w:footnoteReference w:id="42"/>
      </w:r>
      <w:r>
        <w:rPr>
          <w:sz w:val="20"/>
          <w:szCs w:val="20"/>
        </w:rPr>
        <w:t xml:space="preserve">.</w:t>
      </w:r>
      <w:r>
        <w:rPr>
          <w:sz w:val="20"/>
          <w:szCs w:val="20"/>
        </w:rPr>
      </w:r>
    </w:p>
    <w:p>
      <w:pPr>
        <w:pBdr/>
        <w:spacing w:line="240" w:lineRule="auto"/>
        <w:ind/>
        <w:rPr>
          <w:sz w:val="20"/>
          <w:szCs w:val="20"/>
        </w:rPr>
      </w:pPr>
      <w:r>
        <w:rPr>
          <w:sz w:val="20"/>
          <w:szCs w:val="20"/>
        </w:rPr>
        <w:t xml:space="preserve">Au fil du temps, le public consultant la bibliothèque numérique s’est étoffé d’autres visiteurs comme les doctorants et les étudiants en droit et en histoire du droit. Les résultats de l’enquête vont dans ce sens aussi. </w:t>
      </w:r>
      <w:r>
        <w:rPr>
          <w:sz w:val="20"/>
          <w:szCs w:val="20"/>
        </w:rPr>
        <w:t xml:space="preserve">1</w:t>
      </w:r>
      <w:r>
        <w:rPr>
          <w:sz w:val="20"/>
          <w:szCs w:val="20"/>
        </w:rPr>
        <w:t xml:space="preserve">8.52% </w:t>
      </w:r>
      <w:r>
        <w:rPr>
          <w:sz w:val="20"/>
          <w:szCs w:val="20"/>
        </w:rPr>
        <w:t xml:space="preserve">des répondants </w:t>
      </w:r>
      <w:r>
        <w:rPr>
          <w:sz w:val="20"/>
          <w:szCs w:val="20"/>
        </w:rPr>
        <w:t xml:space="preserve">sont étudiants, 19.75% des enseignants ou des chercheurs, 32.10% des professionnels de l’information et des bibliothèques, </w:t>
      </w:r>
      <w:r>
        <w:rPr>
          <w:sz w:val="20"/>
          <w:szCs w:val="20"/>
        </w:rPr>
        <w:t xml:space="preserve">et </w:t>
      </w:r>
      <w:r>
        <w:rPr>
          <w:sz w:val="20"/>
          <w:szCs w:val="20"/>
        </w:rPr>
        <w:t xml:space="preserve">9.88% </w:t>
      </w:r>
      <w:r>
        <w:rPr>
          <w:sz w:val="20"/>
          <w:szCs w:val="20"/>
        </w:rPr>
        <w:t xml:space="preserve">des doctorants. L</w:t>
      </w:r>
      <w:r>
        <w:rPr>
          <w:sz w:val="20"/>
          <w:szCs w:val="20"/>
        </w:rPr>
        <w:t xml:space="preserve">es professionnels du droit ne représentent à ce jour que 2.47%</w:t>
      </w:r>
      <w:r>
        <w:rPr>
          <w:sz w:val="20"/>
          <w:szCs w:val="20"/>
        </w:rPr>
        <w:t xml:space="preserve"> des répondants</w:t>
      </w:r>
      <w:r>
        <w:rPr>
          <w:rStyle w:val="2079"/>
          <w:rFonts w:ascii="Times New Roman" w:hAnsi="Times New Roman" w:cs="Times New Roman"/>
          <w:sz w:val="20"/>
          <w:szCs w:val="20"/>
        </w:rPr>
        <w:footnoteReference w:id="43"/>
      </w:r>
      <w:r>
        <w:rPr>
          <w:sz w:val="20"/>
          <w:szCs w:val="20"/>
        </w:rPr>
        <w:t xml:space="preserve">. </w:t>
      </w:r>
      <w:r>
        <w:rPr>
          <w:sz w:val="20"/>
          <w:szCs w:val="20"/>
        </w:rPr>
      </w:r>
    </w:p>
    <w:p>
      <w:pPr>
        <w:pBdr/>
        <w:spacing w:line="240" w:lineRule="auto"/>
        <w:ind/>
        <w:rPr>
          <w:sz w:val="20"/>
          <w:szCs w:val="20"/>
        </w:rPr>
      </w:pPr>
      <w:r>
        <w:rPr>
          <w:sz w:val="20"/>
          <w:szCs w:val="20"/>
        </w:rPr>
        <w:t xml:space="preserve">Une grande partie</w:t>
      </w:r>
      <w:r>
        <w:rPr>
          <w:sz w:val="20"/>
          <w:szCs w:val="20"/>
        </w:rPr>
        <w:t xml:space="preserve"> du public est spécialisé en droit (43.10%)</w:t>
      </w:r>
      <w:r>
        <w:rPr>
          <w:sz w:val="20"/>
          <w:szCs w:val="20"/>
        </w:rPr>
        <w:t xml:space="preserve">, mais on</w:t>
      </w:r>
      <w:r>
        <w:rPr>
          <w:sz w:val="20"/>
          <w:szCs w:val="20"/>
        </w:rPr>
        <w:t xml:space="preserve"> observe que le reste de l’audience se divise en plusieurs </w:t>
      </w:r>
      <w:r>
        <w:rPr>
          <w:sz w:val="20"/>
          <w:szCs w:val="20"/>
        </w:rPr>
        <w:t xml:space="preserve">domaines de spécialité dont deux relativement proches. L</w:t>
      </w:r>
      <w:r>
        <w:rPr>
          <w:sz w:val="20"/>
          <w:szCs w:val="20"/>
        </w:rPr>
        <w:t xml:space="preserve">es spécialistes de l’histoire du droit (9.88%</w:t>
      </w:r>
      <w:r>
        <w:rPr>
          <w:sz w:val="20"/>
          <w:szCs w:val="20"/>
        </w:rPr>
        <w:t xml:space="preserve"> des répondants) et</w:t>
      </w:r>
      <w:r>
        <w:rPr>
          <w:sz w:val="20"/>
          <w:szCs w:val="20"/>
        </w:rPr>
        <w:t xml:space="preserve"> les spécialistes en histoire</w:t>
      </w:r>
      <w:r>
        <w:rPr>
          <w:sz w:val="20"/>
          <w:szCs w:val="20"/>
        </w:rPr>
        <w:t xml:space="preserve"> (8.64% des répondants)</w:t>
      </w:r>
      <w:r>
        <w:rPr>
          <w:sz w:val="20"/>
          <w:szCs w:val="20"/>
        </w:rPr>
        <w:t xml:space="preserve">. </w:t>
      </w:r>
      <w:r>
        <w:rPr>
          <w:sz w:val="20"/>
          <w:szCs w:val="20"/>
        </w:rPr>
        <w:t xml:space="preserve">Ils</w:t>
      </w:r>
      <w:r>
        <w:rPr>
          <w:sz w:val="20"/>
          <w:szCs w:val="20"/>
        </w:rPr>
        <w:t xml:space="preserve"> sont </w:t>
      </w:r>
      <w:r>
        <w:rPr>
          <w:sz w:val="20"/>
          <w:szCs w:val="20"/>
        </w:rPr>
        <w:t xml:space="preserve">suivis</w:t>
      </w:r>
      <w:r>
        <w:rPr>
          <w:sz w:val="20"/>
          <w:szCs w:val="20"/>
        </w:rPr>
        <w:t xml:space="preserve"> de près </w:t>
      </w:r>
      <w:r>
        <w:rPr>
          <w:sz w:val="20"/>
          <w:szCs w:val="20"/>
        </w:rPr>
        <w:t xml:space="preserve">par les historiens</w:t>
      </w:r>
      <w:r>
        <w:rPr>
          <w:sz w:val="20"/>
          <w:szCs w:val="20"/>
        </w:rPr>
        <w:t xml:space="preserve"> du livre ou de l’édition (7.41%). Une minorité </w:t>
      </w:r>
      <w:r>
        <w:rPr>
          <w:sz w:val="20"/>
          <w:szCs w:val="20"/>
        </w:rPr>
        <w:t xml:space="preserve">de répondants ont pour domaine de spécialité l’économie ou la statistique</w:t>
      </w:r>
      <w:r>
        <w:rPr>
          <w:sz w:val="20"/>
          <w:szCs w:val="20"/>
        </w:rPr>
        <w:t xml:space="preserve"> (2.47%)</w:t>
      </w:r>
      <w:r>
        <w:rPr>
          <w:sz w:val="20"/>
          <w:szCs w:val="20"/>
        </w:rPr>
        <w:t xml:space="preserve">. </w:t>
      </w:r>
      <w:r>
        <w:rPr>
          <w:sz w:val="20"/>
          <w:szCs w:val="20"/>
        </w:rPr>
        <w:t xml:space="preserve">7.4% </w:t>
      </w:r>
      <w:r>
        <w:rPr>
          <w:sz w:val="20"/>
          <w:szCs w:val="20"/>
        </w:rPr>
        <w:t xml:space="preserve">ont une autre spécialité</w:t>
      </w:r>
      <w:r>
        <w:rPr>
          <w:rStyle w:val="2079"/>
          <w:rFonts w:ascii="Times New Roman" w:hAnsi="Times New Roman" w:cs="Times New Roman"/>
          <w:sz w:val="20"/>
          <w:szCs w:val="20"/>
        </w:rPr>
        <w:footnoteReference w:id="44"/>
      </w:r>
      <w:r>
        <w:rPr>
          <w:sz w:val="20"/>
          <w:szCs w:val="20"/>
        </w:rPr>
        <w:t xml:space="preserve">.</w:t>
      </w:r>
      <w:r>
        <w:rPr>
          <w:sz w:val="20"/>
          <w:szCs w:val="20"/>
        </w:rPr>
      </w:r>
    </w:p>
    <w:p>
      <w:pPr>
        <w:pStyle w:val="2059"/>
        <w:numPr>
          <w:ilvl w:val="2"/>
          <w:numId w:val="29"/>
        </w:numPr>
        <w:pBdr/>
        <w:spacing w:line="240" w:lineRule="auto"/>
        <w:ind/>
        <w:rPr/>
      </w:pPr>
      <w:r/>
      <w:bookmarkStart w:id="33" w:name="_Toc236222430"/>
      <w:r>
        <w:t xml:space="preserve">La fréquentation</w:t>
      </w:r>
      <w:bookmarkEnd w:id="33"/>
      <w:r/>
      <w:r/>
    </w:p>
    <w:p>
      <w:pPr>
        <w:pBdr/>
        <w:spacing w:line="240" w:lineRule="auto"/>
        <w:ind/>
        <w:rPr>
          <w:sz w:val="20"/>
          <w:szCs w:val="20"/>
        </w:rPr>
      </w:pPr>
      <w:r>
        <w:rPr>
          <w:sz w:val="20"/>
          <w:szCs w:val="20"/>
        </w:rPr>
        <w:t xml:space="preserve">L’attrait des chercheurs pour la bibliothèque numérique de Cujas vient de la richesse de ses collections, principalement en histoire du droit. Les chercheurs apprécient de la consulter, car ils ont accès à des documents </w:t>
      </w:r>
      <w:r>
        <w:rPr>
          <w:sz w:val="20"/>
          <w:szCs w:val="20"/>
        </w:rPr>
        <w:t xml:space="preserve">qu’il leur serai</w:t>
      </w:r>
      <w:r>
        <w:rPr>
          <w:sz w:val="20"/>
          <w:szCs w:val="20"/>
        </w:rPr>
        <w:t xml:space="preserve">t compliqué ou fastidieux </w:t>
      </w:r>
      <w:r>
        <w:rPr>
          <w:sz w:val="20"/>
          <w:szCs w:val="20"/>
        </w:rPr>
        <w:t xml:space="preserve">de trouver et consulter sans elle</w:t>
      </w:r>
      <w:r>
        <w:rPr>
          <w:rStyle w:val="2079"/>
          <w:rFonts w:ascii="Times New Roman" w:hAnsi="Times New Roman" w:cs="Times New Roman"/>
          <w:sz w:val="20"/>
          <w:szCs w:val="20"/>
        </w:rPr>
        <w:footnoteReference w:id="45"/>
      </w:r>
      <w:r>
        <w:rPr>
          <w:sz w:val="20"/>
          <w:szCs w:val="20"/>
        </w:rPr>
        <w:t xml:space="preserve">.</w:t>
      </w:r>
      <w:r>
        <w:rPr>
          <w:sz w:val="20"/>
          <w:szCs w:val="20"/>
        </w:rPr>
      </w:r>
    </w:p>
    <w:p>
      <w:pPr>
        <w:pBdr/>
        <w:spacing w:line="240" w:lineRule="auto"/>
        <w:ind/>
        <w:rPr>
          <w:sz w:val="20"/>
          <w:szCs w:val="20"/>
        </w:rPr>
      </w:pPr>
      <w:r>
        <w:rPr>
          <w:sz w:val="20"/>
          <w:szCs w:val="20"/>
        </w:rPr>
        <w:t xml:space="preserve">Les chercheurs privilégient une bibliothèque numérique à une autre en raison de son programme de numérisation. Ils savent que lorsqu’ils consultent les collections de Cujas ils trouveront principalement les sources de droit</w:t>
      </w:r>
      <w:r>
        <w:rPr>
          <w:sz w:val="20"/>
          <w:szCs w:val="20"/>
        </w:rPr>
        <w:t xml:space="preserve"> : le contenu de </w:t>
      </w:r>
      <w:r>
        <w:rPr>
          <w:sz w:val="20"/>
          <w:szCs w:val="20"/>
        </w:rPr>
        <w:t xml:space="preserve">CujasNum</w:t>
      </w:r>
      <w:r>
        <w:rPr>
          <w:sz w:val="20"/>
          <w:szCs w:val="20"/>
        </w:rPr>
        <w:t xml:space="preserve"> est donc bien identifié par ses lecteurs</w:t>
      </w:r>
      <w:r>
        <w:rPr>
          <w:rStyle w:val="2079"/>
          <w:rFonts w:ascii="Times New Roman" w:hAnsi="Times New Roman" w:cs="Times New Roman"/>
          <w:sz w:val="20"/>
          <w:szCs w:val="20"/>
        </w:rPr>
        <w:footnoteReference w:id="46"/>
      </w:r>
      <w:r>
        <w:rPr>
          <w:sz w:val="20"/>
          <w:szCs w:val="20"/>
        </w:rPr>
        <w:t xml:space="preserve">. </w:t>
      </w:r>
      <w:r>
        <w:rPr>
          <w:sz w:val="20"/>
          <w:szCs w:val="20"/>
        </w:rPr>
      </w:r>
    </w:p>
    <w:p>
      <w:pPr>
        <w:pStyle w:val="2059"/>
        <w:numPr>
          <w:ilvl w:val="2"/>
          <w:numId w:val="29"/>
        </w:numPr>
        <w:pBdr/>
        <w:spacing w:line="240" w:lineRule="auto"/>
        <w:ind/>
        <w:rPr/>
      </w:pPr>
      <w:r/>
      <w:bookmarkStart w:id="34" w:name="_Toc236222431"/>
      <w:r>
        <w:t xml:space="preserve">Les statistiques de consultation</w:t>
      </w:r>
      <w:bookmarkEnd w:id="34"/>
      <w:r/>
      <w:r/>
    </w:p>
    <w:p>
      <w:pPr>
        <w:pBdr/>
        <w:spacing w:line="240" w:lineRule="auto"/>
        <w:ind/>
        <w:rPr>
          <w:sz w:val="20"/>
          <w:szCs w:val="20"/>
        </w:rPr>
      </w:pPr>
      <w:r>
        <w:rPr>
          <w:sz w:val="20"/>
          <w:szCs w:val="20"/>
        </w:rPr>
        <w:t xml:space="preserve">La bibliothèque numérique a perdu en visibilité. Cette cause est liée à plusieurs facteurs. Il se trouve qu’on la voit difficilement sur la page d’accueil du site de Cujas</w:t>
      </w:r>
      <w:r>
        <w:rPr>
          <w:rStyle w:val="2079"/>
          <w:rFonts w:ascii="Times New Roman" w:hAnsi="Times New Roman" w:cs="Times New Roman"/>
          <w:sz w:val="20"/>
          <w:szCs w:val="20"/>
        </w:rPr>
        <w:footnoteReference w:id="47"/>
      </w:r>
      <w:r>
        <w:rPr>
          <w:sz w:val="20"/>
          <w:szCs w:val="20"/>
        </w:rPr>
        <w:t xml:space="preserve">. On est obligé de faire défiler la page pour la trouver</w:t>
      </w:r>
      <w:r>
        <w:rPr>
          <w:sz w:val="20"/>
          <w:szCs w:val="20"/>
        </w:rPr>
        <w:t xml:space="preserve"> et elle n’apparait pas dans les onglets du site de la bibliothèque Cujas</w:t>
      </w:r>
      <w:r>
        <w:rPr>
          <w:rStyle w:val="2079"/>
          <w:rFonts w:ascii="Times New Roman" w:hAnsi="Times New Roman" w:cs="Times New Roman"/>
          <w:sz w:val="20"/>
          <w:szCs w:val="20"/>
        </w:rPr>
        <w:footnoteReference w:id="48"/>
      </w:r>
      <w:r>
        <w:rPr>
          <w:sz w:val="20"/>
          <w:szCs w:val="20"/>
        </w:rPr>
        <w:t xml:space="preserve">. Lorsque </w:t>
      </w:r>
      <w:r>
        <w:rPr>
          <w:sz w:val="20"/>
          <w:szCs w:val="20"/>
        </w:rPr>
        <w:t xml:space="preserve">l’on fait une recherche dans un moteur de recherche comme celui de Google, le PageRank est mauvais. La recherche d’un titre n’arrive « qu’en cinquième ou sixième pages de résultats »</w:t>
      </w:r>
      <w:r>
        <w:rPr>
          <w:rStyle w:val="2079"/>
          <w:rFonts w:ascii="Times New Roman" w:hAnsi="Times New Roman" w:cs="Times New Roman"/>
          <w:sz w:val="20"/>
          <w:szCs w:val="20"/>
        </w:rPr>
        <w:footnoteReference w:id="49"/>
      </w:r>
      <w:r>
        <w:rPr>
          <w:sz w:val="20"/>
          <w:szCs w:val="20"/>
        </w:rPr>
        <w:t xml:space="preserve">. </w:t>
      </w:r>
      <w:r>
        <w:rPr>
          <w:sz w:val="20"/>
          <w:szCs w:val="20"/>
        </w:rPr>
      </w:r>
    </w:p>
    <w:p>
      <w:pPr>
        <w:pStyle w:val="2058"/>
        <w:numPr>
          <w:ilvl w:val="1"/>
          <w:numId w:val="29"/>
        </w:numPr>
        <w:pBdr/>
        <w:spacing w:line="240" w:lineRule="auto"/>
        <w:ind/>
        <w:rPr/>
      </w:pPr>
      <w:r/>
      <w:bookmarkStart w:id="35" w:name="_Toc236222432"/>
      <w:r>
        <w:t xml:space="preserve">Les propositions d’améliorations</w:t>
      </w:r>
      <w:r>
        <w:t xml:space="preserve"> des répondants</w:t>
      </w:r>
      <w:bookmarkEnd w:id="35"/>
      <w:r/>
      <w:r/>
    </w:p>
    <w:p>
      <w:pPr>
        <w:pBdr/>
        <w:spacing w:line="240" w:lineRule="auto"/>
        <w:ind/>
        <w:rPr>
          <w:sz w:val="20"/>
          <w:szCs w:val="20"/>
        </w:rPr>
      </w:pPr>
      <w:r>
        <w:rPr>
          <w:sz w:val="20"/>
          <w:szCs w:val="20"/>
        </w:rPr>
        <w:t xml:space="preserve">Les différents services de la bib</w:t>
      </w:r>
      <w:r>
        <w:rPr>
          <w:sz w:val="20"/>
          <w:szCs w:val="20"/>
        </w:rPr>
        <w:t xml:space="preserve">liothèque se retrouvent autour de l’importance d’élargir le public cible de la future bibliothèque numérique et de ne plus se cantonner uniquement à celui des chercheurs. Il est primordial pour la bibliothèque d’intégrer dans le public visé le grand public</w:t>
      </w:r>
      <w:r>
        <w:rPr>
          <w:rStyle w:val="2079"/>
          <w:rFonts w:ascii="Times New Roman" w:hAnsi="Times New Roman" w:cs="Times New Roman"/>
          <w:sz w:val="20"/>
          <w:szCs w:val="20"/>
        </w:rPr>
        <w:footnoteReference w:id="50"/>
      </w:r>
      <w:r>
        <w:rPr>
          <w:sz w:val="20"/>
          <w:szCs w:val="20"/>
        </w:rPr>
        <w:t xml:space="preserve">. En élargissant son public, </w:t>
      </w:r>
      <w:r>
        <w:rPr>
          <w:sz w:val="20"/>
          <w:szCs w:val="20"/>
        </w:rPr>
        <w:t xml:space="preserve">cela</w:t>
      </w:r>
      <w:r>
        <w:rPr>
          <w:sz w:val="20"/>
          <w:szCs w:val="20"/>
        </w:rPr>
        <w:t xml:space="preserve"> lui permettrait de répondre à son objectif qui est </w:t>
      </w:r>
      <w:r>
        <w:rPr>
          <w:sz w:val="20"/>
          <w:szCs w:val="20"/>
        </w:rPr>
        <w:t xml:space="preserve">de rendre la bibliothèque à terme capable d’agréger le contenu d’autres bibliothèques politiques ou juridiques devenant ainsi une plateforme pour les bibliothèques de droit</w:t>
      </w:r>
      <w:r>
        <w:rPr>
          <w:rStyle w:val="2079"/>
          <w:rFonts w:ascii="Times New Roman" w:hAnsi="Times New Roman" w:cs="Times New Roman"/>
          <w:sz w:val="20"/>
          <w:szCs w:val="20"/>
        </w:rPr>
        <w:footnoteReference w:id="51"/>
      </w:r>
      <w:r>
        <w:rPr>
          <w:sz w:val="20"/>
          <w:szCs w:val="20"/>
        </w:rPr>
        <w:t xml:space="preserve">. Dans un objectif à long terme, Cujas aimerait devenir une alternative et un pôle de référence pour les juristes</w:t>
      </w:r>
      <w:r>
        <w:rPr>
          <w:rStyle w:val="2079"/>
          <w:rFonts w:ascii="Times New Roman" w:hAnsi="Times New Roman" w:cs="Times New Roman"/>
          <w:sz w:val="20"/>
          <w:szCs w:val="20"/>
        </w:rPr>
        <w:footnoteReference w:id="52"/>
      </w:r>
      <w:r>
        <w:rPr>
          <w:sz w:val="20"/>
          <w:szCs w:val="20"/>
        </w:rPr>
        <w:t xml:space="preserve">. </w:t>
      </w:r>
      <w:r>
        <w:rPr>
          <w:sz w:val="20"/>
          <w:szCs w:val="20"/>
        </w:rPr>
      </w:r>
    </w:p>
    <w:p>
      <w:pPr>
        <w:pBdr/>
        <w:spacing w:line="240" w:lineRule="auto"/>
        <w:ind/>
        <w:rPr>
          <w:sz w:val="20"/>
          <w:szCs w:val="20"/>
        </w:rPr>
      </w:pPr>
      <w:r/>
      <w:bookmarkStart w:id="36" w:name="A"/>
      <w:r>
        <w:rPr>
          <w:sz w:val="20"/>
          <w:szCs w:val="20"/>
        </w:rPr>
        <w:t xml:space="preserve">Pour la direction, il est important de faire en sorte d’alléger la charge de travail en exploitant les </w:t>
      </w:r>
      <w:r>
        <w:rPr>
          <w:sz w:val="20"/>
          <w:szCs w:val="20"/>
        </w:rPr>
        <w:t xml:space="preserve">nouveaux outils d’automatisation basée sur les données (IA, extraction depuis XML-ALTO)</w:t>
      </w:r>
      <w:r>
        <w:rPr>
          <w:sz w:val="20"/>
          <w:szCs w:val="20"/>
        </w:rPr>
        <w:t xml:space="preserve">.</w:t>
      </w:r>
      <w:bookmarkEnd w:id="36"/>
      <w:r>
        <w:rPr>
          <w:sz w:val="20"/>
          <w:szCs w:val="20"/>
        </w:rPr>
        <w:t xml:space="preserve"> Ce n’est pas parce q</w:t>
      </w:r>
      <w:r>
        <w:rPr>
          <w:sz w:val="20"/>
          <w:szCs w:val="20"/>
        </w:rPr>
        <w:t xml:space="preserve">ue le « monde des juristes » a commencé à traiter la question que les bibliothèques ne peuvent pas s’y pencher eux aussi. Il est important que le personnel de la bibliothèque y soit formé afin de comprendre comment ces outils sont exploités et fonctionnent</w:t>
      </w:r>
      <w:r>
        <w:rPr>
          <w:rStyle w:val="2079"/>
          <w:rFonts w:ascii="Times New Roman" w:hAnsi="Times New Roman" w:cs="Times New Roman"/>
          <w:sz w:val="20"/>
          <w:szCs w:val="20"/>
        </w:rPr>
        <w:footnoteReference w:id="53"/>
      </w:r>
      <w:r>
        <w:rPr>
          <w:sz w:val="20"/>
          <w:szCs w:val="20"/>
        </w:rPr>
        <w:t xml:space="preserve">.</w:t>
      </w:r>
      <w:r>
        <w:rPr>
          <w:sz w:val="20"/>
          <w:szCs w:val="20"/>
        </w:rPr>
      </w:r>
    </w:p>
    <w:p>
      <w:pPr>
        <w:pStyle w:val="2057"/>
        <w:numPr>
          <w:ilvl w:val="0"/>
          <w:numId w:val="29"/>
        </w:numPr>
        <w:pBdr/>
        <w:spacing w:line="240" w:lineRule="auto"/>
        <w:ind/>
        <w:rPr/>
      </w:pPr>
      <w:r/>
      <w:bookmarkStart w:id="37" w:name="_Toc236222433"/>
      <w:r>
        <w:t xml:space="preserve">La description des documents</w:t>
      </w:r>
      <w:bookmarkEnd w:id="37"/>
      <w:r/>
      <w:r/>
    </w:p>
    <w:p>
      <w:pPr>
        <w:pStyle w:val="2058"/>
        <w:numPr>
          <w:ilvl w:val="1"/>
          <w:numId w:val="29"/>
        </w:numPr>
        <w:pBdr/>
        <w:spacing w:line="240" w:lineRule="auto"/>
        <w:ind/>
        <w:rPr/>
      </w:pPr>
      <w:r/>
      <w:bookmarkStart w:id="38" w:name="_Toc236222434"/>
      <w:r>
        <w:t xml:space="preserve">L’analyse de l’existant</w:t>
      </w:r>
      <w:bookmarkEnd w:id="38"/>
      <w:r/>
      <w:r/>
    </w:p>
    <w:p>
      <w:pPr>
        <w:pBdr/>
        <w:spacing w:line="240" w:lineRule="auto"/>
        <w:ind/>
        <w:rPr>
          <w:sz w:val="20"/>
          <w:szCs w:val="20"/>
        </w:rPr>
      </w:pPr>
      <w:r>
        <w:rPr>
          <w:sz w:val="20"/>
          <w:szCs w:val="20"/>
        </w:rPr>
        <w:t xml:space="preserve">Actuellement, les notices bibliographiques sont incomplètes</w:t>
      </w:r>
      <w:r>
        <w:rPr>
          <w:sz w:val="20"/>
          <w:szCs w:val="20"/>
        </w:rPr>
        <w:t xml:space="preserve"> et accessibles uniquement sous la forme d’infobulles. </w:t>
      </w:r>
      <w:r>
        <w:rPr>
          <w:sz w:val="20"/>
          <w:szCs w:val="20"/>
        </w:rPr>
        <w:t xml:space="preserve"> </w:t>
      </w:r>
      <w:r>
        <w:rPr>
          <w:sz w:val="20"/>
          <w:szCs w:val="20"/>
        </w:rPr>
        <w:t xml:space="preserve">Les notices sur </w:t>
      </w:r>
      <w:r>
        <w:rPr>
          <w:sz w:val="20"/>
          <w:szCs w:val="20"/>
        </w:rPr>
        <w:t xml:space="preserve">les livres anciens</w:t>
      </w:r>
      <w:r>
        <w:rPr>
          <w:sz w:val="20"/>
          <w:szCs w:val="20"/>
        </w:rPr>
        <w:t xml:space="preserve"> sont </w:t>
      </w:r>
      <w:r>
        <w:rPr>
          <w:sz w:val="20"/>
          <w:szCs w:val="20"/>
        </w:rPr>
        <w:t xml:space="preserve">pauvres</w:t>
      </w:r>
      <w:r>
        <w:rPr>
          <w:sz w:val="20"/>
          <w:szCs w:val="20"/>
        </w:rPr>
        <w:t xml:space="preserve">. A</w:t>
      </w:r>
      <w:r>
        <w:rPr>
          <w:sz w:val="20"/>
          <w:szCs w:val="20"/>
        </w:rPr>
        <w:t xml:space="preserve">vant 2013, il n’existait pas de standardisation ni de normes concernant le catalogage</w:t>
      </w:r>
      <w:r>
        <w:rPr>
          <w:sz w:val="20"/>
          <w:szCs w:val="20"/>
        </w:rPr>
        <w:t xml:space="preserve">. </w:t>
      </w:r>
      <w:r>
        <w:rPr>
          <w:sz w:val="20"/>
          <w:szCs w:val="20"/>
        </w:rPr>
        <w:t xml:space="preserve">On trouve également deux versions de celles-ci qui sont plus ou moins renseignées en fonctions de l’endroit où elle</w:t>
      </w:r>
      <w:r>
        <w:rPr>
          <w:sz w:val="20"/>
          <w:szCs w:val="20"/>
        </w:rPr>
        <w:t xml:space="preserve">s</w:t>
      </w:r>
      <w:r>
        <w:rPr>
          <w:sz w:val="20"/>
          <w:szCs w:val="20"/>
        </w:rPr>
        <w:t xml:space="preserve"> </w:t>
      </w:r>
      <w:r>
        <w:rPr>
          <w:sz w:val="20"/>
          <w:szCs w:val="20"/>
        </w:rPr>
        <w:t xml:space="preserve">sont</w:t>
      </w:r>
      <w:r>
        <w:rPr>
          <w:sz w:val="20"/>
          <w:szCs w:val="20"/>
        </w:rPr>
        <w:t xml:space="preserve"> consultée</w:t>
      </w:r>
      <w:r>
        <w:rPr>
          <w:sz w:val="20"/>
          <w:szCs w:val="20"/>
        </w:rPr>
        <w:t xml:space="preserve">s</w:t>
      </w:r>
      <w:r>
        <w:rPr>
          <w:rStyle w:val="2079"/>
          <w:rFonts w:ascii="Times New Roman" w:hAnsi="Times New Roman" w:cs="Times New Roman"/>
          <w:sz w:val="20"/>
          <w:szCs w:val="20"/>
        </w:rPr>
        <w:footnoteReference w:id="54"/>
      </w:r>
      <w:r>
        <w:rPr>
          <w:sz w:val="20"/>
          <w:szCs w:val="20"/>
        </w:rPr>
        <w:t xml:space="preserve">. </w:t>
      </w:r>
      <w:r>
        <w:rPr>
          <w:sz w:val="20"/>
          <w:szCs w:val="20"/>
        </w:rPr>
        <w:t xml:space="preserve">La version accessible depuis</w:t>
      </w:r>
      <w:r>
        <w:rPr>
          <w:sz w:val="20"/>
          <w:szCs w:val="20"/>
        </w:rPr>
        <w:t xml:space="preserve"> la liste de résultats est « plus détaillée » que celle à partir de la visionneuse</w:t>
      </w:r>
      <w:r>
        <w:rPr>
          <w:rStyle w:val="2079"/>
          <w:rFonts w:ascii="Times New Roman" w:hAnsi="Times New Roman" w:cs="Times New Roman"/>
          <w:sz w:val="20"/>
          <w:szCs w:val="20"/>
        </w:rPr>
        <w:footnoteReference w:id="55"/>
      </w:r>
      <w:r>
        <w:rPr>
          <w:sz w:val="20"/>
          <w:szCs w:val="20"/>
        </w:rPr>
        <w:t xml:space="preserve">. De plus, il manque </w:t>
      </w:r>
      <w:r>
        <w:rPr>
          <w:sz w:val="20"/>
          <w:szCs w:val="20"/>
        </w:rPr>
        <w:t xml:space="preserve">l’affichage d’une page dédiée à chaque </w:t>
      </w:r>
      <w:r>
        <w:rPr>
          <w:sz w:val="20"/>
          <w:szCs w:val="20"/>
        </w:rPr>
        <w:t xml:space="preserve">document permettant à l’utilisateur d’avoir un aperçu clair des informations</w:t>
      </w:r>
      <w:r>
        <w:rPr>
          <w:rStyle w:val="2079"/>
          <w:rFonts w:ascii="Times New Roman" w:hAnsi="Times New Roman" w:cs="Times New Roman"/>
          <w:sz w:val="20"/>
          <w:szCs w:val="20"/>
        </w:rPr>
        <w:footnoteReference w:id="56"/>
      </w:r>
      <w:r>
        <w:rPr>
          <w:sz w:val="20"/>
          <w:szCs w:val="20"/>
        </w:rPr>
        <w:t xml:space="preserve">. </w:t>
      </w:r>
      <w:r>
        <w:rPr>
          <w:sz w:val="20"/>
          <w:szCs w:val="20"/>
        </w:rPr>
        <w:t xml:space="preserve"> A son stade de développement, Codex propose cette page</w:t>
      </w:r>
      <w:r>
        <w:rPr>
          <w:sz w:val="20"/>
          <w:szCs w:val="20"/>
        </w:rPr>
        <w:t xml:space="preserve">. En effet, à l’intérieur du prototype</w:t>
      </w:r>
      <w:r>
        <w:rPr>
          <w:sz w:val="20"/>
          <w:szCs w:val="20"/>
        </w:rPr>
        <w:t xml:space="preserve"> Codex</w:t>
      </w:r>
      <w:r>
        <w:rPr>
          <w:sz w:val="20"/>
          <w:szCs w:val="20"/>
        </w:rPr>
        <w:t xml:space="preserve"> chaque document possède sa propre page avec une distinction claire de chaque élément constituant la notice permettant à l’utilisateur de repérer les éléments qui l’intéressent. Toutefois, les mêmes problèmes repérés sur </w:t>
      </w:r>
      <w:r>
        <w:rPr>
          <w:sz w:val="20"/>
          <w:szCs w:val="20"/>
        </w:rPr>
        <w:t xml:space="preserve">CujasNum</w:t>
      </w:r>
      <w:r>
        <w:rPr>
          <w:sz w:val="20"/>
          <w:szCs w:val="20"/>
        </w:rPr>
        <w:t xml:space="preserve"> demeurent identiques</w:t>
      </w:r>
      <w:r>
        <w:rPr>
          <w:rStyle w:val="2079"/>
          <w:rFonts w:ascii="Times New Roman" w:hAnsi="Times New Roman" w:cs="Times New Roman"/>
          <w:sz w:val="20"/>
          <w:szCs w:val="20"/>
        </w:rPr>
        <w:footnoteReference w:id="57"/>
      </w:r>
      <w:r>
        <w:rPr>
          <w:sz w:val="20"/>
          <w:szCs w:val="20"/>
        </w:rPr>
        <w:t xml:space="preserve">. </w:t>
      </w:r>
      <w:r>
        <w:rPr>
          <w:sz w:val="20"/>
          <w:szCs w:val="20"/>
        </w:rPr>
      </w:r>
    </w:p>
    <w:p>
      <w:pPr>
        <w:pBdr/>
        <w:spacing w:line="240" w:lineRule="auto"/>
        <w:ind/>
        <w:rPr>
          <w:sz w:val="20"/>
          <w:szCs w:val="20"/>
        </w:rPr>
      </w:pPr>
      <w:r>
        <w:rPr>
          <w:sz w:val="20"/>
          <w:szCs w:val="20"/>
        </w:rPr>
        <w:t xml:space="preserve">Par ailleurs, aucun des éléments écrits dans la notice n’est reliée ou adossée</w:t>
      </w:r>
      <w:r>
        <w:rPr>
          <w:sz w:val="20"/>
          <w:szCs w:val="20"/>
        </w:rPr>
        <w:t xml:space="preserve"> à un référentiel</w:t>
      </w:r>
      <w:r>
        <w:rPr>
          <w:rStyle w:val="2079"/>
          <w:rFonts w:ascii="Times New Roman" w:hAnsi="Times New Roman" w:cs="Times New Roman"/>
          <w:sz w:val="20"/>
          <w:szCs w:val="20"/>
        </w:rPr>
        <w:footnoteReference w:id="58"/>
      </w:r>
      <w:r>
        <w:rPr>
          <w:sz w:val="20"/>
          <w:szCs w:val="20"/>
        </w:rPr>
        <w:t xml:space="preserve">. Cela ne permet nullement pour le moment de faire des rebonds auteur ou sujet. Il n’est pas non plus possible de faire des liens vers la notice papier ou vers des sites se trouvant à l’extérieur de la bibliothèque</w:t>
      </w:r>
      <w:r>
        <w:rPr>
          <w:rStyle w:val="2079"/>
          <w:rFonts w:ascii="Times New Roman" w:hAnsi="Times New Roman" w:cs="Times New Roman"/>
          <w:sz w:val="20"/>
          <w:szCs w:val="20"/>
        </w:rPr>
        <w:footnoteReference w:id="59"/>
      </w:r>
      <w:r>
        <w:rPr>
          <w:sz w:val="20"/>
          <w:szCs w:val="20"/>
        </w:rPr>
        <w:t xml:space="preserve">. De plus, la notice affichée à partir </w:t>
      </w:r>
      <w:r>
        <w:rPr>
          <w:sz w:val="20"/>
          <w:szCs w:val="20"/>
        </w:rPr>
        <w:t xml:space="preserve">de la visionneuse est indiquée comme étant complète ce qui est un problème car celle qui est complète n’est nullement celle trouvée à partir de la visionneuse mais plutôt celle que l’on peut afficher dans la liste de résultat ou bien à partir des vignettes</w:t>
      </w:r>
      <w:r>
        <w:rPr>
          <w:rStyle w:val="2079"/>
          <w:rFonts w:ascii="Times New Roman" w:hAnsi="Times New Roman" w:cs="Times New Roman"/>
          <w:sz w:val="20"/>
          <w:szCs w:val="20"/>
        </w:rPr>
        <w:footnoteReference w:id="60"/>
      </w:r>
      <w:r>
        <w:rPr>
          <w:sz w:val="20"/>
          <w:szCs w:val="20"/>
        </w:rPr>
        <w:t xml:space="preserve">. </w:t>
      </w:r>
      <w:r>
        <w:rPr>
          <w:sz w:val="20"/>
          <w:szCs w:val="20"/>
        </w:rPr>
      </w:r>
    </w:p>
    <w:p>
      <w:pPr>
        <w:pStyle w:val="2058"/>
        <w:numPr>
          <w:ilvl w:val="1"/>
          <w:numId w:val="29"/>
        </w:numPr>
        <w:pBdr/>
        <w:spacing w:line="240" w:lineRule="auto"/>
        <w:ind/>
        <w:rPr/>
      </w:pPr>
      <w:r/>
      <w:bookmarkStart w:id="39" w:name="_Toc236222435"/>
      <w:r>
        <w:t xml:space="preserve">Les propositions d’amélioration</w:t>
      </w:r>
      <w:r>
        <w:t xml:space="preserve"> des répondants</w:t>
      </w:r>
      <w:bookmarkEnd w:id="39"/>
      <w:r/>
      <w:r/>
    </w:p>
    <w:p>
      <w:pPr>
        <w:pBdr/>
        <w:spacing w:line="240" w:lineRule="auto"/>
        <w:ind/>
        <w:rPr>
          <w:sz w:val="20"/>
          <w:szCs w:val="20"/>
        </w:rPr>
      </w:pPr>
      <w:r>
        <w:rPr>
          <w:sz w:val="20"/>
          <w:szCs w:val="20"/>
        </w:rPr>
        <w:t xml:space="preserve">Pour la future bibliothèque numérique, les notices bibliographiques doivent pouvoir être adossées à des référentiels. Un alignement des métadonnées doit être effectué dans ce sens. Cela permettrait </w:t>
      </w:r>
      <w:r>
        <w:rPr>
          <w:sz w:val="20"/>
          <w:szCs w:val="20"/>
        </w:rPr>
        <w:t xml:space="preserve">de faire rapprochement entre les documents mais aussi entre les différentes collections à travers la création de rebonds auteurs ou sujets</w:t>
      </w:r>
      <w:r>
        <w:rPr>
          <w:rStyle w:val="2079"/>
          <w:rFonts w:ascii="Times New Roman" w:hAnsi="Times New Roman" w:cs="Times New Roman"/>
          <w:sz w:val="20"/>
          <w:szCs w:val="20"/>
        </w:rPr>
        <w:footnoteReference w:id="61"/>
      </w:r>
      <w:r>
        <w:rPr>
          <w:sz w:val="20"/>
          <w:szCs w:val="20"/>
        </w:rPr>
        <w:t xml:space="preserve">. </w:t>
      </w:r>
      <w:r>
        <w:rPr>
          <w:sz w:val="20"/>
          <w:szCs w:val="20"/>
        </w:rPr>
      </w:r>
    </w:p>
    <w:p>
      <w:pPr>
        <w:pBdr/>
        <w:spacing w:line="240" w:lineRule="auto"/>
        <w:ind/>
        <w:rPr/>
      </w:pPr>
      <w:r>
        <w:rPr>
          <w:sz w:val="20"/>
          <w:szCs w:val="20"/>
        </w:rPr>
        <w:t xml:space="preserve">Il faudrait également avoir la possibilité de « paramétrer les éléments de la Dublin </w:t>
      </w:r>
      <w:r>
        <w:rPr>
          <w:sz w:val="20"/>
          <w:szCs w:val="20"/>
        </w:rPr>
        <w:t xml:space="preserve">Core</w:t>
      </w:r>
      <w:r>
        <w:rPr>
          <w:sz w:val="20"/>
          <w:szCs w:val="20"/>
        </w:rPr>
        <w:t xml:space="preserve"> » s’affichant sur le portail de la bibliothèque numérique</w:t>
      </w:r>
      <w:r>
        <w:rPr>
          <w:rStyle w:val="2079"/>
          <w:rFonts w:ascii="Times New Roman" w:hAnsi="Times New Roman" w:cs="Times New Roman"/>
          <w:sz w:val="20"/>
          <w:szCs w:val="20"/>
        </w:rPr>
        <w:footnoteReference w:id="62"/>
      </w:r>
      <w:r>
        <w:rPr>
          <w:sz w:val="20"/>
          <w:szCs w:val="20"/>
        </w:rPr>
        <w:t xml:space="preserve">. Dans </w:t>
      </w:r>
      <w:r>
        <w:rPr>
          <w:sz w:val="20"/>
          <w:szCs w:val="20"/>
        </w:rPr>
        <w:t xml:space="preserve">l’idéal, il serait bien que </w:t>
      </w:r>
      <w:r>
        <w:rPr>
          <w:sz w:val="20"/>
          <w:szCs w:val="20"/>
        </w:rPr>
        <w:t xml:space="preserve">la description du document</w:t>
      </w:r>
      <w:r>
        <w:rPr>
          <w:sz w:val="20"/>
          <w:szCs w:val="20"/>
        </w:rPr>
        <w:t xml:space="preserve"> puisse contenir l’indexation Rameau ainsi que celle </w:t>
      </w:r>
      <w:r>
        <w:rPr>
          <w:sz w:val="20"/>
          <w:szCs w:val="20"/>
        </w:rPr>
        <w:t xml:space="preserve">Hauville</w:t>
      </w:r>
      <w:r>
        <w:rPr>
          <w:rStyle w:val="2079"/>
          <w:rFonts w:ascii="Times New Roman" w:hAnsi="Times New Roman" w:cs="Times New Roman"/>
          <w:sz w:val="20"/>
          <w:szCs w:val="20"/>
        </w:rPr>
        <w:footnoteReference w:id="63"/>
      </w:r>
      <w:r>
        <w:rPr>
          <w:sz w:val="20"/>
          <w:szCs w:val="20"/>
        </w:rPr>
        <w:t xml:space="preserve">. Un des souhaits des utilisateurs est de savoir s’il est possible d’avoir un titre abrégé en français</w:t>
      </w:r>
      <w:r>
        <w:rPr>
          <w:sz w:val="22"/>
        </w:rPr>
        <w:t xml:space="preserve"> </w:t>
      </w:r>
      <w:r>
        <w:rPr>
          <w:sz w:val="20"/>
          <w:szCs w:val="20"/>
        </w:rPr>
        <w:t xml:space="preserve">notamment pour les documents en latin afin de permettre au non-spécialiste d’avoir une idée de ce dont traite le document</w:t>
      </w:r>
      <w:r>
        <w:rPr>
          <w:rStyle w:val="2079"/>
          <w:sz w:val="20"/>
          <w:szCs w:val="20"/>
        </w:rPr>
        <w:footnoteReference w:id="64"/>
      </w:r>
      <w:r>
        <w:rPr>
          <w:sz w:val="20"/>
          <w:szCs w:val="20"/>
        </w:rPr>
        <w:t xml:space="preserve">.</w:t>
      </w:r>
      <w:r>
        <w:rPr>
          <w:sz w:val="22"/>
        </w:rPr>
        <w:t xml:space="preserve"> </w:t>
      </w:r>
      <w:r/>
    </w:p>
    <w:p>
      <w:pPr>
        <w:pStyle w:val="2057"/>
        <w:numPr>
          <w:ilvl w:val="0"/>
          <w:numId w:val="29"/>
        </w:numPr>
        <w:pBdr/>
        <w:spacing w:line="240" w:lineRule="auto"/>
        <w:ind/>
        <w:rPr/>
      </w:pPr>
      <w:r/>
      <w:bookmarkStart w:id="40" w:name="_Toc236222436"/>
      <w:r>
        <w:t xml:space="preserve">La recherche d’information</w:t>
      </w:r>
      <w:bookmarkEnd w:id="40"/>
      <w:r/>
      <w:r/>
    </w:p>
    <w:p>
      <w:pPr>
        <w:pStyle w:val="2058"/>
        <w:numPr>
          <w:ilvl w:val="1"/>
          <w:numId w:val="29"/>
        </w:numPr>
        <w:pBdr/>
        <w:spacing w:line="240" w:lineRule="auto"/>
        <w:ind/>
        <w:rPr/>
      </w:pPr>
      <w:r/>
      <w:bookmarkStart w:id="41" w:name="_Toc236222437"/>
      <w:r>
        <w:t xml:space="preserve">L’analyse de l’existant</w:t>
      </w:r>
      <w:bookmarkEnd w:id="41"/>
      <w:r/>
      <w:r/>
    </w:p>
    <w:p>
      <w:pPr>
        <w:pStyle w:val="2059"/>
        <w:numPr>
          <w:ilvl w:val="2"/>
          <w:numId w:val="29"/>
        </w:numPr>
        <w:pBdr/>
        <w:spacing w:line="240" w:lineRule="auto"/>
        <w:ind/>
        <w:rPr>
          <w:rFonts w:eastAsia="Times New Roman"/>
          <w:lang w:eastAsia="fr-FR"/>
        </w:rPr>
      </w:pPr>
      <w:r/>
      <w:bookmarkStart w:id="42" w:name="_Toc236222438"/>
      <w:r>
        <w:rPr>
          <w:rFonts w:eastAsia="Times New Roman"/>
          <w:lang w:eastAsia="fr-FR"/>
        </w:rPr>
        <w:t xml:space="preserve">Les différents moyens de recherche : recherche simple, avancée et </w:t>
      </w:r>
      <w:r>
        <w:rPr>
          <w:rFonts w:eastAsia="Times New Roman"/>
          <w:lang w:eastAsia="fr-FR"/>
        </w:rPr>
        <w:t xml:space="preserve">dans l’</w:t>
      </w:r>
      <w:r>
        <w:rPr>
          <w:rFonts w:eastAsia="Times New Roman"/>
          <w:lang w:eastAsia="fr-FR"/>
        </w:rPr>
        <w:t xml:space="preserve">OCR</w:t>
      </w:r>
      <w:bookmarkEnd w:id="42"/>
      <w:r/>
      <w:r>
        <w:rPr>
          <w:rFonts w:eastAsia="Times New Roman"/>
          <w:lang w:eastAsia="fr-FR"/>
        </w:rPr>
      </w:r>
    </w:p>
    <w:p>
      <w:pPr>
        <w:pBdr/>
        <w:spacing w:line="240" w:lineRule="auto"/>
        <w:ind/>
        <w:rPr>
          <w:sz w:val="20"/>
          <w:szCs w:val="20"/>
          <w:lang w:eastAsia="fr-FR"/>
        </w:rPr>
      </w:pPr>
      <w:r>
        <w:rPr>
          <w:sz w:val="20"/>
          <w:szCs w:val="20"/>
          <w:lang w:eastAsia="fr-FR"/>
        </w:rPr>
        <w:t xml:space="preserve">Les utilisateurs et les différents services sont enclin à dire que la re</w:t>
      </w:r>
      <w:r>
        <w:rPr>
          <w:sz w:val="20"/>
          <w:szCs w:val="20"/>
          <w:lang w:eastAsia="fr-FR"/>
        </w:rPr>
        <w:t xml:space="preserve">cherche simple fonctionne relativement bien. La troncature et la recherche par mots-clés satisfait les utilisateurs qui trouvent utile le petit guide écrit en-dessous de la barre de recherche permettant d’avoir une compréhension rapide de son utilisation. </w:t>
      </w:r>
      <w:r>
        <w:rPr>
          <w:sz w:val="20"/>
          <w:szCs w:val="20"/>
          <w:lang w:eastAsia="fr-FR"/>
        </w:rPr>
      </w:r>
    </w:p>
    <w:p>
      <w:pPr>
        <w:pBdr/>
        <w:spacing w:line="240" w:lineRule="auto"/>
        <w:ind/>
        <w:rPr>
          <w:sz w:val="20"/>
          <w:szCs w:val="20"/>
          <w:lang w:eastAsia="fr-FR"/>
        </w:rPr>
      </w:pPr>
      <w:r>
        <w:rPr>
          <w:sz w:val="20"/>
          <w:szCs w:val="20"/>
          <w:lang w:eastAsia="fr-FR"/>
        </w:rPr>
        <w:t xml:space="preserve">En revanche, l’avis est plus négatif c</w:t>
      </w:r>
      <w:r>
        <w:rPr>
          <w:sz w:val="20"/>
          <w:szCs w:val="20"/>
          <w:lang w:eastAsia="fr-FR"/>
        </w:rPr>
        <w:t xml:space="preserve">oncern</w:t>
      </w:r>
      <w:r>
        <w:rPr>
          <w:sz w:val="20"/>
          <w:szCs w:val="20"/>
          <w:lang w:eastAsia="fr-FR"/>
        </w:rPr>
        <w:t xml:space="preserve">ant la recherche avancée</w:t>
      </w:r>
      <w:r>
        <w:rPr>
          <w:sz w:val="20"/>
          <w:szCs w:val="20"/>
          <w:lang w:eastAsia="fr-FR"/>
        </w:rPr>
        <w:t xml:space="preserve">, en particulier des personnels de la bibliothèque. </w:t>
      </w:r>
      <w:r>
        <w:rPr>
          <w:sz w:val="20"/>
          <w:szCs w:val="20"/>
          <w:lang w:eastAsia="fr-FR"/>
        </w:rPr>
        <w:t xml:space="preserve">De plus, une confusion peut être fait</w:t>
      </w:r>
      <w:r>
        <w:rPr>
          <w:sz w:val="20"/>
          <w:szCs w:val="20"/>
          <w:lang w:eastAsia="fr-FR"/>
        </w:rPr>
        <w:t xml:space="preserve">e</w:t>
      </w:r>
      <w:r>
        <w:rPr>
          <w:sz w:val="20"/>
          <w:szCs w:val="20"/>
          <w:lang w:eastAsia="fr-FR"/>
        </w:rPr>
        <w:t xml:space="preserve"> entre la recherche plein-texte et celle avancée. Ces deux recherches se trouvent sur la même page pouvant laisser croire qu’ils fonctionnent de la même façon. La recherche plein-texte ne peut être utilisé</w:t>
      </w:r>
      <w:r>
        <w:rPr>
          <w:sz w:val="20"/>
          <w:szCs w:val="20"/>
          <w:lang w:eastAsia="fr-FR"/>
        </w:rPr>
        <w:t xml:space="preserve">e</w:t>
      </w:r>
      <w:r>
        <w:rPr>
          <w:sz w:val="20"/>
          <w:szCs w:val="20"/>
          <w:lang w:eastAsia="fr-FR"/>
        </w:rPr>
        <w:t xml:space="preserve"> à son plein potentiel étant donné que </w:t>
      </w:r>
      <w:r>
        <w:rPr>
          <w:sz w:val="20"/>
          <w:szCs w:val="20"/>
          <w:lang w:eastAsia="fr-FR"/>
        </w:rPr>
        <w:t xml:space="preserve">de nombreux documents</w:t>
      </w:r>
      <w:r>
        <w:rPr>
          <w:sz w:val="20"/>
          <w:szCs w:val="20"/>
          <w:lang w:eastAsia="fr-FR"/>
        </w:rPr>
        <w:t xml:space="preserve"> numérisés ne sont pas </w:t>
      </w:r>
      <w:r>
        <w:rPr>
          <w:sz w:val="20"/>
          <w:szCs w:val="20"/>
          <w:lang w:eastAsia="fr-FR"/>
        </w:rPr>
        <w:t xml:space="preserve">océrisés</w:t>
      </w:r>
      <w:r>
        <w:rPr>
          <w:sz w:val="20"/>
          <w:szCs w:val="20"/>
          <w:lang w:eastAsia="fr-FR"/>
        </w:rPr>
        <w:t xml:space="preserve">.</w:t>
      </w:r>
      <w:r>
        <w:rPr>
          <w:sz w:val="20"/>
          <w:szCs w:val="20"/>
          <w:lang w:eastAsia="fr-FR"/>
        </w:rPr>
        <w:t xml:space="preserve"> L</w:t>
      </w:r>
      <w:r>
        <w:rPr>
          <w:sz w:val="20"/>
          <w:szCs w:val="20"/>
          <w:lang w:eastAsia="fr-FR"/>
        </w:rPr>
        <w:t xml:space="preserve">’</w:t>
      </w:r>
      <w:r>
        <w:rPr>
          <w:sz w:val="20"/>
          <w:szCs w:val="20"/>
          <w:lang w:eastAsia="fr-FR"/>
        </w:rPr>
        <w:t xml:space="preserve">absence d’OCR, très demandé par les chercheurs les amène à </w:t>
      </w:r>
      <w:r>
        <w:rPr>
          <w:sz w:val="20"/>
          <w:szCs w:val="20"/>
          <w:lang w:eastAsia="fr-FR"/>
        </w:rPr>
        <w:t xml:space="preserve">contourner cette difficulté en faisant appel </w:t>
      </w:r>
      <w:r>
        <w:rPr>
          <w:sz w:val="20"/>
          <w:szCs w:val="20"/>
          <w:lang w:eastAsia="fr-FR"/>
        </w:rPr>
        <w:t xml:space="preserve">à leurs frais à des outils comme </w:t>
      </w:r>
      <w:r>
        <w:rPr>
          <w:sz w:val="20"/>
          <w:szCs w:val="20"/>
          <w:lang w:eastAsia="fr-FR"/>
        </w:rPr>
        <w:t xml:space="preserve">Abode</w:t>
      </w:r>
      <w:r>
        <w:rPr>
          <w:sz w:val="20"/>
          <w:szCs w:val="20"/>
          <w:lang w:eastAsia="fr-FR"/>
        </w:rPr>
        <w:t xml:space="preserve"> Pro pour le générer eux-mêmes</w:t>
      </w:r>
      <w:r>
        <w:rPr>
          <w:rStyle w:val="2079"/>
          <w:rFonts w:ascii="Times New Roman" w:hAnsi="Times New Roman" w:cs="Times New Roman"/>
          <w:sz w:val="20"/>
          <w:szCs w:val="20"/>
          <w:lang w:eastAsia="fr-FR"/>
        </w:rPr>
        <w:footnoteReference w:id="65"/>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Les chercheurs utilisent énormément la navigation dans la t</w:t>
      </w:r>
      <w:r>
        <w:rPr>
          <w:sz w:val="20"/>
          <w:szCs w:val="20"/>
          <w:lang w:eastAsia="fr-FR"/>
        </w:rPr>
        <w:t xml:space="preserve">able des matières. Ils soulignent l’importance de leur présence car cela leur permet d’économiser du temps de recherche. Ils apprécient d’avoir la possibilité de pouvoir cliquer sur une section ou une sous-section dans le document et s’y rendre directement</w:t>
      </w:r>
      <w:r>
        <w:rPr>
          <w:rStyle w:val="2079"/>
          <w:rFonts w:ascii="Times New Roman" w:hAnsi="Times New Roman" w:cs="Times New Roman"/>
          <w:sz w:val="20"/>
          <w:szCs w:val="20"/>
          <w:lang w:eastAsia="fr-FR"/>
        </w:rPr>
        <w:footnoteReference w:id="66"/>
      </w:r>
      <w:r>
        <w:rPr>
          <w:sz w:val="20"/>
          <w:szCs w:val="20"/>
          <w:lang w:eastAsia="fr-FR"/>
        </w:rPr>
        <w:t xml:space="preserve">. </w:t>
      </w:r>
      <w:r>
        <w:rPr>
          <w:sz w:val="20"/>
          <w:szCs w:val="20"/>
          <w:lang w:eastAsia="fr-FR"/>
        </w:rPr>
        <w:t xml:space="preserve">Les tables des matières rendent </w:t>
      </w:r>
      <w:r>
        <w:rPr>
          <w:sz w:val="20"/>
          <w:szCs w:val="20"/>
          <w:lang w:eastAsia="fr-FR"/>
        </w:rPr>
        <w:t xml:space="preserve">le document numérisé plus manipulables, </w:t>
      </w:r>
      <w:r>
        <w:rPr>
          <w:sz w:val="20"/>
          <w:szCs w:val="20"/>
          <w:lang w:eastAsia="fr-FR"/>
        </w:rPr>
        <w:t xml:space="preserve">et permettent un usage proche de celui d’un livre papier</w:t>
      </w:r>
      <w:r>
        <w:rPr>
          <w:rStyle w:val="2079"/>
          <w:rFonts w:ascii="Times New Roman" w:hAnsi="Times New Roman" w:cs="Times New Roman"/>
          <w:sz w:val="20"/>
          <w:szCs w:val="20"/>
          <w:lang w:eastAsia="fr-FR"/>
        </w:rPr>
        <w:footnoteReference w:id="67"/>
      </w:r>
      <w:r>
        <w:rPr>
          <w:sz w:val="20"/>
          <w:szCs w:val="20"/>
          <w:lang w:eastAsia="fr-FR"/>
        </w:rPr>
        <w:t xml:space="preserve">.</w:t>
      </w:r>
      <w:r>
        <w:rPr>
          <w:sz w:val="20"/>
          <w:szCs w:val="20"/>
          <w:lang w:eastAsia="fr-FR"/>
        </w:rPr>
      </w:r>
    </w:p>
    <w:p>
      <w:pPr>
        <w:pStyle w:val="2059"/>
        <w:numPr>
          <w:ilvl w:val="2"/>
          <w:numId w:val="29"/>
        </w:numPr>
        <w:pBdr/>
        <w:spacing w:line="240" w:lineRule="auto"/>
        <w:ind/>
        <w:rPr>
          <w:rFonts w:eastAsia="Times New Roman"/>
          <w:lang w:eastAsia="fr-FR"/>
        </w:rPr>
      </w:pPr>
      <w:r/>
      <w:bookmarkStart w:id="43" w:name="_Toc236222439"/>
      <w:r>
        <w:rPr>
          <w:rFonts w:eastAsia="Times New Roman"/>
          <w:lang w:eastAsia="fr-FR"/>
        </w:rPr>
        <w:t xml:space="preserve">Navigation par thèmes</w:t>
      </w:r>
      <w:bookmarkEnd w:id="43"/>
      <w:r>
        <w:rPr>
          <w:rFonts w:eastAsia="Times New Roman"/>
          <w:lang w:eastAsia="fr-FR"/>
        </w:rPr>
        <w:t xml:space="preserve"> </w:t>
      </w:r>
      <w:r>
        <w:rPr>
          <w:rFonts w:eastAsia="Times New Roman"/>
          <w:lang w:eastAsia="fr-FR"/>
        </w:rPr>
      </w:r>
    </w:p>
    <w:p>
      <w:pPr>
        <w:pBdr/>
        <w:spacing w:line="240" w:lineRule="auto"/>
        <w:ind/>
        <w:rPr>
          <w:sz w:val="20"/>
          <w:szCs w:val="20"/>
          <w:lang w:eastAsia="fr-FR"/>
        </w:rPr>
      </w:pPr>
      <w:r>
        <w:rPr>
          <w:sz w:val="20"/>
          <w:szCs w:val="20"/>
          <w:lang w:eastAsia="fr-FR"/>
        </w:rPr>
        <w:t xml:space="preserve">Les utilisateurs remontent leur mécontentement conce</w:t>
      </w:r>
      <w:r>
        <w:rPr>
          <w:sz w:val="20"/>
          <w:szCs w:val="20"/>
          <w:lang w:eastAsia="fr-FR"/>
        </w:rPr>
        <w:t xml:space="preserve">rnant la navigation par thèmes</w:t>
      </w:r>
      <w:r>
        <w:rPr>
          <w:sz w:val="20"/>
          <w:szCs w:val="20"/>
          <w:lang w:eastAsia="fr-FR"/>
        </w:rPr>
        <w:t xml:space="preserve"> qu’ils trouvent incohérente</w:t>
      </w:r>
      <w:r>
        <w:rPr>
          <w:sz w:val="20"/>
          <w:szCs w:val="20"/>
          <w:lang w:eastAsia="fr-FR"/>
        </w:rPr>
        <w:t xml:space="preserve">. Ils ne comprennent pas la manière dont été cons</w:t>
      </w:r>
      <w:r>
        <w:rPr>
          <w:sz w:val="20"/>
          <w:szCs w:val="20"/>
          <w:lang w:eastAsia="fr-FR"/>
        </w:rPr>
        <w:t xml:space="preserve">titué les collections</w:t>
      </w:r>
      <w:r>
        <w:rPr>
          <w:sz w:val="20"/>
          <w:szCs w:val="20"/>
          <w:lang w:eastAsia="fr-FR"/>
        </w:rPr>
        <w:t xml:space="preserve"> et soulignent le </w:t>
      </w:r>
      <w:r>
        <w:rPr>
          <w:sz w:val="20"/>
          <w:szCs w:val="20"/>
          <w:lang w:eastAsia="fr-FR"/>
        </w:rPr>
        <w:t xml:space="preserve">manque d’explication pour comprendre la logique qui a été utilisé pour répartir les documents</w:t>
      </w:r>
      <w:r>
        <w:rPr>
          <w:rStyle w:val="2079"/>
          <w:rFonts w:ascii="Times New Roman" w:hAnsi="Times New Roman" w:cs="Times New Roman"/>
          <w:sz w:val="20"/>
          <w:szCs w:val="20"/>
          <w:lang w:eastAsia="fr-FR"/>
        </w:rPr>
        <w:footnoteReference w:id="68"/>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rPr>
        <w:t xml:space="preserve">L’organisation actuelle, qui mélange des</w:t>
      </w:r>
      <w:r>
        <w:rPr>
          <w:sz w:val="20"/>
          <w:szCs w:val="20"/>
        </w:rPr>
        <w:t xml:space="preserve"> collections thématiques et chronologiques, pose plusieurs problèmes. Par exemple, la présence d’un auteur du XVIIe siècle dans la collection du droit romain crée une incohérence chez les historiens du droit qui associent ce type de droit à l’Empire romain</w:t>
      </w:r>
      <w:r>
        <w:rPr>
          <w:rStyle w:val="2079"/>
          <w:rFonts w:ascii="Times New Roman" w:hAnsi="Times New Roman" w:cs="Times New Roman"/>
          <w:sz w:val="20"/>
          <w:szCs w:val="20"/>
        </w:rPr>
        <w:footnoteReference w:id="69"/>
      </w:r>
      <w:r>
        <w:rPr>
          <w:sz w:val="20"/>
          <w:szCs w:val="20"/>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Ils trouvent les titres </w:t>
      </w:r>
      <w:r>
        <w:rPr>
          <w:sz w:val="20"/>
          <w:szCs w:val="20"/>
          <w:lang w:eastAsia="fr-FR"/>
        </w:rPr>
        <w:t xml:space="preserve">des collections </w:t>
      </w:r>
      <w:r>
        <w:rPr>
          <w:sz w:val="20"/>
          <w:szCs w:val="20"/>
          <w:lang w:eastAsia="fr-FR"/>
        </w:rPr>
        <w:t xml:space="preserve">bien trop précis </w:t>
      </w:r>
      <w:r>
        <w:rPr>
          <w:sz w:val="20"/>
          <w:szCs w:val="20"/>
          <w:lang w:eastAsia="fr-FR"/>
        </w:rPr>
        <w:t xml:space="preserve">et trompeurs dans la mesure où ils ne correspondent pas au contenu réel de chacune des collections</w:t>
      </w:r>
      <w:r>
        <w:rPr>
          <w:rStyle w:val="2079"/>
          <w:rFonts w:ascii="Times New Roman" w:hAnsi="Times New Roman" w:cs="Times New Roman"/>
          <w:sz w:val="20"/>
          <w:szCs w:val="20"/>
          <w:lang w:eastAsia="fr-FR"/>
        </w:rPr>
        <w:footnoteReference w:id="70"/>
      </w:r>
      <w:r>
        <w:rPr>
          <w:sz w:val="20"/>
          <w:szCs w:val="20"/>
          <w:lang w:eastAsia="fr-FR"/>
        </w:rPr>
        <w:t xml:space="preserve">. </w:t>
      </w:r>
      <w:r>
        <w:rPr>
          <w:sz w:val="20"/>
          <w:szCs w:val="20"/>
          <w:lang w:eastAsia="fr-FR"/>
        </w:rPr>
        <w:t xml:space="preserve">Cela amène à une </w:t>
      </w:r>
      <w:r>
        <w:rPr>
          <w:sz w:val="20"/>
          <w:szCs w:val="20"/>
          <w:lang w:eastAsia="fr-FR"/>
        </w:rPr>
        <w:t xml:space="preserve">déception et une frustration des chercheurs lorsqu’ils parcourent le contenu des collections</w:t>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Le</w:t>
      </w:r>
      <w:r>
        <w:rPr>
          <w:sz w:val="20"/>
          <w:szCs w:val="20"/>
          <w:lang w:eastAsia="fr-FR"/>
        </w:rPr>
        <w:t xml:space="preserve">s filtres et les facettes utilisées dans la bibliothèque numérique ne répondent plus aux besoins des utilisateurs qui s’en plaignent et rejoignent sur ce point le mécontentement des services internes de Cujas notamment le DPCN. Les facettes utilisées dans </w:t>
      </w:r>
      <w:r>
        <w:rPr>
          <w:sz w:val="20"/>
          <w:szCs w:val="20"/>
          <w:lang w:eastAsia="fr-FR"/>
        </w:rPr>
        <w:t xml:space="preserve">CujasNum</w:t>
      </w:r>
      <w:r>
        <w:rPr>
          <w:sz w:val="20"/>
          <w:szCs w:val="20"/>
          <w:lang w:eastAsia="fr-FR"/>
        </w:rPr>
        <w:t xml:space="preserve"> sont</w:t>
      </w:r>
      <w:r>
        <w:rPr>
          <w:sz w:val="22"/>
          <w:lang w:eastAsia="fr-FR"/>
        </w:rPr>
        <w:t xml:space="preserve"> </w:t>
      </w:r>
      <w:r>
        <w:rPr>
          <w:sz w:val="20"/>
          <w:szCs w:val="20"/>
          <w:lang w:eastAsia="fr-FR"/>
        </w:rPr>
        <w:t xml:space="preserve">issues de l’indexation </w:t>
      </w:r>
      <w:r>
        <w:rPr>
          <w:sz w:val="20"/>
          <w:szCs w:val="20"/>
          <w:lang w:eastAsia="fr-FR"/>
        </w:rPr>
        <w:t xml:space="preserve">Hauville</w:t>
      </w:r>
      <w:r>
        <w:rPr>
          <w:sz w:val="20"/>
          <w:szCs w:val="20"/>
          <w:lang w:eastAsia="fr-FR"/>
        </w:rPr>
        <w:t xml:space="preserve">. </w:t>
      </w:r>
      <w:r>
        <w:rPr>
          <w:sz w:val="20"/>
          <w:szCs w:val="20"/>
          <w:lang w:eastAsia="fr-FR"/>
        </w:rPr>
        <w:t xml:space="preserve">Il s’agit d’une </w:t>
      </w:r>
      <w:r>
        <w:rPr>
          <w:sz w:val="20"/>
          <w:szCs w:val="20"/>
          <w:lang w:eastAsia="fr-FR"/>
        </w:rPr>
        <w:t xml:space="preserve">indexation propre à la bibliothèque Cujas créée par Frédérique </w:t>
      </w:r>
      <w:r>
        <w:rPr>
          <w:sz w:val="20"/>
          <w:szCs w:val="20"/>
          <w:lang w:eastAsia="fr-FR"/>
        </w:rPr>
        <w:t xml:space="preserve">Hauville</w:t>
      </w:r>
      <w:r>
        <w:rPr>
          <w:sz w:val="20"/>
          <w:szCs w:val="20"/>
          <w:lang w:eastAsia="fr-FR"/>
        </w:rPr>
        <w:t xml:space="preserve">, qui déconstruit l’indexation RAMEAU lorsque ce langage ne permet pas une description satisfaisante des documents de la bibliothèque numérique</w:t>
      </w:r>
      <w:r>
        <w:rPr>
          <w:rStyle w:val="2079"/>
          <w:rFonts w:ascii="Times New Roman" w:hAnsi="Times New Roman" w:cs="Times New Roman"/>
          <w:sz w:val="20"/>
          <w:szCs w:val="20"/>
          <w:lang w:eastAsia="fr-FR"/>
        </w:rPr>
        <w:footnoteReference w:id="71"/>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Les filtres générés par l’indexation </w:t>
      </w:r>
      <w:r>
        <w:rPr>
          <w:sz w:val="20"/>
          <w:szCs w:val="20"/>
          <w:lang w:eastAsia="fr-FR"/>
        </w:rPr>
        <w:t xml:space="preserve">Hauville</w:t>
      </w:r>
      <w:r>
        <w:rPr>
          <w:sz w:val="20"/>
          <w:szCs w:val="20"/>
          <w:lang w:eastAsia="fr-FR"/>
        </w:rPr>
        <w:t xml:space="preserve"> sont trop précis (nombre d’en</w:t>
      </w:r>
      <w:r>
        <w:rPr>
          <w:sz w:val="20"/>
          <w:szCs w:val="20"/>
          <w:lang w:eastAsia="fr-FR"/>
        </w:rPr>
        <w:t xml:space="preserve">t</w:t>
      </w:r>
      <w:r>
        <w:rPr>
          <w:sz w:val="20"/>
          <w:szCs w:val="20"/>
          <w:lang w:eastAsia="fr-FR"/>
        </w:rPr>
        <w:t xml:space="preserve">re eux ne sont liés qu’à un seul document), contraignant l’utilisateur dans sa recherche</w:t>
      </w:r>
      <w:r>
        <w:rPr>
          <w:rStyle w:val="2079"/>
          <w:rFonts w:ascii="Times New Roman" w:hAnsi="Times New Roman" w:cs="Times New Roman"/>
          <w:sz w:val="20"/>
          <w:szCs w:val="20"/>
          <w:lang w:eastAsia="fr-FR"/>
        </w:rPr>
        <w:footnoteReference w:id="72"/>
      </w:r>
      <w:r>
        <w:rPr>
          <w:sz w:val="20"/>
          <w:szCs w:val="20"/>
          <w:lang w:eastAsia="fr-FR"/>
        </w:rPr>
        <w:t xml:space="preserve">. On remarque une </w:t>
      </w:r>
      <w:r>
        <w:rPr>
          <w:sz w:val="20"/>
          <w:szCs w:val="20"/>
          <w:lang w:eastAsia="fr-FR"/>
        </w:rPr>
        <w:t xml:space="preserve">forte répétition des mêmes facettes amenant à rendre cette indexation illisible. L’utilisateur ne parvient pas à voir quel filtre il a sélectionné car celui-ci </w:t>
      </w:r>
      <w:r>
        <w:rPr>
          <w:sz w:val="20"/>
          <w:szCs w:val="20"/>
          <w:lang w:eastAsia="fr-FR"/>
        </w:rPr>
        <w:t xml:space="preserve">ne se distingue pas dans la masse de filtre existant</w:t>
      </w:r>
      <w:r>
        <w:rPr>
          <w:rStyle w:val="2079"/>
          <w:rFonts w:ascii="Times New Roman" w:hAnsi="Times New Roman" w:cs="Times New Roman"/>
          <w:sz w:val="20"/>
          <w:szCs w:val="20"/>
          <w:lang w:eastAsia="fr-FR"/>
        </w:rPr>
        <w:footnoteReference w:id="73"/>
      </w:r>
      <w:r>
        <w:rPr>
          <w:sz w:val="20"/>
          <w:szCs w:val="20"/>
          <w:lang w:eastAsia="fr-FR"/>
        </w:rPr>
        <w:t xml:space="preserve">. </w:t>
      </w:r>
      <w:r>
        <w:rPr>
          <w:sz w:val="20"/>
          <w:szCs w:val="20"/>
          <w:lang w:eastAsia="fr-FR"/>
        </w:rPr>
        <w:t xml:space="preserve">Certaines des indexations </w:t>
      </w:r>
      <w:r>
        <w:rPr>
          <w:sz w:val="20"/>
          <w:szCs w:val="20"/>
          <w:lang w:eastAsia="fr-FR"/>
        </w:rPr>
        <w:t xml:space="preserve">Hauville</w:t>
      </w:r>
      <w:r>
        <w:rPr>
          <w:sz w:val="20"/>
          <w:szCs w:val="20"/>
          <w:lang w:eastAsia="fr-FR"/>
        </w:rPr>
        <w:t xml:space="preserve"> contiennent le nom d’un ouvrage important de l’histoire du droit : les chercheurs soulignent l’inutilité de cette indexation quand ne recherche par titre suffit pour trouver le document</w:t>
      </w:r>
      <w:r>
        <w:rPr>
          <w:rStyle w:val="2079"/>
          <w:rFonts w:ascii="Times New Roman" w:hAnsi="Times New Roman" w:cs="Times New Roman"/>
          <w:sz w:val="20"/>
          <w:szCs w:val="20"/>
          <w:lang w:eastAsia="fr-FR"/>
        </w:rPr>
        <w:footnoteReference w:id="74"/>
      </w:r>
      <w:r>
        <w:rPr>
          <w:sz w:val="20"/>
          <w:szCs w:val="20"/>
          <w:lang w:eastAsia="fr-FR"/>
        </w:rPr>
        <w:t xml:space="preserve">. </w:t>
      </w:r>
      <w:r>
        <w:rPr>
          <w:sz w:val="20"/>
          <w:szCs w:val="20"/>
          <w:lang w:eastAsia="fr-FR"/>
        </w:rPr>
      </w:r>
    </w:p>
    <w:p>
      <w:pPr>
        <w:pStyle w:val="2058"/>
        <w:numPr>
          <w:ilvl w:val="1"/>
          <w:numId w:val="29"/>
        </w:numPr>
        <w:pBdr/>
        <w:spacing w:line="240" w:lineRule="auto"/>
        <w:ind/>
        <w:rPr/>
      </w:pPr>
      <w:r/>
      <w:bookmarkStart w:id="44" w:name="_Toc236222440"/>
      <w:r>
        <w:t xml:space="preserve">Les propositions d’amélioration </w:t>
      </w:r>
      <w:r>
        <w:t xml:space="preserve">des répondants</w:t>
      </w:r>
      <w:bookmarkEnd w:id="44"/>
      <w:r/>
      <w:r/>
    </w:p>
    <w:p>
      <w:pPr>
        <w:pStyle w:val="2059"/>
        <w:numPr>
          <w:ilvl w:val="2"/>
          <w:numId w:val="29"/>
        </w:numPr>
        <w:pBdr/>
        <w:spacing w:line="240" w:lineRule="auto"/>
        <w:ind/>
        <w:rPr>
          <w:rFonts w:eastAsia="Times New Roman"/>
          <w:lang w:eastAsia="fr-FR"/>
        </w:rPr>
      </w:pPr>
      <w:r/>
      <w:bookmarkStart w:id="45" w:name="_Toc236222441"/>
      <w:r>
        <w:rPr>
          <w:rFonts w:eastAsia="Times New Roman"/>
          <w:lang w:eastAsia="fr-FR"/>
        </w:rPr>
        <w:t xml:space="preserve">Les différents moyens de recherche : recherche simple, avancée et par OCR</w:t>
      </w:r>
      <w:bookmarkEnd w:id="45"/>
      <w:r/>
      <w:r>
        <w:rPr>
          <w:rFonts w:eastAsia="Times New Roman"/>
          <w:lang w:eastAsia="fr-FR"/>
        </w:rPr>
      </w:r>
    </w:p>
    <w:p>
      <w:pPr>
        <w:pBdr/>
        <w:spacing w:line="240" w:lineRule="auto"/>
        <w:ind/>
        <w:rPr>
          <w:sz w:val="20"/>
          <w:szCs w:val="20"/>
          <w:lang w:eastAsia="fr-FR"/>
        </w:rPr>
      </w:pPr>
      <w:r>
        <w:rPr>
          <w:sz w:val="20"/>
          <w:szCs w:val="20"/>
          <w:lang w:eastAsia="fr-FR"/>
        </w:rPr>
        <w:t xml:space="preserve">Une forte demande a été émise par les chercheurs concernant la recherche plein-texte. Ils </w:t>
      </w:r>
      <w:r>
        <w:rPr>
          <w:sz w:val="20"/>
          <w:szCs w:val="20"/>
          <w:lang w:eastAsia="fr-FR"/>
        </w:rPr>
        <w:t xml:space="preserve">insistent en particulier sur la nécessité de disposer à la fois d’une recherche plein texte et de tables des matières ce qui constitue un véritable atout</w:t>
      </w:r>
      <w:r>
        <w:rPr>
          <w:sz w:val="20"/>
          <w:szCs w:val="20"/>
          <w:lang w:eastAsia="fr-FR"/>
        </w:rPr>
        <w:t xml:space="preserve"> pour mener leur</w:t>
      </w:r>
      <w:r>
        <w:rPr>
          <w:sz w:val="20"/>
          <w:szCs w:val="20"/>
          <w:lang w:eastAsia="fr-FR"/>
        </w:rPr>
        <w:t xml:space="preserve">s</w:t>
      </w:r>
      <w:r>
        <w:rPr>
          <w:sz w:val="20"/>
          <w:szCs w:val="20"/>
          <w:lang w:eastAsia="fr-FR"/>
        </w:rPr>
        <w:t xml:space="preserve"> recherche</w:t>
      </w:r>
      <w:r>
        <w:rPr>
          <w:sz w:val="20"/>
          <w:szCs w:val="20"/>
          <w:lang w:eastAsia="fr-FR"/>
        </w:rPr>
        <w:t xml:space="preserve">s</w:t>
      </w:r>
      <w:r>
        <w:rPr>
          <w:sz w:val="20"/>
          <w:szCs w:val="20"/>
          <w:lang w:eastAsia="fr-FR"/>
        </w:rPr>
        <w:t xml:space="preserve"> dans de bonnes conditions</w:t>
      </w:r>
      <w:r>
        <w:rPr>
          <w:rStyle w:val="2079"/>
          <w:rFonts w:ascii="Times New Roman" w:hAnsi="Times New Roman" w:cs="Times New Roman"/>
          <w:sz w:val="20"/>
          <w:szCs w:val="20"/>
          <w:lang w:eastAsia="fr-FR"/>
        </w:rPr>
        <w:footnoteReference w:id="75"/>
      </w:r>
      <w:r>
        <w:rPr>
          <w:sz w:val="20"/>
          <w:szCs w:val="20"/>
          <w:lang w:eastAsia="fr-FR"/>
        </w:rPr>
        <w:t xml:space="preserve">. </w:t>
      </w:r>
      <w:r>
        <w:rPr>
          <w:sz w:val="20"/>
          <w:szCs w:val="20"/>
          <w:lang w:eastAsia="fr-FR"/>
        </w:rPr>
        <w:t xml:space="preserve">Ces deux éléments permettent une manipulation du document numérique proche de celle du livre papier</w:t>
      </w:r>
      <w:r>
        <w:rPr>
          <w:rStyle w:val="2079"/>
          <w:rFonts w:ascii="Times New Roman" w:hAnsi="Times New Roman" w:cs="Times New Roman"/>
          <w:sz w:val="20"/>
          <w:szCs w:val="20"/>
          <w:lang w:eastAsia="fr-FR"/>
        </w:rPr>
        <w:footnoteReference w:id="76"/>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Il faudrait signaler dans la notice ou à un autre endroit dans la bibliothèque numérique le taux d’</w:t>
      </w:r>
      <w:r>
        <w:rPr>
          <w:sz w:val="20"/>
          <w:szCs w:val="20"/>
          <w:lang w:eastAsia="fr-FR"/>
        </w:rPr>
        <w:t xml:space="preserve">océrisation</w:t>
      </w:r>
      <w:r>
        <w:rPr>
          <w:sz w:val="20"/>
          <w:szCs w:val="20"/>
          <w:lang w:eastAsia="fr-FR"/>
        </w:rPr>
        <w:t xml:space="preserve"> réelle des documents. De nombreux documents ont été </w:t>
      </w:r>
      <w:r>
        <w:rPr>
          <w:sz w:val="20"/>
          <w:szCs w:val="20"/>
          <w:lang w:eastAsia="fr-FR"/>
        </w:rPr>
        <w:t xml:space="preserve">océrisés</w:t>
      </w:r>
      <w:r>
        <w:rPr>
          <w:sz w:val="20"/>
          <w:szCs w:val="20"/>
          <w:lang w:eastAsia="fr-FR"/>
        </w:rPr>
        <w:t xml:space="preserve"> mais n’ont pas été signalé. Cette mention devrait figurer sur la page du document afin que l’on puisse filtrer la liste de résultats avec juste les documents </w:t>
      </w:r>
      <w:r>
        <w:rPr>
          <w:sz w:val="20"/>
          <w:szCs w:val="20"/>
          <w:lang w:eastAsia="fr-FR"/>
        </w:rPr>
        <w:t xml:space="preserve">océrisés</w:t>
      </w:r>
      <w:r>
        <w:rPr>
          <w:rStyle w:val="2079"/>
          <w:rFonts w:ascii="Times New Roman" w:hAnsi="Times New Roman" w:cs="Times New Roman"/>
          <w:sz w:val="20"/>
          <w:szCs w:val="20"/>
          <w:lang w:eastAsia="fr-FR"/>
        </w:rPr>
        <w:footnoteReference w:id="77"/>
      </w:r>
      <w:r>
        <w:rPr>
          <w:sz w:val="20"/>
          <w:szCs w:val="20"/>
          <w:lang w:eastAsia="fr-FR"/>
        </w:rPr>
        <w:t xml:space="preserve">.</w:t>
      </w:r>
      <w:r>
        <w:rPr>
          <w:sz w:val="20"/>
          <w:szCs w:val="20"/>
          <w:lang w:eastAsia="fr-FR"/>
        </w:rPr>
      </w:r>
    </w:p>
    <w:p>
      <w:pPr>
        <w:pStyle w:val="2059"/>
        <w:numPr>
          <w:ilvl w:val="2"/>
          <w:numId w:val="29"/>
        </w:numPr>
        <w:pBdr/>
        <w:spacing w:line="240" w:lineRule="auto"/>
        <w:ind/>
        <w:rPr>
          <w:rFonts w:eastAsia="Times New Roman"/>
          <w:lang w:eastAsia="fr-FR"/>
        </w:rPr>
      </w:pPr>
      <w:r/>
      <w:bookmarkStart w:id="46" w:name="_Toc236222442"/>
      <w:r>
        <w:rPr>
          <w:rFonts w:eastAsia="Times New Roman"/>
          <w:lang w:eastAsia="fr-FR"/>
        </w:rPr>
        <w:t xml:space="preserve">Navigation par thèmes</w:t>
      </w:r>
      <w:bookmarkEnd w:id="46"/>
      <w:r>
        <w:rPr>
          <w:rFonts w:eastAsia="Times New Roman"/>
          <w:lang w:eastAsia="fr-FR"/>
        </w:rPr>
        <w:t xml:space="preserve"> </w:t>
      </w:r>
      <w:r>
        <w:rPr>
          <w:rFonts w:eastAsia="Times New Roman"/>
          <w:lang w:eastAsia="fr-FR"/>
        </w:rPr>
      </w:r>
    </w:p>
    <w:p>
      <w:pPr>
        <w:pBdr/>
        <w:spacing w:line="240" w:lineRule="auto"/>
        <w:ind/>
        <w:rPr>
          <w:sz w:val="20"/>
          <w:szCs w:val="20"/>
          <w:lang w:eastAsia="fr-FR"/>
        </w:rPr>
      </w:pPr>
      <w:r>
        <w:rPr>
          <w:sz w:val="20"/>
          <w:szCs w:val="20"/>
          <w:lang w:eastAsia="fr-FR"/>
        </w:rPr>
        <w:t xml:space="preserve">Actuellement, les collections sont créées grâce à des requêtes</w:t>
      </w:r>
      <w:r>
        <w:rPr>
          <w:rStyle w:val="2079"/>
          <w:rFonts w:ascii="Times New Roman" w:hAnsi="Times New Roman" w:cs="Times New Roman"/>
          <w:sz w:val="20"/>
          <w:szCs w:val="20"/>
          <w:lang w:eastAsia="fr-FR"/>
        </w:rPr>
        <w:footnoteReference w:id="78"/>
      </w:r>
      <w:r>
        <w:rPr>
          <w:sz w:val="20"/>
          <w:szCs w:val="20"/>
          <w:lang w:eastAsia="fr-FR"/>
        </w:rPr>
        <w:t xml:space="preserve">. Il serait nécessaire de proposer un autre modèle de construction de collection pour permettre la création de collection et de sous-collection à l’intérieur de celle-ci tout en ajoutant de l’</w:t>
      </w:r>
      <w:r>
        <w:rPr>
          <w:sz w:val="20"/>
          <w:szCs w:val="20"/>
          <w:lang w:eastAsia="fr-FR"/>
        </w:rPr>
        <w:t xml:space="preserve">éditorialisation</w:t>
      </w:r>
      <w:r>
        <w:rPr>
          <w:sz w:val="20"/>
          <w:szCs w:val="20"/>
          <w:lang w:eastAsia="fr-FR"/>
        </w:rPr>
        <w:t xml:space="preserve"> pour justifier les choix</w:t>
      </w:r>
      <w:r>
        <w:rPr>
          <w:rStyle w:val="2079"/>
          <w:rFonts w:ascii="Times New Roman" w:hAnsi="Times New Roman" w:cs="Times New Roman"/>
          <w:sz w:val="20"/>
          <w:szCs w:val="20"/>
          <w:lang w:eastAsia="fr-FR"/>
        </w:rPr>
        <w:footnoteReference w:id="79"/>
      </w:r>
      <w:r>
        <w:rPr>
          <w:sz w:val="20"/>
          <w:szCs w:val="20"/>
          <w:lang w:eastAsia="fr-FR"/>
        </w:rPr>
        <w:t xml:space="preserve">. </w:t>
      </w:r>
      <w:r>
        <w:rPr>
          <w:sz w:val="20"/>
          <w:szCs w:val="20"/>
          <w:lang w:eastAsia="fr-FR"/>
        </w:rPr>
        <w:t xml:space="preserve">Pour eux, aucune constitution n’est mauvaise </w:t>
      </w:r>
      <w:r>
        <w:rPr>
          <w:sz w:val="20"/>
          <w:szCs w:val="20"/>
          <w:lang w:eastAsia="fr-FR"/>
        </w:rPr>
        <w:t xml:space="preserve">en soi tant qu’elle peut être justifiée et expliquée</w:t>
      </w:r>
      <w:r>
        <w:rPr>
          <w:rStyle w:val="2079"/>
          <w:rFonts w:ascii="Times New Roman" w:hAnsi="Times New Roman" w:cs="Times New Roman"/>
          <w:sz w:val="20"/>
          <w:szCs w:val="20"/>
          <w:lang w:eastAsia="fr-FR"/>
        </w:rPr>
        <w:footnoteReference w:id="80"/>
      </w:r>
      <w:r>
        <w:rPr>
          <w:sz w:val="20"/>
          <w:szCs w:val="20"/>
          <w:lang w:eastAsia="fr-FR"/>
        </w:rPr>
        <w:t xml:space="preserve">.</w:t>
      </w:r>
      <w:r>
        <w:rPr>
          <w:sz w:val="20"/>
          <w:szCs w:val="20"/>
          <w:lang w:eastAsia="fr-FR"/>
        </w:rPr>
      </w:r>
    </w:p>
    <w:p>
      <w:pPr>
        <w:pStyle w:val="2059"/>
        <w:numPr>
          <w:ilvl w:val="2"/>
          <w:numId w:val="29"/>
        </w:numPr>
        <w:pBdr/>
        <w:spacing w:line="240" w:lineRule="auto"/>
        <w:ind/>
        <w:rPr>
          <w:rFonts w:eastAsia="Times New Roman"/>
          <w:lang w:eastAsia="fr-FR"/>
        </w:rPr>
      </w:pPr>
      <w:r/>
      <w:bookmarkStart w:id="47" w:name="_Toc236222443"/>
      <w:r>
        <w:rPr>
          <w:rFonts w:eastAsia="Times New Roman"/>
          <w:lang w:eastAsia="fr-FR"/>
        </w:rPr>
        <w:t xml:space="preserve">Filtres et facettes</w:t>
      </w:r>
      <w:bookmarkEnd w:id="47"/>
      <w:r>
        <w:rPr>
          <w:rFonts w:eastAsia="Times New Roman"/>
          <w:lang w:eastAsia="fr-FR"/>
        </w:rPr>
        <w:t xml:space="preserve"> </w:t>
      </w:r>
      <w:r>
        <w:rPr>
          <w:rFonts w:eastAsia="Times New Roman"/>
          <w:lang w:eastAsia="fr-FR"/>
        </w:rPr>
      </w:r>
    </w:p>
    <w:p>
      <w:pPr>
        <w:pBdr/>
        <w:spacing w:line="240" w:lineRule="auto"/>
        <w:ind/>
        <w:rPr>
          <w:sz w:val="20"/>
          <w:szCs w:val="20"/>
          <w:lang w:eastAsia="fr-FR"/>
        </w:rPr>
      </w:pPr>
      <w:r>
        <w:rPr>
          <w:sz w:val="20"/>
          <w:szCs w:val="20"/>
          <w:lang w:eastAsia="fr-FR"/>
        </w:rPr>
        <w:t xml:space="preserve">Il faudrait pour les filtres et les facettes en mettre qui soient plus générales</w:t>
      </w:r>
      <w:r>
        <w:rPr>
          <w:sz w:val="20"/>
          <w:szCs w:val="20"/>
          <w:lang w:eastAsia="fr-FR"/>
        </w:rPr>
        <w:t xml:space="preserve"> et regroupant plusieurs documents</w:t>
      </w:r>
      <w:r>
        <w:rPr>
          <w:sz w:val="20"/>
          <w:szCs w:val="20"/>
          <w:lang w:eastAsia="fr-FR"/>
        </w:rPr>
        <w:t xml:space="preserve">. Il serait également important que celle</w:t>
      </w:r>
      <w:r>
        <w:rPr>
          <w:sz w:val="20"/>
          <w:szCs w:val="20"/>
          <w:lang w:eastAsia="fr-FR"/>
        </w:rPr>
        <w:t xml:space="preserve">s</w:t>
      </w:r>
      <w:r>
        <w:rPr>
          <w:sz w:val="20"/>
          <w:szCs w:val="20"/>
          <w:lang w:eastAsia="fr-FR"/>
        </w:rPr>
        <w:t xml:space="preserve">-ci puissent prendre en compte les différents types de documents surtout si l’on souhaite ajouter des périodiques. Un filtre trop précis n’est pas forcément pertinent pour ce type de contenu</w:t>
      </w:r>
      <w:r>
        <w:rPr>
          <w:rStyle w:val="2079"/>
          <w:rFonts w:ascii="Times New Roman" w:hAnsi="Times New Roman" w:cs="Times New Roman"/>
          <w:sz w:val="20"/>
          <w:szCs w:val="20"/>
          <w:lang w:eastAsia="fr-FR"/>
        </w:rPr>
        <w:footnoteReference w:id="81"/>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Il peut être utile d’avoir des facettes mieux</w:t>
      </w:r>
      <w:r>
        <w:rPr>
          <w:sz w:val="20"/>
          <w:szCs w:val="20"/>
          <w:lang w:eastAsia="fr-FR"/>
        </w:rPr>
        <w:t xml:space="preserve"> constituées, proposant une arborescence claire à plusieurs niveaux (exemple : une entrée code peut être déclinée en code français et code étranger)</w:t>
      </w:r>
      <w:r>
        <w:rPr>
          <w:rStyle w:val="2079"/>
          <w:rFonts w:ascii="Times New Roman" w:hAnsi="Times New Roman" w:cs="Times New Roman"/>
          <w:sz w:val="20"/>
          <w:szCs w:val="20"/>
          <w:lang w:eastAsia="fr-FR"/>
        </w:rPr>
        <w:footnoteReference w:id="82"/>
      </w:r>
      <w:r>
        <w:rPr>
          <w:sz w:val="20"/>
          <w:szCs w:val="20"/>
          <w:lang w:eastAsia="fr-FR"/>
        </w:rPr>
        <w:t xml:space="preserve">.</w:t>
      </w:r>
      <w:r>
        <w:rPr>
          <w:sz w:val="20"/>
          <w:szCs w:val="20"/>
          <w:lang w:eastAsia="fr-FR"/>
        </w:rPr>
        <w:t xml:space="preserve"> </w:t>
      </w:r>
      <w:r>
        <w:rPr>
          <w:sz w:val="20"/>
          <w:szCs w:val="20"/>
          <w:lang w:eastAsia="fr-FR"/>
        </w:rPr>
      </w:r>
    </w:p>
    <w:p>
      <w:pPr>
        <w:pStyle w:val="2057"/>
        <w:numPr>
          <w:ilvl w:val="0"/>
          <w:numId w:val="29"/>
        </w:numPr>
        <w:pBdr/>
        <w:spacing w:line="240" w:lineRule="auto"/>
        <w:ind/>
        <w:rPr/>
      </w:pPr>
      <w:r/>
      <w:bookmarkStart w:id="48" w:name="_Toc236222444"/>
      <w:r>
        <w:t xml:space="preserve">La consultation</w:t>
      </w:r>
      <w:bookmarkEnd w:id="48"/>
      <w:r/>
      <w:r/>
    </w:p>
    <w:p>
      <w:pPr>
        <w:pStyle w:val="2058"/>
        <w:numPr>
          <w:ilvl w:val="1"/>
          <w:numId w:val="29"/>
        </w:numPr>
        <w:pBdr/>
        <w:spacing w:line="240" w:lineRule="auto"/>
        <w:ind/>
        <w:rPr/>
      </w:pPr>
      <w:r/>
      <w:bookmarkStart w:id="49" w:name="_Toc236222445"/>
      <w:r>
        <w:t xml:space="preserve">L’analyse de l’existant</w:t>
      </w:r>
      <w:bookmarkEnd w:id="49"/>
      <w:r/>
      <w:r/>
    </w:p>
    <w:p>
      <w:pPr>
        <w:pBdr/>
        <w:spacing w:line="240" w:lineRule="auto"/>
        <w:ind/>
        <w:rPr>
          <w:sz w:val="20"/>
          <w:szCs w:val="20"/>
          <w:lang w:eastAsia="fr-FR"/>
        </w:rPr>
      </w:pPr>
      <w:r>
        <w:rPr>
          <w:sz w:val="20"/>
          <w:szCs w:val="20"/>
          <w:lang w:eastAsia="fr-FR"/>
        </w:rPr>
        <w:t xml:space="preserve">Dans </w:t>
      </w:r>
      <w:r>
        <w:rPr>
          <w:sz w:val="20"/>
          <w:szCs w:val="20"/>
          <w:lang w:eastAsia="fr-FR"/>
        </w:rPr>
        <w:t xml:space="preserve">CujasNum</w:t>
      </w:r>
      <w:r>
        <w:rPr>
          <w:sz w:val="20"/>
          <w:szCs w:val="20"/>
          <w:lang w:eastAsia="fr-FR"/>
        </w:rPr>
        <w:t xml:space="preserve">, la visionneuse JPEG fonctionne bien et est de bonne qualité. Elle permet d’intégrer la table des matières en prenant en compte l’arborescence</w:t>
      </w:r>
      <w:r>
        <w:rPr>
          <w:sz w:val="20"/>
          <w:szCs w:val="20"/>
          <w:lang w:eastAsia="fr-FR"/>
        </w:rPr>
        <w:t xml:space="preserve"> complète. Elle peut aller jusqu’à</w:t>
      </w:r>
      <w:r>
        <w:rPr>
          <w:sz w:val="20"/>
          <w:szCs w:val="20"/>
          <w:lang w:eastAsia="fr-FR"/>
        </w:rPr>
        <w:t xml:space="preserve"> sept niveaux</w:t>
      </w:r>
      <w:r>
        <w:rPr>
          <w:rStyle w:val="2079"/>
          <w:rFonts w:ascii="Times New Roman" w:hAnsi="Times New Roman" w:cs="Times New Roman"/>
          <w:sz w:val="20"/>
          <w:szCs w:val="20"/>
          <w:lang w:eastAsia="fr-FR"/>
        </w:rPr>
        <w:footnoteReference w:id="83"/>
      </w:r>
      <w:r>
        <w:rPr>
          <w:sz w:val="20"/>
          <w:szCs w:val="20"/>
          <w:lang w:eastAsia="fr-FR"/>
        </w:rPr>
        <w:t xml:space="preserve">. </w:t>
      </w:r>
      <w:r>
        <w:rPr>
          <w:sz w:val="20"/>
          <w:szCs w:val="20"/>
          <w:lang w:eastAsia="fr-FR"/>
        </w:rPr>
        <w:t xml:space="preserve">La table des matières est d’ailleurs cliquable directement dans la visionneuse ainsi qu’à l’intérieur du PDF</w:t>
      </w:r>
      <w:r>
        <w:rPr>
          <w:sz w:val="20"/>
          <w:szCs w:val="20"/>
          <w:lang w:eastAsia="fr-FR"/>
        </w:rPr>
        <w:t xml:space="preserve">,</w:t>
      </w:r>
      <w:r>
        <w:rPr>
          <w:sz w:val="20"/>
          <w:szCs w:val="20"/>
          <w:lang w:eastAsia="fr-FR"/>
        </w:rPr>
        <w:t xml:space="preserve"> une aide à la recherche grandement appréciée par les chercheurs</w:t>
      </w:r>
      <w:r>
        <w:rPr>
          <w:rStyle w:val="2079"/>
          <w:rFonts w:ascii="Times New Roman" w:hAnsi="Times New Roman" w:cs="Times New Roman"/>
          <w:sz w:val="20"/>
          <w:szCs w:val="20"/>
          <w:lang w:eastAsia="fr-FR"/>
        </w:rPr>
        <w:footnoteReference w:id="84"/>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Dans Codex, on observe </w:t>
      </w:r>
      <w:r>
        <w:rPr>
          <w:sz w:val="20"/>
          <w:szCs w:val="20"/>
          <w:lang w:eastAsia="fr-FR"/>
        </w:rPr>
        <w:t xml:space="preserve">que </w:t>
      </w:r>
      <w:r>
        <w:rPr>
          <w:sz w:val="20"/>
          <w:szCs w:val="20"/>
          <w:lang w:eastAsia="fr-FR"/>
        </w:rPr>
        <w:t xml:space="preserve">plusieurs visionneuses ont été mises à dispositions ce qui est un avantage certain dans le cas où l’on souhaite élargir son public. En donnant au lecteur, le choix de l’utilisation de la visionneuse entre une plus simple à prendre en main, </w:t>
      </w:r>
      <w:r>
        <w:rPr>
          <w:i/>
          <w:sz w:val="20"/>
          <w:szCs w:val="20"/>
          <w:lang w:eastAsia="fr-FR"/>
        </w:rPr>
        <w:t xml:space="preserve">UniversalViewer</w:t>
      </w:r>
      <w:r>
        <w:rPr>
          <w:sz w:val="20"/>
          <w:szCs w:val="20"/>
          <w:lang w:eastAsia="fr-FR"/>
        </w:rPr>
        <w:t xml:space="preserve"> et celle plus technique, </w:t>
      </w:r>
      <w:r>
        <w:rPr>
          <w:i/>
          <w:sz w:val="20"/>
          <w:szCs w:val="20"/>
          <w:lang w:eastAsia="fr-FR"/>
        </w:rPr>
        <w:t xml:space="preserve">Mirador</w:t>
      </w:r>
      <w:r>
        <w:rPr>
          <w:rStyle w:val="2079"/>
          <w:rFonts w:ascii="Times New Roman" w:hAnsi="Times New Roman" w:cs="Times New Roman"/>
          <w:i/>
          <w:sz w:val="20"/>
          <w:szCs w:val="20"/>
          <w:lang w:eastAsia="fr-FR"/>
        </w:rPr>
        <w:footnoteReference w:id="85"/>
      </w:r>
      <w:r>
        <w:rPr>
          <w:sz w:val="20"/>
          <w:szCs w:val="20"/>
          <w:lang w:eastAsia="fr-FR"/>
        </w:rPr>
        <w:t xml:space="preserve">. Cela laisse l’utilisateur libre sur la manière dont il souhaite consulter le document en ligne tout en limitant la frustration de celui-ci dans le cas où il aurait d</w:t>
      </w:r>
      <w:r>
        <w:rPr>
          <w:sz w:val="20"/>
          <w:szCs w:val="20"/>
          <w:lang w:eastAsia="fr-FR"/>
        </w:rPr>
        <w:t xml:space="preserve">u</w:t>
      </w:r>
      <w:r>
        <w:rPr>
          <w:sz w:val="20"/>
          <w:szCs w:val="20"/>
          <w:lang w:eastAsia="fr-FR"/>
        </w:rPr>
        <w:t xml:space="preserve"> mal à </w:t>
      </w:r>
      <w:r>
        <w:rPr>
          <w:sz w:val="20"/>
          <w:szCs w:val="20"/>
          <w:lang w:eastAsia="fr-FR"/>
        </w:rPr>
        <w:t xml:space="preserve">en </w:t>
      </w:r>
      <w:r>
        <w:rPr>
          <w:sz w:val="20"/>
          <w:szCs w:val="20"/>
          <w:lang w:eastAsia="fr-FR"/>
        </w:rPr>
        <w:t xml:space="preserve">utiliser une.</w:t>
      </w:r>
      <w:r>
        <w:rPr>
          <w:sz w:val="20"/>
          <w:szCs w:val="20"/>
          <w:lang w:eastAsia="fr-FR"/>
        </w:rPr>
      </w:r>
    </w:p>
    <w:p>
      <w:pPr>
        <w:pBdr/>
        <w:spacing w:line="240" w:lineRule="auto"/>
        <w:ind/>
        <w:rPr>
          <w:sz w:val="20"/>
          <w:szCs w:val="20"/>
          <w:lang w:eastAsia="fr-FR"/>
        </w:rPr>
      </w:pPr>
      <w:r>
        <w:rPr>
          <w:sz w:val="20"/>
          <w:szCs w:val="20"/>
          <w:lang w:eastAsia="fr-FR"/>
        </w:rPr>
        <w:t xml:space="preserve">Toutefois, dans Codex, on remarque que </w:t>
      </w:r>
      <w:r>
        <w:rPr>
          <w:sz w:val="20"/>
          <w:szCs w:val="20"/>
          <w:lang w:eastAsia="fr-FR"/>
        </w:rPr>
        <w:t xml:space="preserve">Mirador a du</w:t>
      </w:r>
      <w:r>
        <w:rPr>
          <w:sz w:val="20"/>
          <w:szCs w:val="20"/>
          <w:lang w:eastAsia="fr-FR"/>
        </w:rPr>
        <w:t xml:space="preserve"> mal à afficher la table des matières</w:t>
      </w:r>
      <w:r>
        <w:rPr>
          <w:sz w:val="20"/>
          <w:szCs w:val="20"/>
          <w:lang w:eastAsia="fr-FR"/>
        </w:rPr>
        <w:t xml:space="preserve">, en raison du niveau d’arborescence et de caractères trop restreints</w:t>
      </w:r>
      <w:r>
        <w:rPr>
          <w:rStyle w:val="2079"/>
          <w:rFonts w:ascii="Times New Roman" w:hAnsi="Times New Roman" w:cs="Times New Roman"/>
          <w:sz w:val="20"/>
          <w:szCs w:val="20"/>
          <w:lang w:eastAsia="fr-FR"/>
        </w:rPr>
        <w:footnoteReference w:id="86"/>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Les chercheurs </w:t>
      </w:r>
      <w:r>
        <w:rPr>
          <w:sz w:val="20"/>
          <w:szCs w:val="20"/>
          <w:lang w:eastAsia="fr-FR"/>
        </w:rPr>
        <w:t xml:space="preserve">sont satisfaits</w:t>
      </w:r>
      <w:r>
        <w:rPr>
          <w:sz w:val="20"/>
          <w:szCs w:val="20"/>
          <w:lang w:eastAsia="fr-FR"/>
        </w:rPr>
        <w:t xml:space="preserve"> de pouvoir télécharger le document sous format PDF</w:t>
      </w:r>
      <w:r>
        <w:rPr>
          <w:rStyle w:val="2079"/>
          <w:rFonts w:ascii="Times New Roman" w:hAnsi="Times New Roman" w:cs="Times New Roman"/>
          <w:sz w:val="20"/>
          <w:szCs w:val="20"/>
          <w:lang w:eastAsia="fr-FR"/>
        </w:rPr>
        <w:footnoteReference w:id="87"/>
      </w:r>
      <w:r>
        <w:rPr>
          <w:sz w:val="20"/>
          <w:szCs w:val="20"/>
          <w:lang w:eastAsia="fr-FR"/>
        </w:rPr>
        <w:t xml:space="preserve">. C’est un format que tous connaissent et apprécient.</w:t>
      </w:r>
      <w:r>
        <w:rPr>
          <w:sz w:val="20"/>
          <w:szCs w:val="20"/>
          <w:lang w:eastAsia="fr-FR"/>
        </w:rPr>
      </w:r>
    </w:p>
    <w:p>
      <w:pPr>
        <w:pStyle w:val="2058"/>
        <w:numPr>
          <w:ilvl w:val="1"/>
          <w:numId w:val="29"/>
        </w:numPr>
        <w:pBdr/>
        <w:spacing w:line="240" w:lineRule="auto"/>
        <w:ind/>
        <w:rPr/>
      </w:pPr>
      <w:r/>
      <w:bookmarkStart w:id="50" w:name="_Toc236222446"/>
      <w:r>
        <w:t xml:space="preserve">Les propositions d’amélioration</w:t>
      </w:r>
      <w:r>
        <w:t xml:space="preserve"> des répondants</w:t>
      </w:r>
      <w:bookmarkEnd w:id="50"/>
      <w:r/>
      <w:r/>
    </w:p>
    <w:p>
      <w:pPr>
        <w:pBdr/>
        <w:spacing w:line="240" w:lineRule="auto"/>
        <w:ind/>
        <w:rPr>
          <w:sz w:val="20"/>
          <w:szCs w:val="20"/>
          <w:lang w:eastAsia="fr-FR"/>
        </w:rPr>
      </w:pPr>
      <w:r>
        <w:rPr>
          <w:sz w:val="20"/>
          <w:szCs w:val="20"/>
          <w:lang w:eastAsia="fr-FR"/>
        </w:rPr>
        <w:t xml:space="preserve">Les chercheurs aimeraient avoir la possibilité de pouvoir comparer deux documents sur la même interface, ou d’extraire une partie du texte qui les intéressent afin de les mettre dans leurs cours</w:t>
      </w:r>
      <w:r>
        <w:rPr>
          <w:rStyle w:val="2079"/>
          <w:rFonts w:ascii="Times New Roman" w:hAnsi="Times New Roman" w:cs="Times New Roman"/>
          <w:sz w:val="20"/>
          <w:szCs w:val="20"/>
          <w:lang w:eastAsia="fr-FR"/>
        </w:rPr>
        <w:footnoteReference w:id="88"/>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Les chercheurs sont nombreux à souhaiter disposer d’un téléchargement leur permettant de ne télécharger qu’une partie du document et de sélectionner les pages qu’ils souhaitent</w:t>
      </w:r>
      <w:r>
        <w:rPr>
          <w:rStyle w:val="2079"/>
          <w:rFonts w:ascii="Times New Roman" w:hAnsi="Times New Roman" w:cs="Times New Roman"/>
          <w:sz w:val="20"/>
          <w:szCs w:val="20"/>
          <w:lang w:eastAsia="fr-FR"/>
        </w:rPr>
        <w:footnoteReference w:id="89"/>
      </w:r>
      <w:r>
        <w:rPr>
          <w:sz w:val="20"/>
          <w:szCs w:val="20"/>
          <w:lang w:eastAsia="fr-FR"/>
        </w:rPr>
        <w:t xml:space="preserve">. </w:t>
      </w:r>
      <w:r>
        <w:rPr>
          <w:sz w:val="20"/>
          <w:szCs w:val="20"/>
          <w:lang w:eastAsia="fr-FR"/>
        </w:rPr>
        <w:t xml:space="preserve">Le cas échéant, il serait apprécié de pouvoir conserver </w:t>
      </w:r>
      <w:r>
        <w:rPr>
          <w:sz w:val="20"/>
          <w:szCs w:val="20"/>
          <w:lang w:eastAsia="fr-FR"/>
        </w:rPr>
        <w:t xml:space="preserve">la page de garde de l’ouvrage permettant de savoir d’où l’information a été extraite</w:t>
      </w:r>
      <w:r>
        <w:rPr>
          <w:rStyle w:val="2079"/>
          <w:rFonts w:ascii="Times New Roman" w:hAnsi="Times New Roman" w:cs="Times New Roman"/>
          <w:sz w:val="20"/>
          <w:szCs w:val="20"/>
          <w:lang w:eastAsia="fr-FR"/>
        </w:rPr>
        <w:footnoteReference w:id="90"/>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Les chercheurs apprécieraient de disposer de </w:t>
      </w:r>
      <w:r>
        <w:rPr>
          <w:sz w:val="20"/>
          <w:szCs w:val="20"/>
          <w:lang w:eastAsia="fr-FR"/>
        </w:rPr>
        <w:t xml:space="preserve">la référence bibliographique complète de l’ouvrage. Cela leur ferait gagner </w:t>
      </w:r>
      <w:r>
        <w:rPr>
          <w:sz w:val="20"/>
          <w:szCs w:val="20"/>
          <w:lang w:eastAsia="fr-FR"/>
        </w:rPr>
        <w:t xml:space="preserve">du temps en ayant simplement qu’à faire un copier-coller dans leur document</w:t>
      </w:r>
      <w:r>
        <w:rPr>
          <w:rStyle w:val="2079"/>
          <w:rFonts w:ascii="Times New Roman" w:hAnsi="Times New Roman" w:cs="Times New Roman"/>
          <w:sz w:val="20"/>
          <w:szCs w:val="20"/>
          <w:lang w:eastAsia="fr-FR"/>
        </w:rPr>
        <w:footnoteReference w:id="91"/>
      </w:r>
      <w:r>
        <w:rPr>
          <w:sz w:val="20"/>
          <w:szCs w:val="20"/>
          <w:lang w:eastAsia="fr-FR"/>
        </w:rPr>
        <w:t xml:space="preserve">. </w:t>
      </w:r>
      <w:r>
        <w:rPr>
          <w:sz w:val="20"/>
          <w:szCs w:val="20"/>
          <w:lang w:eastAsia="fr-FR"/>
        </w:rPr>
        <w:t xml:space="preserve"> </w:t>
      </w:r>
      <w:r>
        <w:rPr>
          <w:sz w:val="20"/>
          <w:szCs w:val="20"/>
          <w:lang w:eastAsia="fr-FR"/>
        </w:rPr>
      </w:r>
    </w:p>
    <w:p>
      <w:pPr>
        <w:pStyle w:val="2057"/>
        <w:numPr>
          <w:ilvl w:val="0"/>
          <w:numId w:val="29"/>
        </w:numPr>
        <w:pBdr/>
        <w:spacing w:line="240" w:lineRule="auto"/>
        <w:ind/>
        <w:rPr/>
      </w:pPr>
      <w:r/>
      <w:bookmarkStart w:id="51" w:name="_Toc236222447"/>
      <w:r>
        <w:t xml:space="preserve">Les services proposés</w:t>
      </w:r>
      <w:bookmarkEnd w:id="51"/>
      <w:r/>
      <w:r/>
    </w:p>
    <w:p>
      <w:pPr>
        <w:pStyle w:val="2058"/>
        <w:numPr>
          <w:ilvl w:val="1"/>
          <w:numId w:val="29"/>
        </w:numPr>
        <w:pBdr/>
        <w:spacing w:line="240" w:lineRule="auto"/>
        <w:ind/>
        <w:rPr/>
      </w:pPr>
      <w:r/>
      <w:bookmarkStart w:id="52" w:name="_Toc236222448"/>
      <w:r>
        <w:t xml:space="preserve">L’analyse de l’existant</w:t>
      </w:r>
      <w:bookmarkEnd w:id="52"/>
      <w:r/>
      <w:r/>
    </w:p>
    <w:p>
      <w:pPr>
        <w:pBdr/>
        <w:spacing w:line="240" w:lineRule="auto"/>
        <w:ind/>
        <w:rPr>
          <w:sz w:val="20"/>
        </w:rPr>
      </w:pPr>
      <w:r>
        <w:rPr>
          <w:sz w:val="20"/>
        </w:rPr>
        <w:t xml:space="preserve">Actuellement, peu de services sont proposés dans la bibliothèque numéri</w:t>
      </w:r>
      <w:r>
        <w:rPr>
          <w:sz w:val="20"/>
        </w:rPr>
        <w:t xml:space="preserve">que. La bibliothèque ne propose pas la possibilité de créer un compte personnel afin d’y enregistrer son historique de recherche, ou mettre en favoris des ouvrages que la personne repère. Il est également impossible d’exporter une référence bibliographique</w:t>
      </w:r>
      <w:r>
        <w:rPr>
          <w:rStyle w:val="2079"/>
          <w:rFonts w:ascii="Times New Roman" w:hAnsi="Times New Roman" w:cs="Times New Roman"/>
          <w:sz w:val="20"/>
        </w:rPr>
        <w:footnoteReference w:id="92"/>
      </w:r>
      <w:r>
        <w:rPr>
          <w:sz w:val="20"/>
        </w:rPr>
        <w:t xml:space="preserve">.</w:t>
      </w:r>
      <w:r>
        <w:rPr>
          <w:sz w:val="20"/>
        </w:rPr>
      </w:r>
    </w:p>
    <w:p>
      <w:pPr>
        <w:pBdr/>
        <w:spacing w:line="240" w:lineRule="auto"/>
        <w:ind/>
        <w:rPr>
          <w:sz w:val="20"/>
        </w:rPr>
      </w:pPr>
      <w:r>
        <w:rPr>
          <w:sz w:val="20"/>
        </w:rPr>
        <w:t xml:space="preserve">La bibliothèque numérique propose la possibilité de se constituer un panier de recherche</w:t>
      </w:r>
      <w:r>
        <w:rPr>
          <w:sz w:val="20"/>
        </w:rPr>
        <w:t xml:space="preserve">. Il permet de mettre les favoris dans</w:t>
      </w:r>
      <w:r>
        <w:rPr>
          <w:sz w:val="20"/>
        </w:rPr>
        <w:t xml:space="preserve"> le panier que l’on peut s’envoyer par mail sous forme de liste. Cependant, la liste ne parvint pas à être envoyé à cause d’une « erreur de servlet inattendue ». La connexion est refusée rendant impossible l’envoi par mail de la liste d’ouvrage sélectionné</w:t>
      </w:r>
      <w:r>
        <w:rPr>
          <w:sz w:val="20"/>
          <w:vertAlign w:val="superscript"/>
        </w:rPr>
        <w:footnoteReference w:id="93"/>
      </w:r>
      <w:r>
        <w:rPr>
          <w:sz w:val="20"/>
        </w:rPr>
        <w:t xml:space="preserve">. Par ailleurs, il n’est pas possible de conserver l’historique des requêtes de recherche ou d’ajouter des libellés afin de regrouper les documents traitant d’un sujet identique.</w:t>
      </w:r>
      <w:r>
        <w:rPr>
          <w:sz w:val="20"/>
        </w:rPr>
        <w:t xml:space="preserve"> Un autre problème est la perte des favoris </w:t>
      </w:r>
      <w:r>
        <w:rPr>
          <w:sz w:val="20"/>
        </w:rPr>
        <w:t xml:space="preserve">collectés par les lecteurs lorsque l’on ferme la page du site. Le panier ne garde pas en mémoire les favoris</w:t>
      </w:r>
      <w:r>
        <w:rPr>
          <w:sz w:val="20"/>
          <w:vertAlign w:val="superscript"/>
        </w:rPr>
        <w:footnoteReference w:id="94"/>
      </w:r>
      <w:r>
        <w:rPr>
          <w:sz w:val="20"/>
        </w:rPr>
        <w:t xml:space="preserve">. </w:t>
      </w:r>
      <w:r>
        <w:rPr>
          <w:sz w:val="20"/>
        </w:rPr>
        <w:t xml:space="preserve">L</w:t>
      </w:r>
      <w:r>
        <w:rPr>
          <w:sz w:val="20"/>
        </w:rPr>
        <w:t xml:space="preserve">es lecteurs ne perçoive</w:t>
      </w:r>
      <w:r>
        <w:rPr>
          <w:sz w:val="20"/>
        </w:rPr>
        <w:t xml:space="preserve">nt pas l’intérêt de ce service.</w:t>
      </w:r>
      <w:r>
        <w:rPr>
          <w:sz w:val="20"/>
        </w:rPr>
      </w:r>
    </w:p>
    <w:p>
      <w:pPr>
        <w:pStyle w:val="2058"/>
        <w:numPr>
          <w:ilvl w:val="1"/>
          <w:numId w:val="29"/>
        </w:numPr>
        <w:pBdr/>
        <w:spacing w:line="240" w:lineRule="auto"/>
        <w:ind/>
        <w:rPr>
          <w:lang w:eastAsia="fr-FR"/>
        </w:rPr>
      </w:pPr>
      <w:r/>
      <w:bookmarkStart w:id="53" w:name="_Toc236222449"/>
      <w:r>
        <w:rPr>
          <w:lang w:eastAsia="fr-FR"/>
        </w:rPr>
        <w:t xml:space="preserve">Les propositions d’amélioration</w:t>
      </w:r>
      <w:bookmarkEnd w:id="53"/>
      <w:r/>
      <w:r>
        <w:rPr>
          <w:lang w:eastAsia="fr-FR"/>
        </w:rPr>
      </w:r>
    </w:p>
    <w:p>
      <w:pPr>
        <w:pBdr/>
        <w:spacing w:line="240" w:lineRule="auto"/>
        <w:ind/>
        <w:rPr>
          <w:sz w:val="20"/>
          <w:lang w:eastAsia="fr-FR"/>
        </w:rPr>
      </w:pPr>
      <w:r>
        <w:rPr>
          <w:sz w:val="20"/>
          <w:lang w:eastAsia="fr-FR"/>
        </w:rPr>
        <w:t xml:space="preserve">Grâce au retour d’enquête, on a pu voir </w:t>
      </w:r>
      <w:r>
        <w:rPr>
          <w:sz w:val="20"/>
          <w:lang w:eastAsia="fr-FR"/>
        </w:rPr>
        <w:t xml:space="preserve">que parmi les différents services proposés, celui d’avoir un compte personnel ressort. Nombreux sont </w:t>
      </w:r>
      <w:r>
        <w:rPr>
          <w:sz w:val="20"/>
          <w:lang w:eastAsia="fr-FR"/>
        </w:rPr>
        <w:t xml:space="preserve">les répondants</w:t>
      </w:r>
      <w:r>
        <w:rPr>
          <w:sz w:val="20"/>
          <w:lang w:eastAsia="fr-FR"/>
        </w:rPr>
        <w:t xml:space="preserve"> qui aimerai</w:t>
      </w:r>
      <w:r>
        <w:rPr>
          <w:sz w:val="20"/>
          <w:lang w:eastAsia="fr-FR"/>
        </w:rPr>
        <w:t xml:space="preserve">en</w:t>
      </w:r>
      <w:r>
        <w:rPr>
          <w:sz w:val="20"/>
          <w:lang w:eastAsia="fr-FR"/>
        </w:rPr>
        <w:t xml:space="preserve">t avoir la possibilité de pouvoir enregistrer en favoris les ouvrages consultés, tout en permettant de se créer une arborescence avec des fichiers afin de les classer</w:t>
      </w:r>
      <w:r>
        <w:rPr>
          <w:rStyle w:val="2079"/>
          <w:rFonts w:ascii="Times New Roman" w:hAnsi="Times New Roman" w:cs="Times New Roman"/>
          <w:sz w:val="20"/>
          <w:lang w:eastAsia="fr-FR"/>
        </w:rPr>
        <w:footnoteReference w:id="95"/>
      </w:r>
      <w:r>
        <w:rPr>
          <w:sz w:val="20"/>
          <w:lang w:eastAsia="fr-FR"/>
        </w:rPr>
        <w:t xml:space="preserve">. </w:t>
      </w:r>
      <w:r>
        <w:rPr>
          <w:sz w:val="20"/>
          <w:lang w:eastAsia="fr-FR"/>
        </w:rPr>
        <w:t xml:space="preserve">Pour </w:t>
      </w:r>
      <w:r>
        <w:rPr>
          <w:sz w:val="20"/>
          <w:lang w:eastAsia="fr-FR"/>
        </w:rPr>
        <w:t xml:space="preserve">une majorité</w:t>
      </w:r>
      <w:r>
        <w:rPr>
          <w:sz w:val="20"/>
          <w:lang w:eastAsia="fr-FR"/>
        </w:rPr>
        <w:t xml:space="preserve">, l</w:t>
      </w:r>
      <w:r>
        <w:rPr>
          <w:sz w:val="20"/>
          <w:lang w:eastAsia="fr-FR"/>
        </w:rPr>
        <w:t xml:space="preserve">e compte personnel n’a pas </w:t>
      </w:r>
      <w:r>
        <w:rPr>
          <w:sz w:val="20"/>
          <w:lang w:eastAsia="fr-FR"/>
        </w:rPr>
        <w:t xml:space="preserve">besoin d’être très sophistiqué et peut proposer des fonctionnalités simples</w:t>
      </w:r>
      <w:r>
        <w:rPr>
          <w:rStyle w:val="2079"/>
          <w:rFonts w:ascii="Times New Roman" w:hAnsi="Times New Roman" w:cs="Times New Roman"/>
          <w:sz w:val="20"/>
          <w:lang w:eastAsia="fr-FR"/>
        </w:rPr>
        <w:footnoteReference w:id="96"/>
      </w:r>
      <w:r>
        <w:rPr>
          <w:sz w:val="20"/>
          <w:lang w:eastAsia="fr-FR"/>
        </w:rPr>
        <w:t xml:space="preserve">. </w:t>
      </w:r>
      <w:r>
        <w:rPr>
          <w:sz w:val="20"/>
          <w:lang w:eastAsia="fr-FR"/>
        </w:rPr>
      </w:r>
    </w:p>
    <w:p>
      <w:pPr>
        <w:pBdr/>
        <w:spacing w:line="240" w:lineRule="auto"/>
        <w:ind/>
        <w:rPr>
          <w:sz w:val="20"/>
          <w:lang w:eastAsia="fr-FR"/>
        </w:rPr>
      </w:pPr>
      <w:r>
        <w:rPr>
          <w:sz w:val="20"/>
          <w:lang w:eastAsia="fr-FR"/>
        </w:rPr>
        <w:t xml:space="preserve">Les personnels de Cujas et les lecteurs se rejoignent sur la possibilité d’avoir accès à un compte personnel depuis la bibliothèque numérique. Il faudrait que celui-ci permette de mettre en favoris les ouvrages</w:t>
      </w:r>
      <w:r>
        <w:rPr>
          <w:sz w:val="20"/>
          <w:lang w:eastAsia="fr-FR"/>
        </w:rPr>
        <w:t xml:space="preserve">, d’enregistrer les requêtes, d’avoir un historique de recherche et de pouvoir faire une faire une recherche uniquement dans les favoris. Le compte personnel devrait aussi donner la possibilité de partager des documents et de paramétrer des notifications. </w:t>
      </w:r>
      <w:r>
        <w:rPr>
          <w:sz w:val="20"/>
          <w:lang w:eastAsia="fr-FR"/>
        </w:rPr>
        <w:t xml:space="preserve">La notification permettrait d’alerter le lecteur lorsqu’un ouvrage mis en ligne, serait susceptible de l’intéresser</w:t>
      </w:r>
      <w:r>
        <w:rPr>
          <w:rStyle w:val="2079"/>
          <w:rFonts w:ascii="Times New Roman" w:hAnsi="Times New Roman" w:cs="Times New Roman"/>
          <w:sz w:val="20"/>
          <w:lang w:eastAsia="fr-FR"/>
        </w:rPr>
        <w:footnoteReference w:id="97"/>
      </w:r>
      <w:r>
        <w:rPr>
          <w:sz w:val="20"/>
          <w:lang w:eastAsia="fr-FR"/>
        </w:rPr>
        <w:t xml:space="preserve">. </w:t>
      </w:r>
      <w:r>
        <w:rPr>
          <w:sz w:val="20"/>
          <w:lang w:eastAsia="fr-FR"/>
        </w:rPr>
      </w:r>
    </w:p>
    <w:p>
      <w:pPr>
        <w:pBdr/>
        <w:spacing w:line="240" w:lineRule="auto"/>
        <w:ind/>
        <w:rPr>
          <w:sz w:val="20"/>
          <w:lang w:eastAsia="fr-FR"/>
        </w:rPr>
      </w:pPr>
      <w:r>
        <w:rPr>
          <w:sz w:val="20"/>
          <w:lang w:eastAsia="fr-FR"/>
        </w:rPr>
        <w:t xml:space="preserve">La direction aimerait beaucoup qu’il soit possible avec la refonte de la bibliothèque numérique de pouvoir mettre en place des services plus avancées permettant la fouille de texte. </w:t>
      </w:r>
      <w:r>
        <w:rPr>
          <w:sz w:val="20"/>
          <w:lang w:eastAsia="fr-FR"/>
        </w:rPr>
        <w:t xml:space="preserve">Elle</w:t>
      </w:r>
      <w:r>
        <w:rPr>
          <w:sz w:val="20"/>
          <w:lang w:eastAsia="fr-FR"/>
        </w:rPr>
        <w:t xml:space="preserve"> propose </w:t>
      </w:r>
      <w:r>
        <w:rPr>
          <w:sz w:val="20"/>
          <w:lang w:eastAsia="fr-FR"/>
        </w:rPr>
        <w:t xml:space="preserve">pour ce faire </w:t>
      </w:r>
      <w:r>
        <w:rPr>
          <w:sz w:val="20"/>
          <w:lang w:eastAsia="fr-FR"/>
        </w:rPr>
        <w:t xml:space="preserve">de s’app</w:t>
      </w:r>
      <w:r>
        <w:rPr>
          <w:sz w:val="20"/>
          <w:lang w:eastAsia="fr-FR"/>
        </w:rPr>
        <w:t xml:space="preserve">uyer sur les ressources d’ISTEX. Par exemple, </w:t>
      </w:r>
      <w:r>
        <w:rPr>
          <w:sz w:val="20"/>
          <w:lang w:eastAsia="fr-FR"/>
        </w:rPr>
        <w:t xml:space="preserve">on pourrait permettre à travers une requête SQL, la création d’un corpus de document généré à la volée</w:t>
      </w:r>
      <w:r>
        <w:rPr>
          <w:rStyle w:val="2079"/>
          <w:rFonts w:ascii="Times New Roman" w:hAnsi="Times New Roman" w:cs="Times New Roman"/>
          <w:sz w:val="20"/>
          <w:lang w:eastAsia="fr-FR"/>
        </w:rPr>
        <w:footnoteReference w:id="98"/>
      </w:r>
      <w:r>
        <w:rPr>
          <w:sz w:val="20"/>
          <w:lang w:eastAsia="fr-FR"/>
        </w:rPr>
        <w:t xml:space="preserve"> pour les chercheurs qui souhaitent réaliser une fouille de textes</w:t>
      </w:r>
      <w:r>
        <w:rPr>
          <w:sz w:val="20"/>
          <w:lang w:eastAsia="fr-FR"/>
        </w:rPr>
        <w:t xml:space="preserve">. </w:t>
      </w:r>
      <w:r>
        <w:rPr>
          <w:sz w:val="20"/>
          <w:lang w:eastAsia="fr-FR"/>
        </w:rPr>
        <w:t xml:space="preserve"> </w:t>
      </w:r>
      <w:r>
        <w:rPr>
          <w:sz w:val="20"/>
          <w:lang w:eastAsia="fr-FR"/>
        </w:rPr>
      </w:r>
    </w:p>
    <w:p>
      <w:pPr>
        <w:pBdr/>
        <w:spacing w:line="240" w:lineRule="auto"/>
        <w:ind/>
        <w:rPr>
          <w:sz w:val="20"/>
          <w:lang w:eastAsia="fr-FR"/>
        </w:rPr>
      </w:pPr>
      <w:r>
        <w:rPr>
          <w:sz w:val="20"/>
          <w:lang w:eastAsia="fr-FR"/>
        </w:rPr>
        <w:t xml:space="preserve">Enfin, un enseignant-chercheur recommande de mettre en avant la bibliothèque numérique Cujas à travers les réseaux sociaux afin de rendre la bibliothèque davantage visible</w:t>
      </w:r>
      <w:r>
        <w:rPr>
          <w:rStyle w:val="2079"/>
          <w:rFonts w:ascii="Times New Roman" w:hAnsi="Times New Roman" w:cs="Times New Roman"/>
          <w:sz w:val="20"/>
          <w:lang w:eastAsia="fr-FR"/>
        </w:rPr>
        <w:footnoteReference w:id="99"/>
      </w:r>
      <w:r>
        <w:rPr>
          <w:sz w:val="20"/>
          <w:lang w:eastAsia="fr-FR"/>
        </w:rPr>
        <w:t xml:space="preserve">. </w:t>
      </w:r>
      <w:r>
        <w:rPr>
          <w:sz w:val="20"/>
          <w:lang w:eastAsia="fr-FR"/>
        </w:rPr>
      </w:r>
    </w:p>
    <w:p>
      <w:pPr>
        <w:pStyle w:val="2057"/>
        <w:numPr>
          <w:ilvl w:val="0"/>
          <w:numId w:val="29"/>
        </w:numPr>
        <w:pBdr/>
        <w:spacing w:line="240" w:lineRule="auto"/>
        <w:ind/>
        <w:rPr>
          <w:rFonts w:eastAsia="Times New Roman"/>
          <w:lang w:eastAsia="fr-FR"/>
        </w:rPr>
      </w:pPr>
      <w:r/>
      <w:bookmarkStart w:id="54" w:name="_Toc236222450"/>
      <w:r>
        <w:rPr>
          <w:rFonts w:eastAsia="Times New Roman"/>
          <w:lang w:eastAsia="fr-FR"/>
        </w:rPr>
        <w:t xml:space="preserve">Ergonomie</w:t>
      </w:r>
      <w:bookmarkEnd w:id="54"/>
      <w:r>
        <w:rPr>
          <w:rFonts w:eastAsia="Times New Roman"/>
          <w:lang w:eastAsia="fr-FR"/>
        </w:rPr>
        <w:t xml:space="preserve"> </w:t>
      </w:r>
      <w:r>
        <w:rPr>
          <w:rFonts w:eastAsia="Times New Roman"/>
          <w:lang w:eastAsia="fr-FR"/>
        </w:rPr>
      </w:r>
    </w:p>
    <w:p>
      <w:pPr>
        <w:pStyle w:val="2058"/>
        <w:numPr>
          <w:ilvl w:val="1"/>
          <w:numId w:val="29"/>
        </w:numPr>
        <w:pBdr/>
        <w:spacing w:line="240" w:lineRule="auto"/>
        <w:ind/>
        <w:rPr>
          <w:lang w:eastAsia="fr-FR"/>
        </w:rPr>
      </w:pPr>
      <w:r/>
      <w:bookmarkStart w:id="55" w:name="_Toc236222451"/>
      <w:r>
        <w:rPr>
          <w:lang w:eastAsia="fr-FR"/>
        </w:rPr>
        <w:t xml:space="preserve">L’analyse de l’existant</w:t>
      </w:r>
      <w:bookmarkEnd w:id="55"/>
      <w:r/>
      <w:r>
        <w:rPr>
          <w:lang w:eastAsia="fr-FR"/>
        </w:rPr>
      </w:r>
    </w:p>
    <w:p>
      <w:pPr>
        <w:pBdr/>
        <w:spacing w:line="240" w:lineRule="auto"/>
        <w:ind/>
        <w:rPr>
          <w:sz w:val="20"/>
          <w:szCs w:val="20"/>
          <w:lang w:eastAsia="fr-FR"/>
        </w:rPr>
      </w:pPr>
      <w:r>
        <w:rPr>
          <w:sz w:val="20"/>
          <w:szCs w:val="20"/>
          <w:lang w:eastAsia="fr-FR"/>
        </w:rPr>
        <w:t xml:space="preserve">Le prototype</w:t>
      </w:r>
      <w:r>
        <w:rPr>
          <w:sz w:val="20"/>
          <w:szCs w:val="20"/>
          <w:lang w:eastAsia="fr-FR"/>
        </w:rPr>
        <w:t xml:space="preserve"> Codex</w:t>
      </w:r>
      <w:r>
        <w:rPr>
          <w:sz w:val="20"/>
          <w:szCs w:val="20"/>
          <w:lang w:eastAsia="fr-FR"/>
        </w:rPr>
        <w:t xml:space="preserve"> et </w:t>
      </w:r>
      <w:r>
        <w:rPr>
          <w:sz w:val="20"/>
          <w:szCs w:val="20"/>
          <w:lang w:eastAsia="fr-FR"/>
        </w:rPr>
        <w:t xml:space="preserve">CujasNum</w:t>
      </w:r>
      <w:r>
        <w:rPr>
          <w:sz w:val="20"/>
          <w:szCs w:val="20"/>
          <w:lang w:eastAsia="fr-FR"/>
        </w:rPr>
        <w:t xml:space="preserve"> </w:t>
      </w:r>
      <w:r>
        <w:rPr>
          <w:sz w:val="20"/>
          <w:szCs w:val="20"/>
          <w:lang w:eastAsia="fr-FR"/>
        </w:rPr>
        <w:t xml:space="preserve">partagent, à quelques exceptions près,</w:t>
      </w:r>
      <w:r>
        <w:rPr>
          <w:sz w:val="20"/>
          <w:szCs w:val="20"/>
          <w:lang w:eastAsia="fr-FR"/>
        </w:rPr>
        <w:t xml:space="preserve"> la même présentation </w:t>
      </w:r>
      <w:r>
        <w:rPr>
          <w:sz w:val="20"/>
          <w:szCs w:val="20"/>
          <w:lang w:eastAsia="fr-FR"/>
        </w:rPr>
        <w:t xml:space="preserve">générale des éléments</w:t>
      </w:r>
      <w:r>
        <w:rPr>
          <w:sz w:val="20"/>
          <w:szCs w:val="20"/>
          <w:lang w:eastAsia="fr-FR"/>
        </w:rPr>
        <w:t xml:space="preserve">.</w:t>
      </w:r>
      <w:r>
        <w:rPr>
          <w:sz w:val="20"/>
          <w:szCs w:val="20"/>
          <w:lang w:eastAsia="fr-FR"/>
        </w:rPr>
        <w:t xml:space="preserve"> Cette architecture similaire permet à l’utilisateur de comprendre rapidement </w:t>
      </w:r>
      <w:r>
        <w:rPr>
          <w:sz w:val="20"/>
          <w:szCs w:val="20"/>
          <w:lang w:eastAsia="fr-FR"/>
        </w:rPr>
        <w:t xml:space="preserve">les</w:t>
      </w:r>
      <w:r>
        <w:rPr>
          <w:sz w:val="20"/>
          <w:szCs w:val="20"/>
          <w:lang w:eastAsia="fr-FR"/>
        </w:rPr>
        <w:t xml:space="preserve"> sources disponibles.</w:t>
      </w:r>
      <w:r>
        <w:rPr>
          <w:sz w:val="20"/>
          <w:szCs w:val="20"/>
          <w:lang w:eastAsia="fr-FR"/>
        </w:rPr>
        <w:t xml:space="preserve"> </w:t>
      </w:r>
      <w:r>
        <w:rPr>
          <w:sz w:val="20"/>
          <w:szCs w:val="20"/>
          <w:lang w:eastAsia="fr-FR"/>
        </w:rPr>
        <w:t xml:space="preserve">Toutefois, de la page d’accueil, nous n’avons pas accès à un plan du site.</w:t>
      </w:r>
      <w:r>
        <w:rPr>
          <w:sz w:val="20"/>
          <w:szCs w:val="20"/>
          <w:lang w:eastAsia="fr-FR"/>
        </w:rPr>
      </w:r>
    </w:p>
    <w:p>
      <w:pPr>
        <w:pBdr/>
        <w:spacing w:line="240" w:lineRule="auto"/>
        <w:ind/>
        <w:rPr>
          <w:sz w:val="20"/>
          <w:szCs w:val="20"/>
          <w:lang w:eastAsia="fr-FR"/>
        </w:rPr>
      </w:pPr>
      <w:r>
        <w:rPr>
          <w:sz w:val="20"/>
          <w:szCs w:val="20"/>
          <w:lang w:eastAsia="fr-FR"/>
        </w:rPr>
        <w:t xml:space="preserve">Dans Codex, certaines fonctionnalités sont répétées ou subdivisées en plusieurs endroits ce qui nuit à leur visibilité. </w:t>
      </w:r>
      <w:r>
        <w:rPr>
          <w:sz w:val="20"/>
          <w:szCs w:val="20"/>
          <w:lang w:eastAsia="fr-FR"/>
        </w:rPr>
        <w:t xml:space="preserve">C’est le cas de l</w:t>
      </w:r>
      <w:r>
        <w:rPr>
          <w:sz w:val="20"/>
          <w:szCs w:val="20"/>
          <w:lang w:eastAsia="fr-FR"/>
        </w:rPr>
        <w:t xml:space="preserve">a </w:t>
      </w:r>
      <w:r>
        <w:rPr>
          <w:sz w:val="20"/>
          <w:szCs w:val="20"/>
          <w:lang w:eastAsia="fr-FR"/>
        </w:rPr>
        <w:t xml:space="preserve">fonction de recherche, </w:t>
      </w:r>
      <w:r>
        <w:rPr>
          <w:sz w:val="20"/>
          <w:szCs w:val="20"/>
          <w:lang w:eastAsia="fr-FR"/>
        </w:rPr>
        <w:t xml:space="preserve">présente en plusieurs endroits avec des modalités différentes pas toujours compréhensibles : </w:t>
      </w:r>
      <w:r>
        <w:rPr>
          <w:sz w:val="20"/>
          <w:szCs w:val="20"/>
          <w:lang w:eastAsia="fr-FR"/>
        </w:rPr>
      </w:r>
    </w:p>
    <w:p>
      <w:pPr>
        <w:pStyle w:val="2066"/>
        <w:numPr>
          <w:ilvl w:val="0"/>
          <w:numId w:val="42"/>
        </w:numPr>
        <w:pBdr/>
        <w:spacing w:line="240" w:lineRule="auto"/>
        <w:ind/>
        <w:rPr>
          <w:rFonts w:ascii="Trebuchet MS" w:hAnsi="Trebuchet MS"/>
          <w:sz w:val="20"/>
          <w:szCs w:val="20"/>
          <w:lang w:eastAsia="fr-FR"/>
        </w:rPr>
      </w:pPr>
      <w:r>
        <w:rPr>
          <w:rFonts w:ascii="Trebuchet MS" w:hAnsi="Trebuchet MS"/>
          <w:sz w:val="20"/>
          <w:szCs w:val="20"/>
          <w:lang w:eastAsia="fr-FR"/>
        </w:rPr>
        <w:t xml:space="preserve">« Explorer » propose une recherche par filtrage dans l’ensemble du corpus, et est présent en deux endroits sur la page de titre.</w:t>
      </w:r>
      <w:r>
        <w:rPr>
          <w:rFonts w:ascii="Trebuchet MS" w:hAnsi="Trebuchet MS"/>
          <w:sz w:val="20"/>
          <w:szCs w:val="20"/>
          <w:lang w:eastAsia="fr-FR"/>
        </w:rPr>
      </w:r>
    </w:p>
    <w:p>
      <w:pPr>
        <w:pStyle w:val="2066"/>
        <w:numPr>
          <w:ilvl w:val="0"/>
          <w:numId w:val="42"/>
        </w:numPr>
        <w:pBdr/>
        <w:spacing w:line="240" w:lineRule="auto"/>
        <w:ind/>
        <w:rPr>
          <w:rFonts w:ascii="Trebuchet MS" w:hAnsi="Trebuchet MS"/>
          <w:sz w:val="20"/>
          <w:szCs w:val="20"/>
          <w:lang w:eastAsia="fr-FR"/>
        </w:rPr>
      </w:pPr>
      <w:r>
        <w:rPr>
          <w:rFonts w:ascii="Trebuchet MS" w:hAnsi="Trebuchet MS"/>
          <w:sz w:val="20"/>
          <w:szCs w:val="20"/>
          <w:lang w:eastAsia="fr-FR"/>
        </w:rPr>
        <w:t xml:space="preserve">L’onglet « rechercher » se subdivise en recherche avancée ou plein texte.</w:t>
      </w:r>
      <w:r>
        <w:rPr>
          <w:rFonts w:ascii="Trebuchet MS" w:hAnsi="Trebuchet MS"/>
          <w:sz w:val="20"/>
          <w:szCs w:val="20"/>
          <w:lang w:eastAsia="fr-FR"/>
        </w:rPr>
      </w:r>
    </w:p>
    <w:p>
      <w:pPr>
        <w:pStyle w:val="2066"/>
        <w:numPr>
          <w:ilvl w:val="0"/>
          <w:numId w:val="42"/>
        </w:numPr>
        <w:pBdr/>
        <w:spacing w:line="240" w:lineRule="auto"/>
        <w:ind/>
        <w:rPr>
          <w:rFonts w:ascii="Trebuchet MS" w:hAnsi="Trebuchet MS"/>
          <w:sz w:val="20"/>
          <w:szCs w:val="20"/>
          <w:lang w:eastAsia="fr-FR"/>
        </w:rPr>
      </w:pPr>
      <w:r>
        <w:rPr>
          <w:rFonts w:ascii="Trebuchet MS" w:hAnsi="Trebuchet MS"/>
          <w:sz w:val="20"/>
          <w:szCs w:val="20"/>
          <w:lang w:eastAsia="fr-FR"/>
        </w:rPr>
        <w:t xml:space="preserve">La barre de recherche Rechercher propose une recherche dont on ne sait si elle cherche dans l’ensemble du site, les métadonnées descriptives ou l’OCR</w:t>
      </w:r>
      <w:r>
        <w:rPr>
          <w:rStyle w:val="2079"/>
          <w:rFonts w:ascii="Trebuchet MS" w:hAnsi="Trebuchet MS" w:cs="Times New Roman"/>
          <w:sz w:val="20"/>
          <w:szCs w:val="20"/>
          <w:lang w:eastAsia="fr-FR"/>
        </w:rPr>
        <w:footnoteReference w:id="100"/>
      </w:r>
      <w:r>
        <w:rPr>
          <w:rFonts w:ascii="Trebuchet MS" w:hAnsi="Trebuchet MS"/>
          <w:sz w:val="20"/>
          <w:szCs w:val="20"/>
          <w:lang w:eastAsia="fr-FR"/>
        </w:rPr>
        <w:t xml:space="preserve">. </w:t>
      </w:r>
      <w:r>
        <w:rPr>
          <w:rFonts w:ascii="Trebuchet MS" w:hAnsi="Trebuchet MS"/>
          <w:sz w:val="20"/>
          <w:szCs w:val="20"/>
          <w:lang w:eastAsia="fr-FR"/>
        </w:rPr>
      </w:r>
    </w:p>
    <w:p>
      <w:pPr>
        <w:pBdr/>
        <w:spacing w:line="240" w:lineRule="auto"/>
        <w:ind/>
        <w:rPr>
          <w:sz w:val="20"/>
          <w:szCs w:val="20"/>
          <w:lang w:eastAsia="fr-FR"/>
        </w:rPr>
      </w:pPr>
      <w:r>
        <w:rPr>
          <w:sz w:val="20"/>
          <w:szCs w:val="20"/>
          <w:lang w:eastAsia="fr-FR"/>
        </w:rPr>
        <w:t xml:space="preserve">En revanche, l</w:t>
      </w:r>
      <w:r>
        <w:rPr>
          <w:sz w:val="20"/>
          <w:szCs w:val="20"/>
          <w:lang w:eastAsia="fr-FR"/>
        </w:rPr>
        <w:t xml:space="preserve">a page d’accueil </w:t>
      </w:r>
      <w:r>
        <w:rPr>
          <w:sz w:val="20"/>
          <w:szCs w:val="20"/>
          <w:lang w:eastAsia="fr-FR"/>
        </w:rPr>
        <w:t xml:space="preserve">introduit</w:t>
      </w:r>
      <w:r>
        <w:rPr>
          <w:sz w:val="20"/>
          <w:szCs w:val="20"/>
          <w:lang w:eastAsia="fr-FR"/>
        </w:rPr>
        <w:t xml:space="preserve"> de nouvelles fonctionnalités </w:t>
      </w:r>
      <w:r>
        <w:rPr>
          <w:sz w:val="20"/>
          <w:szCs w:val="20"/>
          <w:lang w:eastAsia="fr-FR"/>
        </w:rPr>
        <w:t xml:space="preserve">absentes de</w:t>
      </w:r>
      <w:r>
        <w:rPr>
          <w:sz w:val="20"/>
          <w:szCs w:val="20"/>
          <w:lang w:eastAsia="fr-FR"/>
        </w:rPr>
        <w:t xml:space="preserve"> </w:t>
      </w:r>
      <w:r>
        <w:rPr>
          <w:sz w:val="20"/>
          <w:szCs w:val="20"/>
          <w:lang w:eastAsia="fr-FR"/>
        </w:rPr>
        <w:t xml:space="preserve">CujasNum</w:t>
      </w:r>
      <w:r>
        <w:rPr>
          <w:sz w:val="20"/>
          <w:szCs w:val="20"/>
          <w:lang w:eastAsia="fr-FR"/>
        </w:rPr>
        <w:t xml:space="preserve">, </w:t>
      </w:r>
      <w:r>
        <w:rPr>
          <w:sz w:val="20"/>
          <w:szCs w:val="20"/>
          <w:lang w:eastAsia="fr-FR"/>
        </w:rPr>
        <w:t xml:space="preserve">telles qu’</w:t>
      </w:r>
      <w:r>
        <w:rPr>
          <w:sz w:val="20"/>
          <w:szCs w:val="20"/>
          <w:lang w:eastAsia="fr-FR"/>
        </w:rPr>
        <w:t xml:space="preserve">un espace actualité, les ouvrages récemment publiés ainsi que les </w:t>
      </w:r>
      <w:r>
        <w:rPr>
          <w:sz w:val="20"/>
          <w:szCs w:val="20"/>
          <w:lang w:eastAsia="fr-FR"/>
        </w:rPr>
        <w:t xml:space="preserve">documents les </w:t>
      </w:r>
      <w:r>
        <w:rPr>
          <w:sz w:val="20"/>
          <w:szCs w:val="20"/>
          <w:lang w:eastAsia="fr-FR"/>
        </w:rPr>
        <w:t xml:space="preserve">plus consultés. </w:t>
      </w:r>
      <w:r>
        <w:rPr>
          <w:sz w:val="20"/>
          <w:szCs w:val="20"/>
          <w:lang w:eastAsia="fr-FR"/>
        </w:rPr>
        <w:t xml:space="preserve">Ces ajouts dynamisent l’interface et</w:t>
      </w:r>
      <w:r>
        <w:rPr>
          <w:sz w:val="20"/>
          <w:szCs w:val="20"/>
          <w:lang w:eastAsia="fr-FR"/>
        </w:rPr>
        <w:t xml:space="preserve"> donne</w:t>
      </w:r>
      <w:r>
        <w:rPr>
          <w:sz w:val="20"/>
          <w:szCs w:val="20"/>
          <w:lang w:eastAsia="fr-FR"/>
        </w:rPr>
        <w:t xml:space="preserve">nt</w:t>
      </w:r>
      <w:r>
        <w:rPr>
          <w:sz w:val="20"/>
          <w:szCs w:val="20"/>
          <w:lang w:eastAsia="fr-FR"/>
        </w:rPr>
        <w:t xml:space="preserve"> de la « vie » à une bibliothèque numérique</w:t>
      </w:r>
      <w:r>
        <w:rPr>
          <w:rStyle w:val="2079"/>
          <w:rFonts w:ascii="Times New Roman" w:hAnsi="Times New Roman" w:cs="Times New Roman"/>
          <w:sz w:val="20"/>
          <w:szCs w:val="20"/>
          <w:lang w:eastAsia="fr-FR"/>
        </w:rPr>
        <w:footnoteReference w:id="101"/>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Cependant, </w:t>
      </w:r>
      <w:r>
        <w:rPr>
          <w:sz w:val="20"/>
          <w:szCs w:val="20"/>
          <w:lang w:eastAsia="fr-FR"/>
        </w:rPr>
        <w:t xml:space="preserve">CujasNum</w:t>
      </w:r>
      <w:r>
        <w:rPr>
          <w:sz w:val="20"/>
          <w:szCs w:val="20"/>
          <w:lang w:eastAsia="fr-FR"/>
        </w:rPr>
        <w:t xml:space="preserve"> ne propose pas de rebondir sur d’autres éléments dans la bibliothèque numérique tandis que Codex propose de rebondir depuis les sujets, la couverture géographique, la période</w:t>
      </w:r>
      <w:r>
        <w:rPr>
          <w:rStyle w:val="2079"/>
          <w:rFonts w:ascii="Times New Roman" w:hAnsi="Times New Roman" w:cs="Times New Roman"/>
          <w:sz w:val="20"/>
          <w:szCs w:val="20"/>
          <w:lang w:eastAsia="fr-FR"/>
        </w:rPr>
        <w:footnoteReference w:id="102"/>
      </w:r>
      <w:r>
        <w:rPr>
          <w:sz w:val="20"/>
          <w:szCs w:val="20"/>
          <w:lang w:eastAsia="fr-FR"/>
        </w:rPr>
        <w:t xml:space="preserve">.</w:t>
      </w:r>
      <w:r>
        <w:rPr>
          <w:sz w:val="20"/>
          <w:szCs w:val="20"/>
          <w:lang w:eastAsia="fr-FR"/>
        </w:rPr>
        <w:t xml:space="preserve"> </w:t>
      </w:r>
      <w:r>
        <w:rPr>
          <w:sz w:val="20"/>
          <w:szCs w:val="20"/>
          <w:lang w:eastAsia="fr-FR"/>
        </w:rPr>
        <w:t xml:space="preserve">Sur Codex, dans la notice du document, on trouve des documents similaires créant une </w:t>
      </w:r>
      <w:r>
        <w:rPr>
          <w:sz w:val="20"/>
          <w:szCs w:val="20"/>
          <w:lang w:eastAsia="fr-FR"/>
        </w:rPr>
        <w:t xml:space="preserve">autre forme de rebonds dans la bibliothèque numérique</w:t>
      </w:r>
      <w:r>
        <w:rPr>
          <w:rStyle w:val="2079"/>
          <w:rFonts w:ascii="Times New Roman" w:hAnsi="Times New Roman" w:cs="Times New Roman"/>
          <w:sz w:val="20"/>
          <w:szCs w:val="20"/>
          <w:lang w:eastAsia="fr-FR"/>
        </w:rPr>
        <w:footnoteReference w:id="103"/>
      </w:r>
      <w:r>
        <w:rPr>
          <w:sz w:val="20"/>
          <w:szCs w:val="20"/>
          <w:lang w:eastAsia="fr-FR"/>
        </w:rPr>
        <w:t xml:space="preserve">.</w:t>
      </w:r>
      <w:r>
        <w:rPr>
          <w:sz w:val="20"/>
          <w:szCs w:val="20"/>
          <w:lang w:eastAsia="fr-FR"/>
        </w:rPr>
        <w:t xml:space="preserve"> L’inconvénient est qu’on ignore comment ils sont construits.</w:t>
      </w:r>
      <w:r>
        <w:rPr>
          <w:sz w:val="20"/>
          <w:szCs w:val="20"/>
          <w:lang w:eastAsia="fr-FR"/>
        </w:rPr>
      </w:r>
    </w:p>
    <w:p>
      <w:pPr>
        <w:pBdr/>
        <w:spacing w:line="240" w:lineRule="auto"/>
        <w:ind/>
        <w:rPr>
          <w:sz w:val="20"/>
          <w:szCs w:val="20"/>
          <w:lang w:eastAsia="fr-FR"/>
        </w:rPr>
      </w:pPr>
      <w:r>
        <w:rPr>
          <w:sz w:val="20"/>
          <w:szCs w:val="20"/>
          <w:lang w:eastAsia="fr-FR"/>
        </w:rPr>
        <w:t xml:space="preserve">Concernant </w:t>
      </w:r>
      <w:r>
        <w:rPr>
          <w:sz w:val="20"/>
          <w:szCs w:val="20"/>
          <w:lang w:eastAsia="fr-FR"/>
        </w:rPr>
        <w:t xml:space="preserve">la page des « Collections »,</w:t>
      </w:r>
      <w:r>
        <w:rPr>
          <w:sz w:val="20"/>
          <w:szCs w:val="20"/>
          <w:lang w:eastAsia="fr-FR"/>
        </w:rPr>
        <w:t xml:space="preserve"> l’absence totale de présentation de l’espace nuit à sa compréhension. Le contenu s’avère </w:t>
      </w:r>
      <w:r>
        <w:rPr>
          <w:sz w:val="20"/>
          <w:szCs w:val="20"/>
          <w:lang w:eastAsia="fr-FR"/>
        </w:rPr>
        <w:t xml:space="preserve">confus</w:t>
      </w:r>
      <w:r>
        <w:rPr>
          <w:sz w:val="20"/>
          <w:szCs w:val="20"/>
          <w:lang w:eastAsia="fr-FR"/>
        </w:rPr>
        <w:t xml:space="preserve">,</w:t>
      </w:r>
      <w:r>
        <w:rPr>
          <w:sz w:val="20"/>
          <w:szCs w:val="20"/>
          <w:lang w:eastAsia="fr-FR"/>
        </w:rPr>
        <w:t xml:space="preserve"> car </w:t>
      </w:r>
      <w:r>
        <w:rPr>
          <w:sz w:val="20"/>
          <w:szCs w:val="20"/>
          <w:lang w:eastAsia="fr-FR"/>
        </w:rPr>
        <w:t xml:space="preserve">il</w:t>
      </w:r>
      <w:r>
        <w:rPr>
          <w:sz w:val="20"/>
          <w:szCs w:val="20"/>
          <w:lang w:eastAsia="fr-FR"/>
        </w:rPr>
        <w:t xml:space="preserve"> mélange une approche thématique avec une approche par corpus</w:t>
      </w:r>
      <w:r>
        <w:rPr>
          <w:sz w:val="20"/>
          <w:szCs w:val="20"/>
          <w:lang w:eastAsia="fr-FR"/>
        </w:rPr>
        <w:t xml:space="preserve"> sans les justifier, rendant la navigation peut lisible pour l’utilisateur</w:t>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Par ailleurs, il manque</w:t>
      </w:r>
      <w:r>
        <w:rPr>
          <w:sz w:val="20"/>
          <w:szCs w:val="20"/>
          <w:lang w:eastAsia="fr-FR"/>
        </w:rPr>
        <w:t xml:space="preserve"> </w:t>
      </w:r>
      <w:r>
        <w:rPr>
          <w:sz w:val="20"/>
          <w:szCs w:val="20"/>
          <w:lang w:eastAsia="fr-FR"/>
        </w:rPr>
        <w:t xml:space="preserve">– tant dans le prototype que sur </w:t>
      </w:r>
      <w:r>
        <w:rPr>
          <w:sz w:val="20"/>
          <w:szCs w:val="20"/>
          <w:lang w:eastAsia="fr-FR"/>
        </w:rPr>
        <w:t xml:space="preserve">Cuja</w:t>
      </w:r>
      <w:r>
        <w:rPr>
          <w:sz w:val="20"/>
          <w:szCs w:val="20"/>
          <w:lang w:eastAsia="fr-FR"/>
        </w:rPr>
        <w:t xml:space="preserve">sNum</w:t>
      </w:r>
      <w:r>
        <w:rPr>
          <w:sz w:val="20"/>
          <w:szCs w:val="20"/>
          <w:lang w:eastAsia="fr-FR"/>
        </w:rPr>
        <w:t xml:space="preserve"> – </w:t>
      </w:r>
      <w:r>
        <w:rPr>
          <w:sz w:val="20"/>
          <w:szCs w:val="20"/>
          <w:lang w:eastAsia="fr-FR"/>
        </w:rPr>
        <w:t xml:space="preserve">une page d’aide à l’utilisation permettant d’</w:t>
      </w:r>
      <w:r>
        <w:rPr>
          <w:sz w:val="20"/>
          <w:szCs w:val="20"/>
          <w:lang w:eastAsia="fr-FR"/>
        </w:rPr>
        <w:t xml:space="preserve">accompagner la prise en main de la bibliothèque numérique et de répondre aux questions courantes des usagers</w:t>
      </w:r>
      <w:r>
        <w:rPr>
          <w:rStyle w:val="2079"/>
          <w:rFonts w:ascii="Times New Roman" w:hAnsi="Times New Roman" w:cs="Times New Roman"/>
          <w:sz w:val="20"/>
          <w:szCs w:val="20"/>
          <w:lang w:eastAsia="fr-FR"/>
        </w:rPr>
        <w:footnoteReference w:id="104"/>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Enfin, bien que les deux sites s’adaptent aux différents formats d’écrans, ils ne sont que partiellement conformes aux normes d’accessibilité</w:t>
      </w:r>
      <w:r>
        <w:rPr>
          <w:rStyle w:val="2079"/>
          <w:rFonts w:ascii="Times New Roman" w:hAnsi="Times New Roman" w:cs="Times New Roman"/>
          <w:sz w:val="20"/>
          <w:szCs w:val="20"/>
          <w:lang w:eastAsia="fr-FR"/>
        </w:rPr>
        <w:footnoteReference w:id="105"/>
      </w:r>
      <w:r>
        <w:rPr>
          <w:sz w:val="20"/>
          <w:szCs w:val="20"/>
          <w:lang w:eastAsia="fr-FR"/>
        </w:rPr>
        <w:t xml:space="preserve">. Rien ne semble en effet avoir été mis en place pour permettre aux personnes en situation de handicap de l’utiliser convenablement.</w:t>
      </w:r>
      <w:r>
        <w:rPr>
          <w:sz w:val="20"/>
          <w:szCs w:val="20"/>
          <w:lang w:eastAsia="fr-FR"/>
        </w:rPr>
        <w:t xml:space="preserve"> </w:t>
      </w:r>
      <w:r>
        <w:rPr>
          <w:sz w:val="20"/>
          <w:szCs w:val="20"/>
          <w:lang w:eastAsia="fr-FR"/>
        </w:rPr>
      </w:r>
    </w:p>
    <w:p>
      <w:pPr>
        <w:pStyle w:val="2058"/>
        <w:numPr>
          <w:ilvl w:val="1"/>
          <w:numId w:val="29"/>
        </w:numPr>
        <w:pBdr/>
        <w:spacing w:line="240" w:lineRule="auto"/>
        <w:ind/>
        <w:rPr>
          <w:rFonts w:eastAsia="Times New Roman"/>
          <w:lang w:eastAsia="fr-FR"/>
        </w:rPr>
      </w:pPr>
      <w:r/>
      <w:bookmarkStart w:id="56" w:name="_Toc236222452"/>
      <w:r>
        <w:rPr>
          <w:rFonts w:eastAsia="Times New Roman"/>
          <w:lang w:eastAsia="fr-FR"/>
        </w:rPr>
        <w:t xml:space="preserve">Les propositions d’amélioration</w:t>
      </w:r>
      <w:bookmarkEnd w:id="56"/>
      <w:r/>
      <w:r>
        <w:rPr>
          <w:rFonts w:eastAsia="Times New Roman"/>
          <w:lang w:eastAsia="fr-FR"/>
        </w:rPr>
      </w:r>
    </w:p>
    <w:p>
      <w:pPr>
        <w:pBdr/>
        <w:spacing w:line="240" w:lineRule="auto"/>
        <w:ind/>
        <w:rPr>
          <w:sz w:val="20"/>
          <w:szCs w:val="20"/>
          <w:lang w:eastAsia="fr-FR"/>
        </w:rPr>
      </w:pPr>
      <w:r>
        <w:rPr>
          <w:sz w:val="20"/>
          <w:szCs w:val="20"/>
          <w:lang w:eastAsia="fr-FR"/>
        </w:rPr>
        <w:t xml:space="preserve">Dès l’ouverture de la bibliothèque numérique, il apparaît indispensable de proposer une présentation claire et synthétique de </w:t>
      </w:r>
      <w:r>
        <w:rPr>
          <w:sz w:val="20"/>
          <w:szCs w:val="20"/>
          <w:lang w:eastAsia="fr-FR"/>
        </w:rPr>
        <w:t xml:space="preserve">CujasNum</w:t>
      </w:r>
      <w:r>
        <w:rPr>
          <w:sz w:val="20"/>
          <w:szCs w:val="20"/>
          <w:lang w:eastAsia="fr-FR"/>
        </w:rPr>
        <w:t xml:space="preserve"> ou de Codex</w:t>
      </w:r>
      <w:r>
        <w:rPr>
          <w:rStyle w:val="2079"/>
          <w:rFonts w:ascii="Times New Roman" w:hAnsi="Times New Roman" w:cs="Times New Roman"/>
          <w:sz w:val="20"/>
          <w:szCs w:val="20"/>
          <w:lang w:eastAsia="fr-FR"/>
        </w:rPr>
        <w:footnoteReference w:id="106"/>
      </w:r>
      <w:r>
        <w:rPr>
          <w:sz w:val="20"/>
          <w:szCs w:val="20"/>
          <w:lang w:eastAsia="fr-FR"/>
        </w:rPr>
        <w:t xml:space="preserve">. Par ailleurs, l’adoption de titre plus large pour les collections permettrait d’éviter une confusion autour de celles-ci</w:t>
      </w:r>
      <w:r>
        <w:rPr>
          <w:rStyle w:val="2079"/>
          <w:rFonts w:ascii="Times New Roman" w:hAnsi="Times New Roman" w:cs="Times New Roman"/>
          <w:sz w:val="20"/>
          <w:szCs w:val="20"/>
          <w:lang w:eastAsia="fr-FR"/>
        </w:rPr>
        <w:footnoteReference w:id="107"/>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Pour offrir une meilleure lisibilité, il</w:t>
      </w:r>
      <w:r>
        <w:rPr>
          <w:sz w:val="20"/>
          <w:szCs w:val="20"/>
          <w:lang w:eastAsia="fr-FR"/>
        </w:rPr>
        <w:t xml:space="preserve"> serait </w:t>
      </w:r>
      <w:r>
        <w:rPr>
          <w:sz w:val="20"/>
          <w:szCs w:val="20"/>
          <w:lang w:eastAsia="fr-FR"/>
        </w:rPr>
        <w:t xml:space="preserve">pertinent</w:t>
      </w:r>
      <w:r>
        <w:rPr>
          <w:sz w:val="20"/>
          <w:szCs w:val="20"/>
          <w:lang w:eastAsia="fr-FR"/>
        </w:rPr>
        <w:t xml:space="preserve"> d</w:t>
      </w:r>
      <w:r>
        <w:rPr>
          <w:sz w:val="20"/>
          <w:szCs w:val="20"/>
          <w:lang w:eastAsia="fr-FR"/>
        </w:rPr>
        <w:t xml:space="preserve">’</w:t>
      </w:r>
      <w:r>
        <w:rPr>
          <w:sz w:val="20"/>
          <w:szCs w:val="20"/>
          <w:lang w:eastAsia="fr-FR"/>
        </w:rPr>
        <w:t xml:space="preserve">obtenir un accès</w:t>
      </w:r>
      <w:r>
        <w:rPr>
          <w:sz w:val="20"/>
          <w:szCs w:val="20"/>
          <w:lang w:eastAsia="fr-FR"/>
        </w:rPr>
        <w:t xml:space="preserve"> Explorer,</w:t>
      </w:r>
      <w:r>
        <w:rPr>
          <w:sz w:val="20"/>
          <w:szCs w:val="20"/>
          <w:lang w:eastAsia="fr-FR"/>
        </w:rPr>
        <w:t xml:space="preserve"> par Corpus permettant d’avoir une vision d’ensemble du contenu de la bibliothèque numérique, </w:t>
      </w:r>
      <w:r>
        <w:rPr>
          <w:sz w:val="20"/>
          <w:szCs w:val="20"/>
          <w:lang w:eastAsia="fr-FR"/>
        </w:rPr>
        <w:t xml:space="preserve">et</w:t>
      </w:r>
      <w:r>
        <w:rPr>
          <w:sz w:val="20"/>
          <w:szCs w:val="20"/>
          <w:lang w:eastAsia="fr-FR"/>
        </w:rPr>
        <w:t xml:space="preserve"> d’un accès par thématique</w:t>
      </w:r>
      <w:r>
        <w:rPr>
          <w:rStyle w:val="2079"/>
          <w:rFonts w:ascii="Times New Roman" w:hAnsi="Times New Roman" w:cs="Times New Roman"/>
          <w:sz w:val="20"/>
          <w:szCs w:val="20"/>
          <w:lang w:eastAsia="fr-FR"/>
        </w:rPr>
        <w:footnoteReference w:id="108"/>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Enfin, il faudrait </w:t>
      </w:r>
      <w:r>
        <w:rPr>
          <w:sz w:val="20"/>
          <w:szCs w:val="20"/>
          <w:lang w:eastAsia="fr-FR"/>
        </w:rPr>
        <w:t xml:space="preserve">au moins </w:t>
      </w:r>
      <w:r>
        <w:rPr>
          <w:sz w:val="20"/>
          <w:szCs w:val="20"/>
          <w:lang w:eastAsia="fr-FR"/>
        </w:rPr>
        <w:t xml:space="preserve">que les métadonnées auteurs soit alignés sur le référentiels </w:t>
      </w:r>
      <w:r>
        <w:rPr>
          <w:sz w:val="20"/>
          <w:szCs w:val="20"/>
          <w:lang w:eastAsia="fr-FR"/>
        </w:rPr>
        <w:t xml:space="preserve">IdRef</w:t>
      </w:r>
      <w:r>
        <w:rPr>
          <w:sz w:val="20"/>
          <w:szCs w:val="20"/>
          <w:lang w:eastAsia="fr-FR"/>
        </w:rPr>
        <w:t xml:space="preserve">. De plus, </w:t>
      </w:r>
      <w:r>
        <w:rPr>
          <w:sz w:val="20"/>
          <w:szCs w:val="20"/>
          <w:lang w:eastAsia="fr-FR"/>
        </w:rPr>
        <w:t xml:space="preserve">les collections présente</w:t>
      </w:r>
      <w:r>
        <w:rPr>
          <w:sz w:val="20"/>
          <w:szCs w:val="20"/>
          <w:lang w:eastAsia="fr-FR"/>
        </w:rPr>
        <w:t xml:space="preserve">nt</w:t>
      </w:r>
      <w:r>
        <w:rPr>
          <w:sz w:val="20"/>
          <w:szCs w:val="20"/>
          <w:lang w:eastAsia="fr-FR"/>
        </w:rPr>
        <w:t xml:space="preserve"> sur d’autres </w:t>
      </w:r>
      <w:r>
        <w:rPr>
          <w:sz w:val="20"/>
          <w:szCs w:val="20"/>
          <w:lang w:eastAsia="fr-FR"/>
        </w:rPr>
        <w:t xml:space="preserve">sites doivent </w:t>
      </w:r>
      <w:r>
        <w:rPr>
          <w:sz w:val="20"/>
          <w:szCs w:val="20"/>
          <w:lang w:eastAsia="fr-FR"/>
        </w:rPr>
        <w:t xml:space="preserve">relier par des liens afin de les mettre</w:t>
      </w:r>
      <w:r>
        <w:rPr>
          <w:sz w:val="20"/>
          <w:szCs w:val="20"/>
          <w:lang w:eastAsia="fr-FR"/>
        </w:rPr>
        <w:t xml:space="preserve"> sur leur site. Cela permettrait de diversifier les modes de navigation au sein </w:t>
      </w:r>
      <w:r>
        <w:rPr>
          <w:sz w:val="20"/>
          <w:szCs w:val="20"/>
          <w:lang w:eastAsia="fr-FR"/>
        </w:rPr>
        <w:t xml:space="preserve">de la bibliothèque numérique</w:t>
      </w:r>
      <w:r>
        <w:rPr>
          <w:sz w:val="20"/>
          <w:szCs w:val="20"/>
          <w:lang w:eastAsia="fr-FR"/>
        </w:rPr>
        <w:t xml:space="preserve">, favorisant la découverte fortuite de documents</w:t>
      </w:r>
      <w:r>
        <w:rPr>
          <w:rStyle w:val="2079"/>
          <w:rFonts w:ascii="Times New Roman" w:hAnsi="Times New Roman" w:cs="Times New Roman"/>
          <w:sz w:val="20"/>
          <w:szCs w:val="20"/>
          <w:lang w:eastAsia="fr-FR"/>
        </w:rPr>
        <w:footnoteReference w:id="109"/>
      </w:r>
      <w:r>
        <w:rPr>
          <w:sz w:val="20"/>
          <w:szCs w:val="20"/>
          <w:lang w:eastAsia="fr-FR"/>
        </w:rPr>
        <w:t xml:space="preserve">.</w:t>
      </w:r>
      <w:r>
        <w:rPr>
          <w:sz w:val="20"/>
          <w:szCs w:val="20"/>
          <w:lang w:eastAsia="fr-FR"/>
        </w:rPr>
      </w:r>
    </w:p>
    <w:p>
      <w:pPr>
        <w:pStyle w:val="2057"/>
        <w:numPr>
          <w:ilvl w:val="0"/>
          <w:numId w:val="29"/>
        </w:numPr>
        <w:pBdr/>
        <w:spacing w:line="240" w:lineRule="auto"/>
        <w:ind/>
        <w:rPr>
          <w:rFonts w:eastAsia="Times New Roman"/>
          <w:lang w:eastAsia="fr-FR"/>
        </w:rPr>
      </w:pPr>
      <w:r/>
      <w:bookmarkStart w:id="57" w:name="_Toc236222453"/>
      <w:r>
        <w:rPr>
          <w:rFonts w:eastAsia="Times New Roman"/>
          <w:lang w:eastAsia="fr-FR"/>
        </w:rPr>
        <w:t xml:space="preserve">Analyse juridique</w:t>
      </w:r>
      <w:bookmarkEnd w:id="57"/>
      <w:r>
        <w:rPr>
          <w:rFonts w:eastAsia="Times New Roman"/>
          <w:lang w:eastAsia="fr-FR"/>
        </w:rPr>
        <w:t xml:space="preserve"> </w:t>
      </w:r>
      <w:r>
        <w:rPr>
          <w:rFonts w:eastAsia="Times New Roman"/>
          <w:lang w:eastAsia="fr-FR"/>
        </w:rPr>
      </w:r>
    </w:p>
    <w:p>
      <w:pPr>
        <w:pStyle w:val="2058"/>
        <w:numPr>
          <w:ilvl w:val="1"/>
          <w:numId w:val="29"/>
        </w:numPr>
        <w:pBdr/>
        <w:spacing w:line="240" w:lineRule="auto"/>
        <w:ind/>
        <w:rPr>
          <w:lang w:eastAsia="fr-FR"/>
        </w:rPr>
      </w:pPr>
      <w:r/>
      <w:bookmarkStart w:id="58" w:name="_Toc236222454"/>
      <w:r>
        <w:rPr>
          <w:lang w:eastAsia="fr-FR"/>
        </w:rPr>
        <w:t xml:space="preserve">L’analyse de l’existant</w:t>
      </w:r>
      <w:bookmarkEnd w:id="58"/>
      <w:r/>
      <w:r>
        <w:rPr>
          <w:lang w:eastAsia="fr-FR"/>
        </w:rPr>
      </w:r>
    </w:p>
    <w:p>
      <w:pPr>
        <w:pBdr/>
        <w:spacing w:line="240" w:lineRule="auto"/>
        <w:ind/>
        <w:rPr>
          <w:sz w:val="20"/>
          <w:szCs w:val="20"/>
          <w:lang w:eastAsia="fr-FR"/>
        </w:rPr>
      </w:pPr>
      <w:r>
        <w:rPr>
          <w:sz w:val="20"/>
          <w:szCs w:val="20"/>
          <w:lang w:eastAsia="fr-FR"/>
        </w:rPr>
        <w:t xml:space="preserve">Actuellement, les conditions d’utilisation des contenus numérisés sont confuses</w:t>
      </w:r>
      <w:r>
        <w:rPr>
          <w:sz w:val="20"/>
          <w:szCs w:val="20"/>
          <w:lang w:eastAsia="fr-FR"/>
        </w:rPr>
        <w:t xml:space="preserve"> du fait de la coexistence de deux mentions faisant références à deux entités distinctes : les </w:t>
      </w:r>
      <w:r>
        <w:rPr>
          <w:sz w:val="20"/>
          <w:szCs w:val="20"/>
          <w:lang w:eastAsia="fr-FR"/>
        </w:rPr>
        <w:t xml:space="preserve">mentions légales que l’on trouve dans le pied de page</w:t>
      </w:r>
      <w:r>
        <w:rPr>
          <w:sz w:val="20"/>
          <w:szCs w:val="20"/>
          <w:lang w:eastAsia="fr-FR"/>
        </w:rPr>
        <w:t xml:space="preserve">, qui concernent le site de la bibliothèque Cujas</w:t>
      </w:r>
      <w:r>
        <w:rPr>
          <w:rStyle w:val="2079"/>
          <w:rFonts w:ascii="Times New Roman" w:hAnsi="Times New Roman" w:cs="Times New Roman"/>
          <w:sz w:val="20"/>
          <w:szCs w:val="20"/>
          <w:lang w:eastAsia="fr-FR"/>
        </w:rPr>
        <w:footnoteReference w:id="110"/>
      </w:r>
      <w:r>
        <w:rPr>
          <w:sz w:val="20"/>
          <w:szCs w:val="20"/>
          <w:lang w:eastAsia="fr-FR"/>
        </w:rPr>
        <w:t xml:space="preserve">, et la rubrique « à propos ». Dans la bibliothèque numérique qui indique les conditions d’usage des documents numérisés assez confuses</w:t>
      </w:r>
      <w:r>
        <w:rPr>
          <w:rStyle w:val="2079"/>
          <w:rFonts w:ascii="Times New Roman" w:hAnsi="Times New Roman" w:cs="Times New Roman"/>
          <w:sz w:val="20"/>
          <w:szCs w:val="20"/>
          <w:lang w:eastAsia="fr-FR"/>
        </w:rPr>
        <w:footnoteReference w:id="111"/>
      </w:r>
      <w:r>
        <w:rPr>
          <w:sz w:val="20"/>
          <w:szCs w:val="20"/>
          <w:lang w:eastAsia="fr-FR"/>
        </w:rPr>
        <w:t xml:space="preserve">. </w:t>
      </w:r>
      <w:r>
        <w:rPr>
          <w:sz w:val="20"/>
          <w:szCs w:val="20"/>
          <w:lang w:eastAsia="fr-FR"/>
        </w:rPr>
        <w:t xml:space="preserve">Le constat est le même dans le prototype Codex</w:t>
      </w:r>
      <w:r>
        <w:rPr>
          <w:rStyle w:val="2079"/>
          <w:rFonts w:ascii="Times New Roman" w:hAnsi="Times New Roman" w:cs="Times New Roman"/>
          <w:sz w:val="20"/>
          <w:szCs w:val="20"/>
          <w:lang w:eastAsia="fr-FR"/>
        </w:rPr>
        <w:footnoteReference w:id="112"/>
      </w:r>
      <w:r>
        <w:rPr>
          <w:sz w:val="20"/>
          <w:szCs w:val="20"/>
          <w:lang w:eastAsia="fr-FR"/>
        </w:rPr>
        <w:t xml:space="preserve">.</w:t>
      </w:r>
      <w:r>
        <w:rPr>
          <w:sz w:val="20"/>
          <w:szCs w:val="20"/>
          <w:lang w:eastAsia="fr-FR"/>
        </w:rPr>
      </w:r>
    </w:p>
    <w:p>
      <w:pPr>
        <w:pBdr/>
        <w:spacing w:line="240" w:lineRule="auto"/>
        <w:ind/>
        <w:rPr>
          <w:sz w:val="20"/>
          <w:szCs w:val="20"/>
          <w:lang w:eastAsia="fr-FR"/>
        </w:rPr>
      </w:pPr>
      <w:r>
        <w:rPr>
          <w:sz w:val="20"/>
          <w:szCs w:val="20"/>
          <w:lang w:eastAsia="fr-FR"/>
        </w:rPr>
        <w:t xml:space="preserve">Par ailleurs, on remarque que les notices bibliographiques ne permettent en aucune façon de </w:t>
      </w:r>
      <w:r>
        <w:rPr>
          <w:sz w:val="20"/>
          <w:szCs w:val="20"/>
          <w:lang w:eastAsia="fr-FR"/>
        </w:rPr>
        <w:t xml:space="preserve">connaitre les conditions précises d’utilisation des documents, alors même que certains (fonds Carbonnier) ne sont pas libres de droit. </w:t>
      </w:r>
      <w:r>
        <w:rPr>
          <w:sz w:val="20"/>
          <w:szCs w:val="20"/>
          <w:lang w:eastAsia="fr-FR"/>
        </w:rPr>
        <w:t xml:space="preserve">La distinction doit être fait car Cujas n’a pas l’autorisation de diffuser un document sous droit en dehors des enceintes de la bibliothèque</w:t>
      </w:r>
      <w:r>
        <w:rPr>
          <w:sz w:val="20"/>
          <w:szCs w:val="20"/>
          <w:lang w:eastAsia="fr-FR"/>
        </w:rPr>
        <w:t xml:space="preserve"> ou sans un système d’accréditation en ligne</w:t>
      </w:r>
      <w:r>
        <w:rPr>
          <w:rStyle w:val="2079"/>
          <w:rFonts w:ascii="Times New Roman" w:hAnsi="Times New Roman" w:cs="Times New Roman"/>
          <w:sz w:val="20"/>
          <w:szCs w:val="20"/>
          <w:lang w:eastAsia="fr-FR"/>
        </w:rPr>
        <w:footnoteReference w:id="113"/>
      </w:r>
      <w:r>
        <w:rPr>
          <w:sz w:val="20"/>
          <w:szCs w:val="20"/>
          <w:lang w:eastAsia="fr-FR"/>
        </w:rPr>
        <w:t xml:space="preserve">. </w:t>
      </w:r>
      <w:r>
        <w:rPr>
          <w:sz w:val="20"/>
          <w:szCs w:val="20"/>
          <w:lang w:eastAsia="fr-FR"/>
        </w:rPr>
      </w:r>
    </w:p>
    <w:p>
      <w:pPr>
        <w:pStyle w:val="2058"/>
        <w:numPr>
          <w:ilvl w:val="1"/>
          <w:numId w:val="29"/>
        </w:numPr>
        <w:pBdr/>
        <w:spacing w:line="240" w:lineRule="auto"/>
        <w:ind/>
        <w:rPr>
          <w:lang w:eastAsia="fr-FR"/>
        </w:rPr>
      </w:pPr>
      <w:r/>
      <w:bookmarkStart w:id="59" w:name="_Toc236222455"/>
      <w:r>
        <w:rPr>
          <w:lang w:eastAsia="fr-FR"/>
        </w:rPr>
        <w:t xml:space="preserve">Les propositions d’amélioration</w:t>
      </w:r>
      <w:bookmarkEnd w:id="59"/>
      <w:r/>
      <w:r>
        <w:rPr>
          <w:lang w:eastAsia="fr-FR"/>
        </w:rPr>
      </w:r>
    </w:p>
    <w:p>
      <w:pPr>
        <w:pBdr/>
        <w:spacing w:line="240" w:lineRule="auto"/>
        <w:ind/>
        <w:rPr>
          <w:sz w:val="20"/>
          <w:szCs w:val="20"/>
          <w:lang w:eastAsia="fr-FR"/>
        </w:rPr>
      </w:pPr>
      <w:r>
        <w:rPr>
          <w:sz w:val="20"/>
          <w:szCs w:val="20"/>
          <w:lang w:eastAsia="fr-FR"/>
        </w:rPr>
        <w:t xml:space="preserve">Le dossier juridique est à instruire.</w:t>
      </w:r>
      <w:r>
        <w:rPr>
          <w:sz w:val="20"/>
          <w:szCs w:val="20"/>
          <w:lang w:eastAsia="fr-FR"/>
        </w:rPr>
        <w:t xml:space="preserve"> </w:t>
      </w:r>
      <w:r>
        <w:rPr>
          <w:sz w:val="20"/>
          <w:szCs w:val="20"/>
          <w:lang w:eastAsia="fr-FR"/>
        </w:rPr>
        <w:t xml:space="preserve">Il convient toutefois de prévoir </w:t>
      </w:r>
      <w:r>
        <w:rPr>
          <w:sz w:val="20"/>
          <w:szCs w:val="20"/>
          <w:lang w:eastAsia="fr-FR"/>
        </w:rPr>
        <w:t xml:space="preserve">des « espaces d’informations et des modalités de filtrage »</w:t>
      </w:r>
      <w:r>
        <w:rPr>
          <w:rStyle w:val="2079"/>
          <w:rFonts w:ascii="Times New Roman" w:hAnsi="Times New Roman" w:cs="Times New Roman"/>
          <w:sz w:val="20"/>
          <w:szCs w:val="20"/>
          <w:lang w:eastAsia="fr-FR"/>
        </w:rPr>
        <w:footnoteReference w:id="114"/>
      </w:r>
      <w:r>
        <w:rPr>
          <w:sz w:val="20"/>
          <w:szCs w:val="20"/>
          <w:lang w:eastAsia="fr-FR"/>
        </w:rPr>
        <w:t xml:space="preserve">. </w:t>
      </w:r>
      <w:r>
        <w:rPr>
          <w:sz w:val="20"/>
          <w:szCs w:val="20"/>
          <w:lang w:eastAsia="fr-FR"/>
        </w:rPr>
        <w:t xml:space="preserve">Les conditions d’utilisation doivent être e</w:t>
      </w:r>
      <w:r>
        <w:rPr>
          <w:sz w:val="20"/>
          <w:szCs w:val="20"/>
          <w:lang w:eastAsia="fr-FR"/>
        </w:rPr>
        <w:t xml:space="preserve">xplicitées et une mention d’</w:t>
      </w:r>
      <w:r>
        <w:rPr>
          <w:sz w:val="20"/>
          <w:szCs w:val="20"/>
          <w:lang w:eastAsia="fr-FR"/>
        </w:rPr>
        <w:t xml:space="preserve">opt</w:t>
      </w:r>
      <w:r>
        <w:rPr>
          <w:sz w:val="20"/>
          <w:szCs w:val="20"/>
          <w:lang w:eastAsia="fr-FR"/>
        </w:rPr>
        <w:t xml:space="preserve">-</w:t>
      </w:r>
      <w:r>
        <w:rPr>
          <w:sz w:val="20"/>
          <w:szCs w:val="20"/>
          <w:lang w:eastAsia="fr-FR"/>
        </w:rPr>
        <w:t xml:space="preserve">out prévue ainsi que des modalités de contact en cas de contestation. </w:t>
      </w:r>
      <w:r>
        <w:rPr>
          <w:sz w:val="20"/>
          <w:szCs w:val="20"/>
          <w:lang w:eastAsia="fr-FR"/>
        </w:rPr>
      </w:r>
    </w:p>
    <w:p>
      <w:pPr>
        <w:pBdr/>
        <w:spacing w:line="240" w:lineRule="auto"/>
        <w:ind/>
        <w:rPr>
          <w:sz w:val="20"/>
          <w:szCs w:val="20"/>
          <w:lang w:eastAsia="fr-FR"/>
        </w:rPr>
      </w:pPr>
      <w:r>
        <w:rPr>
          <w:sz w:val="20"/>
          <w:szCs w:val="20"/>
          <w:lang w:eastAsia="fr-FR"/>
        </w:rPr>
        <w:t xml:space="preserve">La notice présentant un document doit être assorti d’une licence </w:t>
      </w:r>
      <w:r>
        <w:rPr>
          <w:sz w:val="20"/>
          <w:szCs w:val="20"/>
          <w:lang w:eastAsia="fr-FR"/>
        </w:rPr>
        <w:t xml:space="preserve">Etalab</w:t>
      </w:r>
      <w:r>
        <w:rPr>
          <w:sz w:val="20"/>
          <w:szCs w:val="20"/>
          <w:lang w:eastAsia="fr-FR"/>
        </w:rPr>
        <w:t xml:space="preserve"> et/ou </w:t>
      </w:r>
      <w:r>
        <w:rPr>
          <w:sz w:val="20"/>
          <w:szCs w:val="20"/>
          <w:lang w:eastAsia="fr-FR"/>
        </w:rPr>
        <w:t xml:space="preserve">Creative</w:t>
      </w:r>
      <w:r>
        <w:rPr>
          <w:sz w:val="20"/>
          <w:szCs w:val="20"/>
          <w:lang w:eastAsia="fr-FR"/>
        </w:rPr>
        <w:t xml:space="preserve"> Commons. Un filtrage des documents sous droit ou libres de droit doit pouvoir être réalisé par les facettes (balise </w:t>
      </w:r>
      <w:r>
        <w:rPr>
          <w:sz w:val="20"/>
          <w:szCs w:val="20"/>
          <w:lang w:eastAsia="fr-FR"/>
        </w:rPr>
        <w:t xml:space="preserve">DCRight</w:t>
      </w:r>
      <w:r>
        <w:rPr>
          <w:sz w:val="20"/>
          <w:szCs w:val="20"/>
          <w:lang w:eastAsia="fr-FR"/>
        </w:rPr>
        <w:t xml:space="preserve"> des notices Dublin </w:t>
      </w:r>
      <w:r>
        <w:rPr>
          <w:sz w:val="20"/>
          <w:szCs w:val="20"/>
          <w:lang w:eastAsia="fr-FR"/>
        </w:rPr>
        <w:t xml:space="preserve">Core</w:t>
      </w:r>
      <w:r>
        <w:rPr>
          <w:sz w:val="20"/>
          <w:szCs w:val="20"/>
          <w:lang w:eastAsia="fr-FR"/>
        </w:rPr>
        <w:t xml:space="preserve">)</w:t>
      </w:r>
      <w:r>
        <w:rPr>
          <w:rStyle w:val="2079"/>
          <w:rFonts w:ascii="Times New Roman" w:hAnsi="Times New Roman" w:cs="Times New Roman"/>
          <w:sz w:val="20"/>
          <w:szCs w:val="20"/>
          <w:lang w:eastAsia="fr-FR"/>
        </w:rPr>
        <w:t xml:space="preserve"> </w:t>
      </w:r>
      <w:r>
        <w:rPr>
          <w:rStyle w:val="2079"/>
          <w:rFonts w:ascii="Times New Roman" w:hAnsi="Times New Roman" w:cs="Times New Roman"/>
          <w:sz w:val="20"/>
          <w:szCs w:val="20"/>
          <w:lang w:eastAsia="fr-FR"/>
        </w:rPr>
        <w:footnoteReference w:id="115"/>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Pour les documents sous droit qui </w:t>
      </w:r>
      <w:r>
        <w:rPr>
          <w:sz w:val="20"/>
          <w:szCs w:val="20"/>
          <w:lang w:eastAsia="fr-FR"/>
        </w:rPr>
        <w:t xml:space="preserve">doivent</w:t>
      </w:r>
      <w:r>
        <w:rPr>
          <w:sz w:val="20"/>
          <w:szCs w:val="20"/>
          <w:lang w:eastAsia="fr-FR"/>
        </w:rPr>
        <w:t xml:space="preserve"> être numérisés, il convient de prévoir une consultation sur place par le réseau filaire sur les postes de la bibliothèque Cujas, ainsi qu’un système d’accréditation à distance ; il serait également intéressant de mettre en place un </w:t>
      </w:r>
      <w:r>
        <w:rPr>
          <w:sz w:val="20"/>
          <w:szCs w:val="20"/>
          <w:lang w:eastAsia="fr-FR"/>
        </w:rPr>
        <w:t xml:space="preserve">« horodatage débloquant le document sur le web une fois que les droits </w:t>
      </w:r>
      <w:r>
        <w:rPr>
          <w:sz w:val="20"/>
          <w:szCs w:val="20"/>
          <w:lang w:eastAsia="fr-FR"/>
        </w:rPr>
        <w:t xml:space="preserve">sont</w:t>
      </w:r>
      <w:r>
        <w:rPr>
          <w:sz w:val="20"/>
          <w:szCs w:val="20"/>
          <w:lang w:eastAsia="fr-FR"/>
        </w:rPr>
        <w:t xml:space="preserve"> arrivés à terme »</w:t>
      </w:r>
      <w:r>
        <w:rPr>
          <w:rStyle w:val="2079"/>
          <w:rFonts w:ascii="Times New Roman" w:hAnsi="Times New Roman" w:cs="Times New Roman"/>
          <w:sz w:val="20"/>
          <w:szCs w:val="20"/>
          <w:lang w:eastAsia="fr-FR"/>
        </w:rPr>
        <w:footnoteReference w:id="116"/>
      </w:r>
      <w:r>
        <w:rPr>
          <w:sz w:val="20"/>
          <w:szCs w:val="20"/>
          <w:lang w:eastAsia="fr-FR"/>
        </w:rPr>
        <w:t xml:space="preserve">. </w:t>
      </w:r>
      <w:r>
        <w:rPr>
          <w:sz w:val="20"/>
          <w:szCs w:val="20"/>
          <w:lang w:eastAsia="fr-FR"/>
        </w:rPr>
      </w:r>
    </w:p>
    <w:p>
      <w:pPr>
        <w:pBdr/>
        <w:spacing w:line="240" w:lineRule="auto"/>
        <w:ind/>
        <w:rPr>
          <w:sz w:val="20"/>
          <w:szCs w:val="20"/>
          <w:lang w:eastAsia="fr-FR"/>
        </w:rPr>
      </w:pPr>
      <w:r>
        <w:rPr>
          <w:sz w:val="20"/>
          <w:szCs w:val="20"/>
          <w:lang w:eastAsia="fr-FR"/>
        </w:rPr>
        <w:t xml:space="preserve">Les articles de valorisation rédigés par des enseignants-chercheurs doivent bénéficier d’un statut.</w:t>
      </w:r>
      <w:r>
        <w:rPr>
          <w:sz w:val="20"/>
          <w:szCs w:val="20"/>
          <w:lang w:eastAsia="fr-FR"/>
        </w:rPr>
      </w:r>
    </w:p>
    <w:p>
      <w:pPr>
        <w:pBdr/>
        <w:spacing w:line="240" w:lineRule="auto"/>
        <w:ind/>
        <w:rPr>
          <w:sz w:val="20"/>
          <w:szCs w:val="20"/>
          <w:lang w:eastAsia="fr-FR"/>
        </w:rPr>
      </w:pPr>
      <w:r>
        <w:rPr>
          <w:sz w:val="20"/>
          <w:szCs w:val="20"/>
          <w:lang w:eastAsia="fr-FR"/>
        </w:rPr>
        <w:t xml:space="preserve">Enfin, un problème d’anonymisation des partis des jurisprudences vient d’être acté amenant à réfléchir à cette question et aux répercussions que cela implique si</w:t>
      </w:r>
      <w:r>
        <w:rPr>
          <w:sz w:val="20"/>
          <w:szCs w:val="20"/>
          <w:lang w:eastAsia="fr-FR"/>
        </w:rPr>
        <w:t xml:space="preserve"> o</w:t>
      </w:r>
      <w:r>
        <w:rPr>
          <w:sz w:val="20"/>
          <w:szCs w:val="20"/>
          <w:lang w:eastAsia="fr-FR"/>
        </w:rPr>
        <w:t xml:space="preserve">n numérise des revues</w:t>
      </w:r>
      <w:r>
        <w:rPr>
          <w:rStyle w:val="2079"/>
          <w:rFonts w:ascii="Times New Roman" w:hAnsi="Times New Roman" w:cs="Times New Roman"/>
          <w:sz w:val="20"/>
          <w:szCs w:val="20"/>
          <w:lang w:eastAsia="fr-FR"/>
        </w:rPr>
        <w:footnoteReference w:id="117"/>
      </w:r>
      <w:r>
        <w:rPr>
          <w:sz w:val="20"/>
          <w:szCs w:val="20"/>
          <w:lang w:eastAsia="fr-FR"/>
        </w:rPr>
        <w:t xml:space="preserve">. </w:t>
      </w:r>
      <w:r>
        <w:rPr>
          <w:sz w:val="20"/>
          <w:szCs w:val="20"/>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Bdr/>
        <w:spacing w:after="0"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Style w:val="2057"/>
        <w:pBdr/>
        <w:spacing w:line="240" w:lineRule="auto"/>
        <w:ind/>
        <w:jc w:val="center"/>
        <w:rPr/>
      </w:pPr>
      <w:r/>
      <w:bookmarkStart w:id="60" w:name="_Toc236222456"/>
      <w:r>
        <w:t xml:space="preserve">Analyse technique</w:t>
      </w:r>
      <w:bookmarkEnd w:id="60"/>
      <w:r/>
      <w:r/>
    </w:p>
    <w:p>
      <w:pPr>
        <w:pBdr/>
        <w:spacing w:line="240" w:lineRule="auto"/>
        <w:ind/>
        <w:rPr>
          <w:lang w:eastAsia="fr-FR"/>
        </w:rPr>
      </w:pPr>
      <w:r>
        <w:rPr>
          <w:lang w:eastAsia="fr-FR"/>
        </w:rPr>
      </w:r>
      <w:r>
        <w:rPr>
          <w:lang w:eastAsia="fr-FR"/>
        </w:rPr>
      </w:r>
    </w:p>
    <w:p>
      <w:pPr>
        <w:pStyle w:val="2057"/>
        <w:numPr>
          <w:ilvl w:val="0"/>
          <w:numId w:val="10"/>
        </w:numPr>
        <w:pBdr/>
        <w:spacing w:line="240" w:lineRule="auto"/>
        <w:ind/>
        <w:rPr>
          <w:lang w:eastAsia="fr-FR"/>
        </w:rPr>
      </w:pPr>
      <w:r/>
      <w:bookmarkStart w:id="61" w:name="_Toc236222457"/>
      <w:r>
        <w:rPr>
          <w:lang w:eastAsia="fr-FR"/>
        </w:rPr>
        <w:t xml:space="preserve">CujasNum</w:t>
      </w:r>
      <w:bookmarkEnd w:id="61"/>
      <w:r/>
      <w:r>
        <w:rPr>
          <w:lang w:eastAsia="fr-FR"/>
        </w:rPr>
      </w:r>
    </w:p>
    <w:p>
      <w:pPr>
        <w:pStyle w:val="2058"/>
        <w:numPr>
          <w:ilvl w:val="1"/>
          <w:numId w:val="10"/>
        </w:numPr>
        <w:pBdr/>
        <w:spacing w:line="240" w:lineRule="auto"/>
        <w:ind/>
        <w:rPr>
          <w:lang w:eastAsia="fr-FR"/>
        </w:rPr>
      </w:pPr>
      <w:r/>
      <w:bookmarkStart w:id="62" w:name="_Toc236222458"/>
      <w:r>
        <w:rPr>
          <w:lang w:eastAsia="fr-FR"/>
        </w:rPr>
        <w:t xml:space="preserve">Éléments</w:t>
      </w:r>
      <w:r>
        <w:rPr>
          <w:lang w:eastAsia="fr-FR"/>
        </w:rPr>
        <w:t xml:space="preserve"> techniques</w:t>
      </w:r>
      <w:bookmarkEnd w:id="62"/>
      <w:r/>
      <w:r>
        <w:rPr>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La bibliothèque gère plusieurs formats</w:t>
      </w:r>
      <w:r>
        <w:rPr>
          <w:rFonts w:ascii="Trebuchet MS" w:hAnsi="Trebuchet MS"/>
          <w:sz w:val="20"/>
          <w:szCs w:val="20"/>
          <w:lang w:eastAsia="fr-FR"/>
        </w:rPr>
        <w:t xml:space="preserve"> : </w:t>
      </w:r>
      <w:r>
        <w:rPr>
          <w:rFonts w:ascii="Trebuchet MS" w:hAnsi="Trebuchet MS"/>
          <w:sz w:val="20"/>
          <w:szCs w:val="20"/>
          <w:lang w:eastAsia="fr-FR"/>
        </w:rPr>
        <w:t xml:space="preserve"> TIFF pour l’archivage natif sans perte, JPEG pour la visionneuse, PNG pour la vignette et PDF pour l</w:t>
      </w:r>
      <w:r>
        <w:rPr>
          <w:rFonts w:ascii="Trebuchet MS" w:hAnsi="Trebuchet MS"/>
          <w:sz w:val="20"/>
          <w:szCs w:val="20"/>
          <w:lang w:eastAsia="fr-FR"/>
        </w:rPr>
        <w:t xml:space="preserve">e téléchargement, XML-ALTO, TXT.</w:t>
      </w:r>
      <w:r>
        <w:rPr>
          <w:rFonts w:ascii="Trebuchet MS" w:hAnsi="Trebuchet MS"/>
          <w:sz w:val="20"/>
          <w:szCs w:val="20"/>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Type de fichiers proposés aux lecteurs : JPEG, PDF.</w:t>
      </w:r>
      <w:r>
        <w:rPr>
          <w:rFonts w:ascii="Trebuchet MS" w:hAnsi="Trebuchet MS"/>
          <w:sz w:val="20"/>
          <w:szCs w:val="20"/>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Arborescence à plat</w:t>
      </w:r>
      <w:r>
        <w:rPr>
          <w:rFonts w:ascii="Trebuchet MS" w:hAnsi="Trebuchet MS"/>
          <w:sz w:val="20"/>
          <w:szCs w:val="20"/>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Développé sous XTF</w:t>
      </w:r>
      <w:r>
        <w:rPr>
          <w:rFonts w:ascii="Trebuchet MS" w:hAnsi="Trebuchet MS"/>
          <w:sz w:val="20"/>
          <w:szCs w:val="20"/>
          <w:lang w:eastAsia="fr-FR"/>
        </w:rPr>
        <w:t xml:space="preserve"> (logiciel libre développé par l’université de Californie).</w:t>
      </w:r>
      <w:r>
        <w:rPr>
          <w:rFonts w:ascii="Trebuchet MS" w:hAnsi="Trebuchet MS"/>
          <w:sz w:val="20"/>
          <w:szCs w:val="20"/>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Visionneuse JPEG</w:t>
      </w:r>
      <w:r>
        <w:rPr>
          <w:rFonts w:ascii="Trebuchet MS" w:hAnsi="Trebuchet MS"/>
          <w:sz w:val="20"/>
          <w:szCs w:val="20"/>
          <w:lang w:eastAsia="fr-FR"/>
        </w:rPr>
      </w:r>
    </w:p>
    <w:p>
      <w:pPr>
        <w:pStyle w:val="2066"/>
        <w:numPr>
          <w:ilvl w:val="0"/>
          <w:numId w:val="33"/>
        </w:numPr>
        <w:pBdr/>
        <w:spacing w:line="240" w:lineRule="auto"/>
        <w:ind/>
        <w:rPr>
          <w:rFonts w:ascii="Trebuchet MS" w:hAnsi="Trebuchet MS"/>
          <w:sz w:val="20"/>
          <w:szCs w:val="20"/>
          <w:lang w:eastAsia="fr-FR"/>
        </w:rPr>
      </w:pPr>
      <w:r>
        <w:rPr>
          <w:rFonts w:ascii="Trebuchet MS" w:hAnsi="Trebuchet MS"/>
          <w:sz w:val="20"/>
          <w:szCs w:val="20"/>
          <w:lang w:eastAsia="fr-FR"/>
        </w:rPr>
        <w:t xml:space="preserve">Back-office : « boîte noire »</w:t>
      </w:r>
      <w:r>
        <w:rPr>
          <w:rFonts w:ascii="Trebuchet MS" w:hAnsi="Trebuchet MS"/>
          <w:sz w:val="20"/>
          <w:szCs w:val="20"/>
          <w:lang w:eastAsia="fr-FR"/>
        </w:rPr>
      </w:r>
    </w:p>
    <w:p>
      <w:pPr>
        <w:pStyle w:val="2058"/>
        <w:numPr>
          <w:ilvl w:val="1"/>
          <w:numId w:val="10"/>
        </w:numPr>
        <w:pBdr/>
        <w:spacing w:line="240" w:lineRule="auto"/>
        <w:ind/>
        <w:rPr>
          <w:lang w:eastAsia="fr-FR"/>
        </w:rPr>
      </w:pPr>
      <w:r/>
      <w:bookmarkStart w:id="63" w:name="_Toc236222459"/>
      <w:r>
        <w:rPr>
          <w:lang w:eastAsia="fr-FR"/>
        </w:rPr>
        <w:t xml:space="preserve">SWOT</w:t>
      </w:r>
      <w:bookmarkEnd w:id="63"/>
      <w:r/>
      <w:r>
        <w:rPr>
          <w:lang w:eastAsia="fr-FR"/>
        </w:rPr>
      </w:r>
    </w:p>
    <w:tbl>
      <w:tblPr>
        <w:tblStyle w:val="2076"/>
        <w:tblW w:w="0" w:type="auto"/>
        <w:tblBorders/>
        <w:tblLook w:val="04A0" w:firstRow="1" w:lastRow="0" w:firstColumn="1" w:lastColumn="0" w:noHBand="0" w:noVBand="1"/>
      </w:tblPr>
      <w:tblGrid>
        <w:gridCol w:w="4531"/>
        <w:gridCol w:w="4531"/>
      </w:tblGrid>
      <w:tr>
        <w:trPr/>
        <w:tc>
          <w:tcPr>
            <w:tcBorders/>
            <w:tcW w:w="4531" w:type="dxa"/>
          </w:tcPr>
          <w:p>
            <w:pPr>
              <w:pBdr/>
              <w:spacing/>
              <w:ind/>
              <w:jc w:val="center"/>
              <w:rPr>
                <w:sz w:val="20"/>
                <w:szCs w:val="20"/>
                <w:lang w:eastAsia="fr-FR"/>
              </w:rPr>
            </w:pPr>
            <w:r>
              <w:rPr>
                <w:sz w:val="20"/>
                <w:szCs w:val="20"/>
                <w:lang w:eastAsia="fr-FR"/>
              </w:rPr>
              <w:t xml:space="preserve">Forces (internes) du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Recherche simple : moteur de recherche plutôt efficace, permettant toutes les troncatures et recherches expertes.</w:t>
            </w:r>
            <w:r>
              <w:rPr>
                <w:sz w:val="20"/>
                <w:szCs w:val="20"/>
                <w:lang w:eastAsia="fr-FR"/>
              </w:rPr>
            </w:r>
          </w:p>
          <w:p>
            <w:pPr>
              <w:pBdr/>
              <w:spacing/>
              <w:ind/>
              <w:rPr>
                <w:sz w:val="20"/>
                <w:szCs w:val="20"/>
                <w:lang w:eastAsia="fr-FR"/>
              </w:rPr>
            </w:pPr>
            <w:r>
              <w:rPr>
                <w:sz w:val="20"/>
                <w:szCs w:val="20"/>
                <w:lang w:eastAsia="fr-FR"/>
              </w:rPr>
              <w:t xml:space="preserve">Visionneuse JPEG : fonctionne bien, simple et facile à prendre en main pour tout type d’utilisateur du grand public aux chercheurs expérimentés. Ressemble à celle que l’on peut trouver sur Internet Archive.</w:t>
            </w:r>
            <w:r>
              <w:rPr>
                <w:sz w:val="20"/>
                <w:szCs w:val="20"/>
                <w:lang w:eastAsia="fr-FR"/>
              </w:rPr>
            </w:r>
          </w:p>
          <w:p>
            <w:pPr>
              <w:pBdr/>
              <w:spacing/>
              <w:ind/>
              <w:rPr>
                <w:sz w:val="20"/>
                <w:szCs w:val="20"/>
                <w:lang w:eastAsia="fr-FR"/>
              </w:rPr>
            </w:pPr>
            <w:r>
              <w:rPr>
                <w:sz w:val="20"/>
                <w:szCs w:val="20"/>
                <w:lang w:eastAsia="fr-FR"/>
              </w:rPr>
              <w:t xml:space="preserve">Interopérabilité </w:t>
            </w:r>
            <w:r>
              <w:rPr>
                <w:sz w:val="20"/>
                <w:szCs w:val="20"/>
                <w:lang w:eastAsia="fr-FR"/>
              </w:rPr>
              <w:t xml:space="preserve">possible</w:t>
            </w:r>
            <w:r>
              <w:rPr>
                <w:sz w:val="20"/>
                <w:szCs w:val="20"/>
                <w:lang w:eastAsia="fr-FR"/>
              </w:rPr>
              <w:t xml:space="preserve"> grâce aux n</w:t>
            </w:r>
            <w:r>
              <w:rPr>
                <w:sz w:val="20"/>
                <w:szCs w:val="20"/>
                <w:lang w:eastAsia="fr-FR"/>
              </w:rPr>
              <w:t xml:space="preserve">otices bibliographiques sous format Dublin </w:t>
            </w:r>
            <w:r>
              <w:rPr>
                <w:sz w:val="20"/>
                <w:szCs w:val="20"/>
                <w:lang w:eastAsia="fr-FR"/>
              </w:rPr>
              <w:t xml:space="preserve">Core</w:t>
            </w:r>
            <w:r>
              <w:rPr>
                <w:sz w:val="20"/>
                <w:szCs w:val="20"/>
                <w:lang w:eastAsia="fr-FR"/>
              </w:rPr>
              <w:t xml:space="preserve"> et à l’entrepôt OAI-PMH</w:t>
            </w:r>
            <w:r>
              <w:rPr>
                <w:sz w:val="20"/>
                <w:szCs w:val="20"/>
                <w:lang w:eastAsia="fr-FR"/>
              </w:rPr>
              <w:t xml:space="preserve">. </w:t>
            </w:r>
            <w:r>
              <w:rPr>
                <w:sz w:val="20"/>
                <w:szCs w:val="20"/>
                <w:lang w:eastAsia="fr-FR"/>
              </w:rPr>
            </w:r>
          </w:p>
          <w:p>
            <w:pPr>
              <w:pBdr/>
              <w:spacing/>
              <w:ind/>
              <w:rPr>
                <w:sz w:val="20"/>
                <w:szCs w:val="20"/>
                <w:lang w:eastAsia="fr-FR"/>
              </w:rPr>
            </w:pPr>
            <w:r>
              <w:rPr>
                <w:sz w:val="20"/>
                <w:szCs w:val="20"/>
                <w:lang w:eastAsia="fr-FR"/>
              </w:rPr>
              <w:t xml:space="preserve">XTF : réputé pour être vraiment solide.</w:t>
            </w:r>
            <w:r>
              <w:rPr>
                <w:sz w:val="20"/>
                <w:szCs w:val="20"/>
                <w:lang w:eastAsia="fr-FR"/>
              </w:rPr>
            </w:r>
          </w:p>
        </w:tc>
        <w:tc>
          <w:tcPr>
            <w:tcBorders/>
            <w:tcW w:w="4531" w:type="dxa"/>
          </w:tcPr>
          <w:p>
            <w:pPr>
              <w:pBdr/>
              <w:spacing/>
              <w:ind/>
              <w:jc w:val="center"/>
              <w:rPr>
                <w:sz w:val="20"/>
                <w:szCs w:val="20"/>
                <w:lang w:eastAsia="fr-FR"/>
              </w:rPr>
            </w:pPr>
            <w:r>
              <w:rPr>
                <w:sz w:val="20"/>
                <w:szCs w:val="20"/>
                <w:lang w:eastAsia="fr-FR"/>
              </w:rPr>
              <w:t xml:space="preserve">Opportunités (externes) pour le projet :</w:t>
            </w:r>
            <w:r>
              <w:rPr>
                <w:sz w:val="20"/>
                <w:szCs w:val="20"/>
                <w:lang w:eastAsia="fr-FR"/>
              </w:rPr>
            </w:r>
          </w:p>
          <w:p>
            <w:pPr>
              <w:pBdr/>
              <w:spacing/>
              <w:ind/>
              <w:rPr>
                <w:sz w:val="20"/>
                <w:szCs w:val="20"/>
                <w:lang w:eastAsia="fr-FR"/>
              </w:rPr>
            </w:pPr>
            <w:r>
              <w:rPr>
                <w:sz w:val="20"/>
                <w:szCs w:val="20"/>
                <w:lang w:eastAsia="fr-FR"/>
              </w:rPr>
              <w:t xml:space="preserve"> </w:t>
            </w:r>
            <w:r>
              <w:rPr>
                <w:sz w:val="20"/>
                <w:szCs w:val="20"/>
                <w:lang w:eastAsia="fr-FR"/>
              </w:rPr>
            </w:r>
          </w:p>
          <w:p>
            <w:pPr>
              <w:pBdr/>
              <w:spacing/>
              <w:ind/>
              <w:rPr>
                <w:sz w:val="20"/>
                <w:szCs w:val="20"/>
                <w:lang w:eastAsia="fr-FR"/>
              </w:rPr>
            </w:pPr>
            <w:r>
              <w:rPr>
                <w:sz w:val="20"/>
                <w:szCs w:val="20"/>
                <w:lang w:eastAsia="fr-FR"/>
              </w:rPr>
            </w:r>
            <w:r>
              <w:rPr>
                <w:sz w:val="20"/>
                <w:szCs w:val="20"/>
                <w:lang w:eastAsia="fr-FR"/>
              </w:rPr>
            </w:r>
          </w:p>
        </w:tc>
      </w:tr>
      <w:tr>
        <w:trPr/>
        <w:tc>
          <w:tcPr>
            <w:tcBorders/>
            <w:tcW w:w="4531" w:type="dxa"/>
          </w:tcPr>
          <w:p>
            <w:pPr>
              <w:pBdr/>
              <w:spacing/>
              <w:ind/>
              <w:jc w:val="center"/>
              <w:rPr>
                <w:sz w:val="20"/>
                <w:szCs w:val="20"/>
                <w:lang w:eastAsia="fr-FR"/>
              </w:rPr>
            </w:pPr>
            <w:r>
              <w:rPr>
                <w:sz w:val="20"/>
                <w:szCs w:val="20"/>
                <w:lang w:eastAsia="fr-FR"/>
              </w:rPr>
              <w:t xml:space="preserve">Faiblesses (internes) du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Entrepôt OAI-PMH : existant mais difficile voire impossible de le moissonner.</w:t>
            </w:r>
            <w:r>
              <w:rPr>
                <w:sz w:val="20"/>
                <w:szCs w:val="20"/>
                <w:lang w:eastAsia="fr-FR"/>
              </w:rPr>
            </w:r>
          </w:p>
          <w:p>
            <w:pPr>
              <w:pBdr/>
              <w:spacing/>
              <w:ind/>
              <w:rPr>
                <w:sz w:val="20"/>
                <w:szCs w:val="20"/>
                <w:lang w:eastAsia="fr-FR"/>
              </w:rPr>
            </w:pPr>
            <w:r>
              <w:rPr>
                <w:sz w:val="20"/>
                <w:szCs w:val="20"/>
                <w:lang w:eastAsia="fr-FR"/>
              </w:rPr>
              <w:t xml:space="preserve">L’a</w:t>
            </w:r>
            <w:r>
              <w:rPr>
                <w:sz w:val="20"/>
                <w:szCs w:val="20"/>
                <w:lang w:eastAsia="fr-FR"/>
              </w:rPr>
              <w:t xml:space="preserve">rborescence </w:t>
            </w:r>
            <w:r>
              <w:rPr>
                <w:sz w:val="20"/>
                <w:szCs w:val="20"/>
                <w:lang w:eastAsia="fr-FR"/>
              </w:rPr>
              <w:t xml:space="preserve">empêche</w:t>
            </w:r>
            <w:r>
              <w:rPr>
                <w:sz w:val="20"/>
                <w:szCs w:val="20"/>
                <w:lang w:eastAsia="fr-FR"/>
              </w:rPr>
              <w:t xml:space="preserve"> l’ajout d’autres types de documents comme les périodiques.</w:t>
            </w:r>
            <w:r>
              <w:rPr>
                <w:sz w:val="20"/>
                <w:szCs w:val="20"/>
                <w:lang w:eastAsia="fr-FR"/>
              </w:rPr>
            </w:r>
          </w:p>
          <w:p>
            <w:pPr>
              <w:pBdr/>
              <w:spacing/>
              <w:ind/>
              <w:rPr>
                <w:sz w:val="20"/>
                <w:szCs w:val="20"/>
                <w:lang w:eastAsia="fr-FR"/>
              </w:rPr>
            </w:pPr>
            <w:r>
              <w:rPr>
                <w:sz w:val="20"/>
                <w:szCs w:val="20"/>
                <w:lang w:eastAsia="fr-FR"/>
              </w:rPr>
              <w:t xml:space="preserve">Impossible pour les experts métiers de faire un changement ou une correction d’eux-mêmes obligé de passer par l’expert technique.</w:t>
            </w:r>
            <w:r>
              <w:rPr>
                <w:sz w:val="20"/>
                <w:szCs w:val="20"/>
                <w:lang w:eastAsia="fr-FR"/>
              </w:rPr>
            </w:r>
          </w:p>
          <w:p>
            <w:pPr>
              <w:pBdr/>
              <w:spacing/>
              <w:ind/>
              <w:rPr>
                <w:sz w:val="20"/>
                <w:szCs w:val="20"/>
                <w:lang w:eastAsia="fr-FR"/>
              </w:rPr>
            </w:pPr>
            <w:r>
              <w:rPr>
                <w:sz w:val="20"/>
                <w:szCs w:val="20"/>
                <w:lang w:eastAsia="fr-FR"/>
              </w:rPr>
              <w:t xml:space="preserve">L</w:t>
            </w:r>
            <w:r>
              <w:rPr>
                <w:sz w:val="20"/>
                <w:szCs w:val="20"/>
                <w:lang w:eastAsia="fr-FR"/>
              </w:rPr>
              <w:t xml:space="preserve">’indexation</w:t>
            </w:r>
            <w:r>
              <w:rPr>
                <w:sz w:val="20"/>
                <w:szCs w:val="20"/>
                <w:lang w:eastAsia="fr-FR"/>
              </w:rPr>
              <w:t xml:space="preserve"> inefficace</w:t>
            </w:r>
            <w:r>
              <w:rPr>
                <w:sz w:val="20"/>
                <w:szCs w:val="20"/>
                <w:lang w:eastAsia="fr-FR"/>
              </w:rPr>
              <w:t xml:space="preserve"> : éléments très proche qui ne sont pas indexés de la même manière. Cela crée du bruit et ce n’est pas efficace pour la recherche. </w:t>
            </w:r>
            <w:r>
              <w:rPr>
                <w:sz w:val="20"/>
                <w:szCs w:val="20"/>
                <w:lang w:eastAsia="fr-FR"/>
              </w:rPr>
            </w:r>
          </w:p>
          <w:p>
            <w:pPr>
              <w:pBdr/>
              <w:spacing/>
              <w:ind/>
              <w:rPr>
                <w:sz w:val="20"/>
                <w:szCs w:val="20"/>
                <w:lang w:eastAsia="fr-FR"/>
              </w:rPr>
            </w:pPr>
            <w:r>
              <w:rPr>
                <w:sz w:val="20"/>
                <w:szCs w:val="20"/>
                <w:lang w:eastAsia="fr-FR"/>
              </w:rPr>
              <w:t xml:space="preserve">XTF : pas possible de créer </w:t>
            </w:r>
            <w:r>
              <w:rPr>
                <w:sz w:val="20"/>
                <w:szCs w:val="20"/>
                <w:lang w:eastAsia="fr-FR"/>
              </w:rPr>
              <w:t xml:space="preserve">des collections.</w:t>
            </w:r>
            <w:r>
              <w:rPr>
                <w:sz w:val="20"/>
                <w:szCs w:val="20"/>
                <w:lang w:eastAsia="fr-FR"/>
              </w:rPr>
            </w:r>
          </w:p>
          <w:p>
            <w:pPr>
              <w:pBdr/>
              <w:spacing/>
              <w:ind/>
              <w:rPr>
                <w:sz w:val="20"/>
                <w:szCs w:val="20"/>
                <w:lang w:eastAsia="fr-FR"/>
              </w:rPr>
            </w:pPr>
            <w:r>
              <w:rPr>
                <w:sz w:val="20"/>
                <w:szCs w:val="20"/>
                <w:lang w:eastAsia="fr-FR"/>
              </w:rPr>
              <w:t xml:space="preserve">Absence de liens externes et d’alignement à des référentiels.</w:t>
            </w:r>
            <w:r>
              <w:rPr>
                <w:sz w:val="20"/>
                <w:szCs w:val="20"/>
                <w:lang w:eastAsia="fr-FR"/>
              </w:rPr>
            </w:r>
          </w:p>
          <w:p>
            <w:pPr>
              <w:pBdr/>
              <w:spacing/>
              <w:ind/>
              <w:rPr>
                <w:sz w:val="20"/>
                <w:szCs w:val="20"/>
                <w:lang w:eastAsia="fr-FR"/>
              </w:rPr>
            </w:pPr>
            <w:r>
              <w:rPr>
                <w:sz w:val="20"/>
                <w:szCs w:val="20"/>
                <w:lang w:eastAsia="fr-FR"/>
              </w:rPr>
              <w:t xml:space="preserve">Obsolescence technologique : entraînant progressivement l’isolement de </w:t>
            </w:r>
            <w:r>
              <w:rPr>
                <w:sz w:val="20"/>
                <w:szCs w:val="20"/>
                <w:lang w:eastAsia="fr-FR"/>
              </w:rPr>
              <w:t xml:space="preserve">CujasNum</w:t>
            </w:r>
            <w:r>
              <w:rPr>
                <w:sz w:val="20"/>
                <w:szCs w:val="20"/>
                <w:lang w:eastAsia="fr-FR"/>
              </w:rPr>
              <w:t xml:space="preserve"> et son invisibilité.</w:t>
            </w:r>
            <w:r>
              <w:rPr>
                <w:sz w:val="20"/>
                <w:szCs w:val="20"/>
                <w:lang w:eastAsia="fr-FR"/>
              </w:rPr>
            </w:r>
          </w:p>
        </w:tc>
        <w:tc>
          <w:tcPr>
            <w:tcBorders/>
            <w:tcW w:w="4531" w:type="dxa"/>
          </w:tcPr>
          <w:p>
            <w:pPr>
              <w:pBdr/>
              <w:spacing/>
              <w:ind/>
              <w:jc w:val="center"/>
              <w:rPr>
                <w:sz w:val="20"/>
                <w:szCs w:val="20"/>
                <w:lang w:eastAsia="fr-FR"/>
              </w:rPr>
            </w:pPr>
            <w:r>
              <w:rPr>
                <w:sz w:val="20"/>
                <w:szCs w:val="20"/>
                <w:lang w:eastAsia="fr-FR"/>
              </w:rPr>
              <w:t xml:space="preserve">Menaces (externes) du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CujasNum</w:t>
            </w:r>
            <w:r>
              <w:rPr>
                <w:sz w:val="20"/>
                <w:szCs w:val="20"/>
                <w:lang w:eastAsia="fr-FR"/>
              </w:rPr>
              <w:t xml:space="preserve"> a été développé sous XTF qui n’e</w:t>
            </w:r>
            <w:r>
              <w:rPr>
                <w:sz w:val="20"/>
                <w:szCs w:val="20"/>
                <w:lang w:eastAsia="fr-FR"/>
              </w:rPr>
              <w:t xml:space="preserve">st plus mise à jour depuis 2018 : risques de sécurité et de </w:t>
            </w:r>
            <w:r>
              <w:rPr>
                <w:sz w:val="20"/>
                <w:szCs w:val="20"/>
                <w:lang w:eastAsia="fr-FR"/>
              </w:rPr>
              <w:t xml:space="preserve">fermeture de la bibliothèque numérique par </w:t>
            </w:r>
            <w:r>
              <w:rPr>
                <w:sz w:val="20"/>
                <w:szCs w:val="20"/>
                <w:lang w:eastAsia="fr-FR"/>
              </w:rPr>
              <w:t xml:space="preserve">Renater</w:t>
            </w:r>
            <w:r>
              <w:rPr>
                <w:sz w:val="20"/>
                <w:szCs w:val="20"/>
                <w:lang w:eastAsia="fr-FR"/>
              </w:rPr>
              <w:t xml:space="preserve">.</w:t>
            </w:r>
            <w:r>
              <w:rPr>
                <w:sz w:val="20"/>
                <w:szCs w:val="20"/>
                <w:lang w:eastAsia="fr-FR"/>
              </w:rPr>
            </w:r>
          </w:p>
          <w:p>
            <w:pPr>
              <w:pBdr/>
              <w:spacing/>
              <w:ind/>
              <w:rPr>
                <w:sz w:val="20"/>
                <w:szCs w:val="20"/>
                <w:lang w:eastAsia="fr-FR"/>
              </w:rPr>
            </w:pPr>
            <w:r>
              <w:rPr>
                <w:sz w:val="20"/>
                <w:szCs w:val="20"/>
                <w:lang w:eastAsia="fr-FR"/>
              </w:rPr>
              <w:t xml:space="preserve">Poids des formats utilisés notamment avec le TIFF.</w:t>
            </w:r>
            <w:r>
              <w:rPr>
                <w:sz w:val="20"/>
                <w:szCs w:val="20"/>
                <w:lang w:eastAsia="fr-FR"/>
              </w:rPr>
            </w:r>
          </w:p>
          <w:p>
            <w:pPr>
              <w:pBdr/>
              <w:spacing/>
              <w:ind/>
              <w:rPr>
                <w:sz w:val="20"/>
                <w:szCs w:val="20"/>
                <w:lang w:eastAsia="fr-FR"/>
              </w:rPr>
            </w:pPr>
            <w:r>
              <w:rPr>
                <w:sz w:val="20"/>
                <w:szCs w:val="20"/>
                <w:lang w:eastAsia="fr-FR"/>
              </w:rPr>
              <w:t xml:space="preserve">Menace sur la conservation des données du fait de l</w:t>
            </w:r>
            <w:r>
              <w:rPr>
                <w:sz w:val="20"/>
                <w:szCs w:val="20"/>
                <w:lang w:eastAsia="fr-FR"/>
              </w:rPr>
              <w:t xml:space="preserve">’archivage pérenne au CINES </w:t>
            </w:r>
            <w:r>
              <w:rPr>
                <w:sz w:val="20"/>
                <w:szCs w:val="20"/>
                <w:lang w:eastAsia="fr-FR"/>
              </w:rPr>
              <w:t xml:space="preserve">mis </w:t>
            </w:r>
            <w:r>
              <w:rPr>
                <w:sz w:val="20"/>
                <w:szCs w:val="20"/>
                <w:lang w:eastAsia="fr-FR"/>
              </w:rPr>
              <w:t xml:space="preserve">à l’arrêt</w:t>
            </w:r>
            <w:r>
              <w:rPr>
                <w:sz w:val="20"/>
                <w:szCs w:val="20"/>
                <w:lang w:eastAsia="fr-FR"/>
              </w:rPr>
              <w:t xml:space="preserve">.</w:t>
            </w:r>
            <w:r>
              <w:rPr>
                <w:sz w:val="20"/>
                <w:szCs w:val="20"/>
                <w:lang w:eastAsia="fr-FR"/>
              </w:rPr>
            </w:r>
          </w:p>
          <w:p>
            <w:pPr>
              <w:pBdr/>
              <w:spacing/>
              <w:ind/>
              <w:rPr>
                <w:sz w:val="20"/>
                <w:szCs w:val="20"/>
                <w:lang w:eastAsia="fr-FR"/>
              </w:rPr>
            </w:pPr>
            <w:r>
              <w:rPr>
                <w:sz w:val="20"/>
                <w:szCs w:val="20"/>
                <w:lang w:eastAsia="fr-FR"/>
              </w:rPr>
            </w:r>
            <w:r>
              <w:rPr>
                <w:sz w:val="20"/>
                <w:szCs w:val="20"/>
                <w:lang w:eastAsia="fr-FR"/>
              </w:rPr>
            </w:r>
          </w:p>
        </w:tc>
      </w:tr>
    </w:tbl>
    <w:p>
      <w:pPr>
        <w:pBdr/>
        <w:spacing w:line="240" w:lineRule="auto"/>
        <w:ind/>
        <w:rPr>
          <w:lang w:eastAsia="fr-FR"/>
        </w:rPr>
      </w:pPr>
      <w:r>
        <w:rPr>
          <w:lang w:eastAsia="fr-FR"/>
        </w:rPr>
      </w:r>
      <w:r>
        <w:rPr>
          <w:lang w:eastAsia="fr-FR"/>
        </w:rPr>
      </w:r>
    </w:p>
    <w:p>
      <w:pPr>
        <w:pStyle w:val="2057"/>
        <w:numPr>
          <w:ilvl w:val="0"/>
          <w:numId w:val="10"/>
        </w:numPr>
        <w:pBdr/>
        <w:spacing w:line="240" w:lineRule="auto"/>
        <w:ind/>
        <w:rPr>
          <w:lang w:eastAsia="fr-FR"/>
        </w:rPr>
      </w:pPr>
      <w:r/>
      <w:bookmarkStart w:id="64" w:name="_Toc236222460"/>
      <w:r>
        <w:rPr>
          <w:lang w:eastAsia="fr-FR"/>
        </w:rPr>
        <w:t xml:space="preserve">Codex</w:t>
      </w:r>
      <w:bookmarkEnd w:id="64"/>
      <w:r/>
      <w:r>
        <w:rPr>
          <w:lang w:eastAsia="fr-FR"/>
        </w:rPr>
      </w:r>
    </w:p>
    <w:p>
      <w:pPr>
        <w:pStyle w:val="2058"/>
        <w:numPr>
          <w:ilvl w:val="1"/>
          <w:numId w:val="10"/>
        </w:numPr>
        <w:pBdr/>
        <w:spacing w:line="240" w:lineRule="auto"/>
        <w:ind/>
        <w:rPr>
          <w:lang w:eastAsia="fr-FR"/>
        </w:rPr>
      </w:pPr>
      <w:r/>
      <w:bookmarkStart w:id="65" w:name="_Toc236222461"/>
      <w:r>
        <w:rPr>
          <w:lang w:eastAsia="fr-FR"/>
        </w:rPr>
        <w:t xml:space="preserve">Aspects</w:t>
      </w:r>
      <w:r>
        <w:rPr>
          <w:lang w:eastAsia="fr-FR"/>
        </w:rPr>
        <w:t xml:space="preserve"> techniques de Codex</w:t>
      </w:r>
      <w:bookmarkEnd w:id="65"/>
      <w:r/>
      <w:r>
        <w:rPr>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Développement sous Python-Django</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Architecture modulaire et multiplateforme.</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Utilisation du protocole IIIF</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Mise en place d’API pour le moissonnage de métadonnées et interroger d’autres sites.</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Utilisation de standards ouverts et de différents formats</w:t>
      </w:r>
      <w:r>
        <w:rPr>
          <w:rFonts w:ascii="Trebuchet MS" w:hAnsi="Trebuchet MS"/>
          <w:sz w:val="20"/>
          <w:szCs w:val="20"/>
          <w:lang w:eastAsia="fr-FR"/>
        </w:rPr>
        <w:t xml:space="preserve"> reconnus</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Utilisation des protocoles SSO et SAML</w:t>
      </w:r>
      <w:r>
        <w:rPr>
          <w:rFonts w:ascii="Trebuchet MS" w:hAnsi="Trebuchet MS"/>
          <w:sz w:val="20"/>
          <w:szCs w:val="20"/>
          <w:lang w:eastAsia="fr-FR"/>
        </w:rPr>
        <w:t xml:space="preserve"> : protocoles de sécurités permettant au système d’interroger les serveurs de l’université afin de savoir s’il est bien inscrit chez eux.</w:t>
      </w:r>
      <w:r>
        <w:rPr>
          <w:rFonts w:ascii="Trebuchet MS" w:hAnsi="Trebuchet MS"/>
          <w:sz w:val="20"/>
          <w:szCs w:val="20"/>
          <w:lang w:eastAsia="fr-FR"/>
        </w:rPr>
      </w:r>
    </w:p>
    <w:p>
      <w:pPr>
        <w:pStyle w:val="2066"/>
        <w:numPr>
          <w:ilvl w:val="0"/>
          <w:numId w:val="36"/>
        </w:numPr>
        <w:pBdr/>
        <w:spacing w:line="240" w:lineRule="auto"/>
        <w:ind/>
        <w:rPr>
          <w:rFonts w:ascii="Trebuchet MS" w:hAnsi="Trebuchet MS"/>
          <w:sz w:val="20"/>
          <w:szCs w:val="20"/>
          <w:lang w:eastAsia="fr-FR"/>
        </w:rPr>
      </w:pPr>
      <w:r>
        <w:rPr>
          <w:rFonts w:ascii="Trebuchet MS" w:hAnsi="Trebuchet MS"/>
          <w:sz w:val="20"/>
          <w:szCs w:val="20"/>
          <w:lang w:eastAsia="fr-FR"/>
        </w:rPr>
        <w:t xml:space="preserve">Avoir accès contrôlé au back-office par profil d’utilisateur.</w:t>
      </w:r>
      <w:r>
        <w:rPr>
          <w:rFonts w:ascii="Trebuchet MS" w:hAnsi="Trebuchet MS"/>
          <w:sz w:val="20"/>
          <w:szCs w:val="20"/>
          <w:lang w:eastAsia="fr-FR"/>
        </w:rPr>
      </w:r>
    </w:p>
    <w:p>
      <w:pPr>
        <w:pStyle w:val="2058"/>
        <w:numPr>
          <w:ilvl w:val="1"/>
          <w:numId w:val="10"/>
        </w:numPr>
        <w:pBdr/>
        <w:spacing w:line="240" w:lineRule="auto"/>
        <w:ind/>
        <w:rPr>
          <w:lang w:eastAsia="fr-FR"/>
        </w:rPr>
      </w:pPr>
      <w:r/>
      <w:bookmarkStart w:id="66" w:name="_Toc236222462"/>
      <w:r>
        <w:rPr>
          <w:lang w:eastAsia="fr-FR"/>
        </w:rPr>
        <w:t xml:space="preserve">SWOT</w:t>
      </w:r>
      <w:bookmarkEnd w:id="66"/>
      <w:r/>
      <w:r>
        <w:rPr>
          <w:lang w:eastAsia="fr-FR"/>
        </w:rPr>
      </w:r>
    </w:p>
    <w:p>
      <w:pPr>
        <w:pBdr/>
        <w:spacing w:line="240" w:lineRule="auto"/>
        <w:ind/>
        <w:rPr>
          <w:lang w:eastAsia="fr-FR"/>
        </w:rPr>
      </w:pPr>
      <w:r>
        <w:rPr>
          <w:lang w:eastAsia="fr-FR"/>
        </w:rPr>
      </w:r>
      <w:r>
        <w:rPr>
          <w:lang w:eastAsia="fr-FR"/>
        </w:rPr>
      </w:r>
    </w:p>
    <w:tbl>
      <w:tblPr>
        <w:tblStyle w:val="2076"/>
        <w:tblW w:w="0" w:type="auto"/>
        <w:tblBorders/>
        <w:tblLook w:val="04A0" w:firstRow="1" w:lastRow="0" w:firstColumn="1" w:lastColumn="0" w:noHBand="0" w:noVBand="1"/>
      </w:tblPr>
      <w:tblGrid>
        <w:gridCol w:w="4531"/>
        <w:gridCol w:w="4531"/>
      </w:tblGrid>
      <w:tr>
        <w:trPr/>
        <w:tc>
          <w:tcPr>
            <w:tcBorders/>
            <w:tcW w:w="4531" w:type="dxa"/>
          </w:tcPr>
          <w:p>
            <w:pPr>
              <w:pBdr/>
              <w:spacing/>
              <w:ind/>
              <w:jc w:val="center"/>
              <w:rPr>
                <w:sz w:val="20"/>
                <w:szCs w:val="20"/>
                <w:lang w:eastAsia="fr-FR"/>
              </w:rPr>
            </w:pPr>
            <w:r>
              <w:rPr>
                <w:sz w:val="20"/>
                <w:szCs w:val="20"/>
                <w:lang w:eastAsia="fr-FR"/>
              </w:rPr>
              <w:t xml:space="preserve">Forces (internes) du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Evolutivité permise par l’architecture du site.</w:t>
            </w:r>
            <w:r>
              <w:rPr>
                <w:sz w:val="20"/>
                <w:szCs w:val="20"/>
                <w:lang w:eastAsia="fr-FR"/>
              </w:rPr>
            </w:r>
          </w:p>
          <w:p>
            <w:pPr>
              <w:pBdr/>
              <w:spacing/>
              <w:ind/>
              <w:rPr>
                <w:sz w:val="20"/>
                <w:szCs w:val="20"/>
                <w:lang w:eastAsia="fr-FR"/>
              </w:rPr>
            </w:pPr>
            <w:r>
              <w:rPr>
                <w:sz w:val="20"/>
                <w:szCs w:val="20"/>
                <w:lang w:eastAsia="fr-FR"/>
              </w:rPr>
              <w:t xml:space="preserve">Système « maison » conçu et maintenu en interne : forte adaptation aux besoins, pas de dépendance à un</w:t>
            </w:r>
            <w:r>
              <w:rPr>
                <w:sz w:val="20"/>
                <w:szCs w:val="20"/>
                <w:lang w:eastAsia="fr-FR"/>
              </w:rPr>
              <w:t xml:space="preserve"> prestataire</w:t>
            </w:r>
            <w:r>
              <w:rPr>
                <w:sz w:val="20"/>
                <w:szCs w:val="20"/>
                <w:lang w:eastAsia="fr-FR"/>
              </w:rPr>
              <w:t xml:space="preserve">.</w:t>
            </w:r>
            <w:r>
              <w:rPr>
                <w:sz w:val="20"/>
                <w:szCs w:val="20"/>
                <w:lang w:eastAsia="fr-FR"/>
              </w:rPr>
            </w:r>
          </w:p>
          <w:p>
            <w:pPr>
              <w:pBdr/>
              <w:spacing/>
              <w:ind/>
              <w:rPr>
                <w:sz w:val="20"/>
                <w:szCs w:val="20"/>
                <w:lang w:eastAsia="fr-FR"/>
              </w:rPr>
            </w:pPr>
            <w:r>
              <w:rPr>
                <w:sz w:val="20"/>
                <w:szCs w:val="20"/>
                <w:lang w:eastAsia="fr-FR"/>
              </w:rPr>
              <w:t xml:space="preserve">Interopérabilité permise par les standards et les formats choisis.</w:t>
            </w:r>
            <w:r>
              <w:rPr>
                <w:sz w:val="20"/>
                <w:szCs w:val="20"/>
                <w:lang w:eastAsia="fr-FR"/>
              </w:rPr>
            </w:r>
          </w:p>
          <w:p>
            <w:pPr>
              <w:pBdr/>
              <w:spacing/>
              <w:ind/>
              <w:rPr>
                <w:sz w:val="20"/>
                <w:szCs w:val="20"/>
                <w:lang w:eastAsia="fr-FR"/>
              </w:rPr>
            </w:pPr>
            <w:r>
              <w:rPr>
                <w:sz w:val="20"/>
                <w:szCs w:val="20"/>
                <w:lang w:eastAsia="fr-FR"/>
              </w:rPr>
              <w:t xml:space="preserve">Ils s’appuient sur de </w:t>
            </w:r>
            <w:r>
              <w:rPr>
                <w:sz w:val="20"/>
                <w:szCs w:val="20"/>
                <w:lang w:eastAsia="fr-FR"/>
              </w:rPr>
            </w:r>
          </w:p>
          <w:p>
            <w:pPr>
              <w:pBdr/>
              <w:spacing/>
              <w:ind/>
              <w:rPr>
                <w:sz w:val="20"/>
                <w:szCs w:val="20"/>
                <w:lang w:eastAsia="fr-FR"/>
              </w:rPr>
            </w:pPr>
            <w:r>
              <w:rPr>
                <w:sz w:val="20"/>
                <w:szCs w:val="20"/>
                <w:lang w:eastAsia="fr-FR"/>
              </w:rPr>
              <w:t xml:space="preserve">Le système n’est donc pas figé, car il permet d’ajouter d’autres types de documents ayant un autre format</w:t>
            </w:r>
            <w:r>
              <w:rPr>
                <w:sz w:val="20"/>
                <w:szCs w:val="20"/>
                <w:lang w:eastAsia="fr-FR"/>
              </w:rPr>
              <w:t xml:space="preserve">.</w:t>
            </w:r>
            <w:r>
              <w:rPr>
                <w:sz w:val="20"/>
                <w:szCs w:val="20"/>
                <w:lang w:eastAsia="fr-FR"/>
              </w:rPr>
            </w:r>
          </w:p>
          <w:p>
            <w:pPr>
              <w:pBdr/>
              <w:spacing/>
              <w:ind/>
              <w:rPr>
                <w:sz w:val="20"/>
                <w:szCs w:val="20"/>
                <w:lang w:eastAsia="fr-FR"/>
              </w:rPr>
            </w:pPr>
            <w:r>
              <w:rPr>
                <w:sz w:val="20"/>
                <w:szCs w:val="20"/>
                <w:lang w:eastAsia="fr-FR"/>
              </w:rPr>
              <w:t xml:space="preserve">Capacité à donner accès à des documents sous</w:t>
            </w:r>
            <w:r>
              <w:rPr>
                <w:sz w:val="20"/>
                <w:szCs w:val="20"/>
                <w:lang w:eastAsia="fr-FR"/>
              </w:rPr>
              <w:t xml:space="preserve"> </w:t>
            </w:r>
            <w:r>
              <w:rPr>
                <w:sz w:val="20"/>
                <w:szCs w:val="20"/>
                <w:lang w:eastAsia="fr-FR"/>
              </w:rPr>
              <w:t xml:space="preserve">droits.</w:t>
            </w:r>
            <w:r>
              <w:rPr>
                <w:sz w:val="20"/>
                <w:szCs w:val="20"/>
                <w:lang w:eastAsia="fr-FR"/>
              </w:rPr>
            </w:r>
          </w:p>
          <w:p>
            <w:pPr>
              <w:pBdr/>
              <w:spacing/>
              <w:ind/>
              <w:rPr>
                <w:sz w:val="20"/>
                <w:szCs w:val="20"/>
                <w:lang w:eastAsia="fr-FR"/>
              </w:rPr>
            </w:pPr>
            <w:r>
              <w:rPr>
                <w:sz w:val="20"/>
                <w:szCs w:val="20"/>
                <w:lang w:eastAsia="fr-FR"/>
              </w:rPr>
              <w:t xml:space="preserve">Possibilité de travailler en sécurité avec de nombreux intervenants.</w:t>
            </w:r>
            <w:r>
              <w:rPr>
                <w:sz w:val="20"/>
                <w:szCs w:val="20"/>
                <w:lang w:eastAsia="fr-FR"/>
              </w:rPr>
            </w:r>
          </w:p>
        </w:tc>
        <w:tc>
          <w:tcPr>
            <w:tcBorders/>
            <w:tcW w:w="4531" w:type="dxa"/>
          </w:tcPr>
          <w:p>
            <w:pPr>
              <w:pBdr/>
              <w:spacing/>
              <w:ind/>
              <w:jc w:val="center"/>
              <w:rPr>
                <w:sz w:val="20"/>
                <w:szCs w:val="20"/>
                <w:lang w:eastAsia="fr-FR"/>
              </w:rPr>
            </w:pPr>
            <w:r>
              <w:rPr>
                <w:sz w:val="20"/>
                <w:szCs w:val="20"/>
                <w:lang w:eastAsia="fr-FR"/>
              </w:rPr>
              <w:t xml:space="preserve">Opportunités (externes) pour le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Permet</w:t>
            </w:r>
            <w:r>
              <w:rPr>
                <w:sz w:val="20"/>
                <w:szCs w:val="20"/>
                <w:lang w:eastAsia="fr-FR"/>
              </w:rPr>
              <w:t xml:space="preserve"> de relancer le moissonnage OAI-PMH par la </w:t>
            </w:r>
            <w:r>
              <w:rPr>
                <w:sz w:val="20"/>
                <w:szCs w:val="20"/>
                <w:lang w:eastAsia="fr-FR"/>
              </w:rPr>
              <w:t xml:space="preserve">BnF</w:t>
            </w:r>
            <w:r>
              <w:rPr>
                <w:sz w:val="20"/>
                <w:szCs w:val="20"/>
                <w:lang w:eastAsia="fr-FR"/>
              </w:rPr>
              <w:t xml:space="preserve">.</w:t>
            </w:r>
            <w:r>
              <w:rPr>
                <w:sz w:val="20"/>
                <w:szCs w:val="20"/>
                <w:lang w:eastAsia="fr-FR"/>
              </w:rPr>
            </w:r>
          </w:p>
          <w:p>
            <w:pPr>
              <w:pBdr/>
              <w:spacing/>
              <w:ind/>
              <w:rPr>
                <w:sz w:val="20"/>
                <w:szCs w:val="20"/>
                <w:lang w:eastAsia="fr-FR"/>
              </w:rPr>
            </w:pPr>
            <w:r>
              <w:rPr>
                <w:sz w:val="20"/>
                <w:szCs w:val="20"/>
                <w:lang w:eastAsia="fr-FR"/>
              </w:rPr>
              <w:t xml:space="preserve">Le système permet le moissonnage de métadonnées extérieures.</w:t>
            </w:r>
            <w:r>
              <w:rPr>
                <w:sz w:val="20"/>
                <w:szCs w:val="20"/>
                <w:lang w:eastAsia="fr-FR"/>
              </w:rPr>
            </w:r>
          </w:p>
          <w:p>
            <w:pPr>
              <w:pBdr/>
              <w:spacing/>
              <w:ind/>
              <w:rPr>
                <w:sz w:val="20"/>
                <w:szCs w:val="20"/>
                <w:lang w:eastAsia="fr-FR"/>
              </w:rPr>
            </w:pPr>
            <w:r>
              <w:rPr>
                <w:sz w:val="20"/>
                <w:szCs w:val="20"/>
                <w:lang w:eastAsia="fr-FR"/>
              </w:rPr>
              <w:t xml:space="preserve">Possibilité pour les experts métiers de comprendre le circuit de la donnée et d’agir pour correction de manière simplifiée.</w:t>
            </w:r>
            <w:r>
              <w:rPr>
                <w:sz w:val="20"/>
                <w:szCs w:val="20"/>
                <w:lang w:eastAsia="fr-FR"/>
              </w:rPr>
            </w:r>
          </w:p>
          <w:p>
            <w:pPr>
              <w:pBdr/>
              <w:spacing/>
              <w:ind/>
              <w:rPr>
                <w:sz w:val="20"/>
                <w:szCs w:val="20"/>
                <w:lang w:eastAsia="fr-FR"/>
              </w:rPr>
            </w:pPr>
            <w:r>
              <w:rPr>
                <w:sz w:val="20"/>
                <w:szCs w:val="20"/>
                <w:lang w:eastAsia="fr-FR"/>
              </w:rPr>
              <w:t xml:space="preserve">Interopérabilité :</w:t>
            </w:r>
            <w:r>
              <w:rPr>
                <w:sz w:val="20"/>
                <w:szCs w:val="20"/>
                <w:lang w:eastAsia="fr-FR"/>
              </w:rPr>
            </w:r>
          </w:p>
          <w:p>
            <w:pPr>
              <w:pBdr/>
              <w:spacing/>
              <w:ind/>
              <w:rPr>
                <w:sz w:val="20"/>
                <w:szCs w:val="20"/>
                <w:lang w:eastAsia="fr-FR"/>
              </w:rPr>
            </w:pPr>
            <w:r>
              <w:rPr>
                <w:sz w:val="20"/>
                <w:szCs w:val="20"/>
                <w:lang w:eastAsia="fr-FR"/>
              </w:rPr>
              <w:t xml:space="preserve">Le protocole IIIF va permettre de combler des lacunes en rapatriant des données d’autres établissements.</w:t>
            </w:r>
            <w:r>
              <w:rPr>
                <w:sz w:val="20"/>
                <w:szCs w:val="20"/>
                <w:lang w:eastAsia="fr-FR"/>
              </w:rPr>
            </w:r>
          </w:p>
          <w:p>
            <w:pPr>
              <w:pBdr/>
              <w:spacing/>
              <w:ind/>
              <w:rPr>
                <w:sz w:val="20"/>
                <w:szCs w:val="20"/>
                <w:lang w:eastAsia="fr-FR"/>
              </w:rPr>
            </w:pPr>
            <w:r>
              <w:rPr>
                <w:sz w:val="20"/>
                <w:szCs w:val="20"/>
                <w:lang w:eastAsia="fr-FR"/>
              </w:rPr>
              <w:t xml:space="preserve">Visibilité accrue grâce au moissonnage des métadonnées.</w:t>
            </w:r>
            <w:r>
              <w:rPr>
                <w:sz w:val="20"/>
                <w:szCs w:val="20"/>
                <w:lang w:eastAsia="fr-FR"/>
              </w:rPr>
            </w:r>
          </w:p>
          <w:p>
            <w:pPr>
              <w:pBdr/>
              <w:spacing/>
              <w:ind/>
              <w:rPr>
                <w:sz w:val="20"/>
                <w:szCs w:val="20"/>
                <w:lang w:eastAsia="fr-FR"/>
              </w:rPr>
            </w:pPr>
            <w:r>
              <w:rPr>
                <w:sz w:val="20"/>
                <w:szCs w:val="20"/>
                <w:lang w:eastAsia="fr-FR"/>
              </w:rPr>
              <w:t xml:space="preserve">Les standards et les normes du web de données utilisés permettent un alignem</w:t>
            </w:r>
            <w:r>
              <w:rPr>
                <w:sz w:val="20"/>
                <w:szCs w:val="20"/>
                <w:lang w:eastAsia="fr-FR"/>
              </w:rPr>
              <w:t xml:space="preserve">ent avec les principaux référent</w:t>
            </w:r>
            <w:r>
              <w:rPr>
                <w:sz w:val="20"/>
                <w:szCs w:val="20"/>
                <w:lang w:eastAsia="fr-FR"/>
              </w:rPr>
              <w:t xml:space="preserve">iels et de construire des liens vers d’autres plateformes.</w:t>
            </w:r>
            <w:r>
              <w:rPr>
                <w:sz w:val="20"/>
                <w:szCs w:val="20"/>
                <w:lang w:eastAsia="fr-FR"/>
              </w:rPr>
            </w:r>
          </w:p>
          <w:p>
            <w:pPr>
              <w:pBdr/>
              <w:spacing/>
              <w:ind/>
              <w:rPr>
                <w:sz w:val="20"/>
                <w:szCs w:val="20"/>
                <w:lang w:eastAsia="fr-FR"/>
              </w:rPr>
            </w:pPr>
            <w:r>
              <w:rPr>
                <w:sz w:val="20"/>
                <w:szCs w:val="20"/>
                <w:lang w:eastAsia="fr-FR"/>
              </w:rPr>
              <w:t xml:space="preserve">Possibilité de verser des documents </w:t>
            </w:r>
            <w:r>
              <w:rPr>
                <w:sz w:val="20"/>
                <w:szCs w:val="20"/>
                <w:lang w:eastAsia="fr-FR"/>
              </w:rPr>
              <w:t xml:space="preserve">sous</w:t>
            </w:r>
            <w:r>
              <w:rPr>
                <w:sz w:val="20"/>
                <w:szCs w:val="20"/>
                <w:lang w:eastAsia="fr-FR"/>
              </w:rPr>
              <w:t xml:space="preserve"> </w:t>
            </w:r>
            <w:r>
              <w:rPr>
                <w:sz w:val="20"/>
                <w:szCs w:val="20"/>
                <w:lang w:eastAsia="fr-FR"/>
              </w:rPr>
              <w:t xml:space="preserve">droits et donner un accès restreint.</w:t>
            </w:r>
            <w:r>
              <w:rPr>
                <w:sz w:val="20"/>
                <w:szCs w:val="20"/>
                <w:lang w:eastAsia="fr-FR"/>
              </w:rPr>
            </w:r>
          </w:p>
        </w:tc>
      </w:tr>
      <w:tr>
        <w:trPr/>
        <w:tc>
          <w:tcPr>
            <w:tcBorders/>
            <w:tcW w:w="4531" w:type="dxa"/>
          </w:tcPr>
          <w:p>
            <w:pPr>
              <w:pBdr/>
              <w:spacing/>
              <w:ind/>
              <w:jc w:val="center"/>
              <w:rPr>
                <w:sz w:val="20"/>
                <w:szCs w:val="20"/>
                <w:lang w:eastAsia="fr-FR"/>
              </w:rPr>
            </w:pPr>
            <w:r>
              <w:rPr>
                <w:sz w:val="20"/>
                <w:szCs w:val="20"/>
                <w:lang w:eastAsia="fr-FR"/>
              </w:rPr>
              <w:t xml:space="preserve">Faiblesses (internes) du projet :</w:t>
            </w:r>
            <w:r>
              <w:rPr>
                <w:sz w:val="20"/>
                <w:szCs w:val="20"/>
                <w:lang w:eastAsia="fr-FR"/>
              </w:rPr>
            </w:r>
          </w:p>
          <w:p>
            <w:pPr>
              <w:pBdr/>
              <w:spacing/>
              <w:ind/>
              <w:jc w:val="center"/>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Beaucoup d’éléments restent proche de </w:t>
            </w:r>
            <w:r>
              <w:rPr>
                <w:sz w:val="20"/>
                <w:szCs w:val="20"/>
                <w:lang w:eastAsia="fr-FR"/>
              </w:rPr>
              <w:t xml:space="preserve">CujasNum</w:t>
            </w:r>
            <w:r>
              <w:rPr>
                <w:sz w:val="20"/>
                <w:szCs w:val="20"/>
                <w:lang w:eastAsia="fr-FR"/>
              </w:rPr>
              <w:t xml:space="preserve"> et restent à faire évoluer.</w:t>
            </w:r>
            <w:r>
              <w:rPr>
                <w:sz w:val="20"/>
                <w:szCs w:val="20"/>
                <w:lang w:eastAsia="fr-FR"/>
              </w:rPr>
            </w:r>
          </w:p>
          <w:p>
            <w:pPr>
              <w:pBdr/>
              <w:spacing/>
              <w:ind/>
              <w:rPr>
                <w:sz w:val="20"/>
                <w:szCs w:val="20"/>
                <w:lang w:eastAsia="fr-FR"/>
              </w:rPr>
            </w:pPr>
            <w:r>
              <w:rPr>
                <w:sz w:val="20"/>
                <w:szCs w:val="20"/>
                <w:lang w:eastAsia="fr-FR"/>
              </w:rPr>
              <w:t xml:space="preserve">Système « maison » conçu et maintenu en interne : menace sur la maintenance et l’évolution du système (Système non documenté et seulement connu à Cujas).</w:t>
            </w:r>
            <w:r>
              <w:rPr>
                <w:sz w:val="20"/>
                <w:szCs w:val="20"/>
                <w:lang w:eastAsia="fr-FR"/>
              </w:rPr>
            </w:r>
          </w:p>
        </w:tc>
        <w:tc>
          <w:tcPr>
            <w:tcBorders/>
            <w:tcW w:w="4531" w:type="dxa"/>
          </w:tcPr>
          <w:p>
            <w:pPr>
              <w:pBdr/>
              <w:spacing/>
              <w:ind/>
              <w:jc w:val="center"/>
              <w:rPr>
                <w:sz w:val="20"/>
                <w:szCs w:val="20"/>
                <w:lang w:eastAsia="fr-FR"/>
              </w:rPr>
            </w:pPr>
            <w:r>
              <w:rPr>
                <w:sz w:val="20"/>
                <w:szCs w:val="20"/>
                <w:lang w:eastAsia="fr-FR"/>
              </w:rPr>
              <w:t xml:space="preserve">Menaces (externes) du projet :</w:t>
            </w:r>
            <w:r>
              <w:rPr>
                <w:sz w:val="20"/>
                <w:szCs w:val="20"/>
                <w:lang w:eastAsia="fr-FR"/>
              </w:rPr>
            </w:r>
          </w:p>
          <w:p>
            <w:pPr>
              <w:pBdr/>
              <w:spacing/>
              <w:ind/>
              <w:rPr>
                <w:sz w:val="20"/>
                <w:szCs w:val="20"/>
                <w:lang w:eastAsia="fr-FR"/>
              </w:rPr>
            </w:pPr>
            <w:r>
              <w:rPr>
                <w:sz w:val="20"/>
                <w:szCs w:val="20"/>
                <w:lang w:eastAsia="fr-FR"/>
              </w:rPr>
            </w:r>
            <w:r>
              <w:rPr>
                <w:sz w:val="20"/>
                <w:szCs w:val="20"/>
                <w:lang w:eastAsia="fr-FR"/>
              </w:rPr>
            </w:r>
          </w:p>
          <w:p>
            <w:pPr>
              <w:pBdr/>
              <w:spacing/>
              <w:ind/>
              <w:rPr>
                <w:sz w:val="20"/>
                <w:szCs w:val="20"/>
                <w:lang w:eastAsia="fr-FR"/>
              </w:rPr>
            </w:pPr>
            <w:r>
              <w:rPr>
                <w:sz w:val="20"/>
                <w:szCs w:val="20"/>
                <w:lang w:eastAsia="fr-FR"/>
              </w:rPr>
              <w:t xml:space="preserve">Coût humain important et délicat car développement en interne donc on ne possède pas un vivier de personnes sur lesquelles s’appuyer pour mai</w:t>
            </w:r>
            <w:r>
              <w:rPr>
                <w:sz w:val="20"/>
                <w:szCs w:val="20"/>
                <w:lang w:eastAsia="fr-FR"/>
              </w:rPr>
              <w:t xml:space="preserve">ntenir sur moyen et long terme.</w:t>
            </w:r>
            <w:r>
              <w:rPr>
                <w:sz w:val="20"/>
                <w:szCs w:val="20"/>
                <w:lang w:eastAsia="fr-FR"/>
              </w:rPr>
            </w:r>
          </w:p>
        </w:tc>
      </w:tr>
    </w:tbl>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Bdr/>
        <w:spacing w:line="240" w:lineRule="auto"/>
        <w:ind/>
        <w:rPr>
          <w:lang w:eastAsia="fr-FR"/>
        </w:rPr>
      </w:pPr>
      <w:r>
        <w:rPr>
          <w:lang w:eastAsia="fr-FR"/>
        </w:rPr>
      </w:r>
      <w:r>
        <w:rPr>
          <w:lang w:eastAsia="fr-FR"/>
        </w:rPr>
      </w:r>
    </w:p>
    <w:p>
      <w:pPr>
        <w:pStyle w:val="2057"/>
        <w:pBdr/>
        <w:spacing w:line="240" w:lineRule="auto"/>
        <w:ind/>
        <w:jc w:val="center"/>
        <w:rPr/>
      </w:pPr>
      <w:r/>
      <w:bookmarkStart w:id="67" w:name="_Toc236222463"/>
      <w:r>
        <w:t xml:space="preserve">ANNEXES</w:t>
      </w:r>
      <w:bookmarkEnd w:id="67"/>
      <w:r/>
      <w:r/>
    </w:p>
    <w:p>
      <w:pPr>
        <w:pBdr/>
        <w:spacing w:line="240" w:lineRule="auto"/>
        <w:ind/>
        <w:rPr>
          <w:lang w:eastAsia="fr-FR"/>
        </w:rPr>
      </w:pPr>
      <w:r>
        <w:rPr>
          <w:lang w:eastAsia="fr-FR"/>
        </w:rPr>
      </w:r>
      <w:r>
        <w:rPr>
          <w:lang w:eastAsia="fr-FR"/>
        </w:rPr>
      </w:r>
    </w:p>
    <w:p>
      <w:pPr>
        <w:pStyle w:val="2058"/>
        <w:pBdr/>
        <w:spacing w:line="240" w:lineRule="auto"/>
        <w:ind/>
        <w:rPr/>
      </w:pPr>
      <w:r/>
      <w:bookmarkStart w:id="68" w:name="_Toc236222464"/>
      <w:r>
        <w:t xml:space="preserve">Annexe 1 : </w:t>
      </w:r>
      <w:r>
        <w:t xml:space="preserve">Descamps Olivier (OD), Professeur de l’histoire du droit de Paris II, responsable scientifique du CST droit (BNF)</w:t>
      </w:r>
      <w:r>
        <w:t xml:space="preserve">.</w:t>
      </w:r>
      <w:bookmarkEnd w:id="68"/>
      <w:r/>
      <w:r/>
    </w:p>
    <w:p>
      <w:pPr>
        <w:pBdr/>
        <w:spacing w:line="240" w:lineRule="auto"/>
        <w:ind/>
        <w:rPr>
          <w:lang w:eastAsia="fr-FR"/>
        </w:rPr>
      </w:pPr>
      <w:r>
        <w:rPr>
          <w:lang w:eastAsia="fr-FR"/>
        </w:rPr>
      </w:r>
      <w:r>
        <w:rPr>
          <w:lang w:eastAsia="fr-FR"/>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Pour lui la bibliothèque numérique réunissant des sources d’his</w:t>
      </w:r>
      <w:r>
        <w:rPr>
          <w:rFonts w:ascii="Trebuchet MS" w:hAnsi="Trebuchet MS"/>
          <w:sz w:val="22"/>
        </w:rPr>
        <w:t xml:space="preserve">toire du droit qui serait difficile ou fastidieux de consulter. Il nécessiterait des démarches pour aller les consulter en Italie, Allemagne. Il s’agit d’un lieu concentré où l’on peut trouver les sources souhaitées et très importants à l’heure actuelle.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Méthode de recherche : « Est-ce que vous utilisez principalement la recherche simple et la recherche avancée ou peut-il vous arriver de faire une recherche plus alé</w:t>
      </w:r>
      <w:r>
        <w:rPr>
          <w:rFonts w:ascii="Trebuchet MS" w:hAnsi="Trebuchet MS"/>
          <w:sz w:val="22"/>
        </w:rPr>
        <w:t xml:space="preserve">atoire à travers les collections de la bibliothèque numérique comme vous pourriez être amené à le faire dans une salle de lecture ? Exactement ça. Idée initiale avec des démarches pour regarder autour ce que l’on peut trouver. C’est très agréable. Biblioth</w:t>
      </w:r>
      <w:r>
        <w:rPr>
          <w:rFonts w:ascii="Trebuchet MS" w:hAnsi="Trebuchet MS"/>
          <w:sz w:val="22"/>
        </w:rPr>
        <w:t xml:space="preserve">èque numérique de Munich bonne présentation, lien avec des propositions avec possibilité de cliquer dessus avec les mêmes éditions d’ouvrages, ou autre documents. Cela fait le prolongement de la recherche. Balade bucolique dans l’arborescence numérique. »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Cujas : demande sur un auteur. Si on fait une demande ciblée, d’autrefois référence à d’autres ouvrages avec le même auteur pouvant être cité par quelqu’un d’autre. Le hasard est pertinent et agréable pour constituer le pan de la recherche.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Pour les filtres : « Quand vous faites vos reche</w:t>
      </w:r>
      <w:r>
        <w:rPr>
          <w:rFonts w:ascii="Trebuchet MS" w:hAnsi="Trebuchet MS"/>
          <w:sz w:val="22"/>
        </w:rPr>
        <w:t xml:space="preserve">rches, quels types de mots-clés utilisez-vous pour obtenir vos résultats (plutôt thématique ou très précis) ? La règle est qui peut le plus peut le moins. Ayant plus de filtre, élargissement du spectre. La recherche du moment. Des filtres trop précis ne se</w:t>
      </w:r>
      <w:r>
        <w:rPr>
          <w:rFonts w:ascii="Trebuchet MS" w:hAnsi="Trebuchet MS"/>
          <w:sz w:val="22"/>
        </w:rPr>
        <w:t xml:space="preserve">raient pas forcément très intéressant et cela peut être contraignant. C’est mieux d’avoir plus de filtres permettant de voire qu’il y a autre chose permettant d’aller plus loin. Il aimerait bien pouvoir prendre un chemin de traverse sinon trop réducteur.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Le problème d’absence d’</w:t>
      </w:r>
      <w:r>
        <w:rPr>
          <w:rFonts w:ascii="Trebuchet MS" w:hAnsi="Trebuchet MS"/>
          <w:sz w:val="22"/>
        </w:rPr>
        <w:t xml:space="preserve">océrisation</w:t>
      </w:r>
      <w:r>
        <w:rPr>
          <w:rFonts w:ascii="Trebuchet MS" w:hAnsi="Trebuchet MS"/>
          <w:sz w:val="22"/>
        </w:rPr>
        <w:t xml:space="preserve">, pas d’autre méthode pour repérer. Si on sait ce que l’on cherche comme par exemple un commentaire sur le digeste. Si c’est un ouvrage que l’on ne connait pas particulièrement cela devient difficile. Soit on va à la </w:t>
      </w:r>
      <w:r>
        <w:rPr>
          <w:rFonts w:ascii="Trebuchet MS" w:hAnsi="Trebuchet MS"/>
          <w:sz w:val="22"/>
        </w:rPr>
        <w:t xml:space="preserve">tdm</w:t>
      </w:r>
      <w:r>
        <w:rPr>
          <w:rFonts w:ascii="Trebuchet MS" w:hAnsi="Trebuchet MS"/>
          <w:sz w:val="22"/>
        </w:rPr>
        <w:t xml:space="preserve">, taper un mot si toutefois c’est </w:t>
      </w:r>
      <w:r>
        <w:rPr>
          <w:rFonts w:ascii="Trebuchet MS" w:hAnsi="Trebuchet MS"/>
          <w:sz w:val="22"/>
        </w:rPr>
        <w:t xml:space="preserve">océrisé</w:t>
      </w:r>
      <w:r>
        <w:rPr>
          <w:rFonts w:ascii="Trebuchet MS" w:hAnsi="Trebuchet MS"/>
          <w:sz w:val="22"/>
        </w:rPr>
        <w:t xml:space="preserve"> quand les docs ne le sont pas cela devient plus difficile.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Stratégie mise en place : il a téléchargé adobe professionnel permettant une </w:t>
      </w:r>
      <w:r>
        <w:rPr>
          <w:rFonts w:ascii="Trebuchet MS" w:hAnsi="Trebuchet MS"/>
          <w:sz w:val="22"/>
        </w:rPr>
        <w:t xml:space="preserve">océrisation</w:t>
      </w:r>
      <w:r>
        <w:rPr>
          <w:rFonts w:ascii="Trebuchet MS" w:hAnsi="Trebuchet MS"/>
          <w:sz w:val="22"/>
        </w:rPr>
        <w:t xml:space="preserv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Un jeune étudiant en thèse cela ne serait pas possible. Il serait obligé par exemple </w:t>
      </w:r>
      <w:r>
        <w:rPr>
          <w:rFonts w:ascii="Trebuchet MS" w:hAnsi="Trebuchet MS"/>
          <w:sz w:val="22"/>
        </w:rPr>
        <w:t xml:space="preserve">dns</w:t>
      </w:r>
      <w:r>
        <w:rPr>
          <w:rFonts w:ascii="Trebuchet MS" w:hAnsi="Trebuchet MS"/>
          <w:sz w:val="22"/>
        </w:rPr>
        <w:t xml:space="preserve"> le digeste : livre ix sur dommage sur les biens d’autrui. Avancer en « aveugle », tâtonnement.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Avoir le choix en</w:t>
      </w:r>
      <w:r>
        <w:rPr>
          <w:rFonts w:ascii="Trebuchet MS" w:hAnsi="Trebuchet MS"/>
          <w:sz w:val="22"/>
        </w:rPr>
        <w:t xml:space="preserve">tre télécharger une partie du document se serait bien. C’est généralement où tout l’un ou tout l’autre. Cela évite que ce soit trop lourd. Si possible d’avoir plus de commodité ce serait mieux. C’est le culte de la performance. Le milieu de la recherche : </w:t>
      </w:r>
      <w:r>
        <w:rPr>
          <w:rFonts w:ascii="Trebuchet MS" w:hAnsi="Trebuchet MS"/>
          <w:sz w:val="22"/>
        </w:rPr>
        <w:t xml:space="preserve">dvlpt</w:t>
      </w:r>
      <w:r>
        <w:rPr>
          <w:rFonts w:ascii="Trebuchet MS" w:hAnsi="Trebuchet MS"/>
          <w:sz w:val="22"/>
        </w:rPr>
        <w:t xml:space="preserve"> de la slow science où l’on prend son temps. Il y</w:t>
      </w:r>
      <w:r>
        <w:rPr>
          <w:rFonts w:ascii="Trebuchet MS" w:hAnsi="Trebuchet MS"/>
          <w:sz w:val="22"/>
        </w:rPr>
        <w:t xml:space="preserve"> </w:t>
      </w:r>
      <w:r>
        <w:rPr>
          <w:rFonts w:ascii="Trebuchet MS" w:hAnsi="Trebuchet MS"/>
          <w:sz w:val="22"/>
        </w:rPr>
        <w:t xml:space="preserve">a une impatiente qui s’est développé avec l’époque dans laquelle on vit.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Un espace à soi, avoir la possib</w:t>
      </w:r>
      <w:r>
        <w:rPr>
          <w:rFonts w:ascii="Trebuchet MS" w:hAnsi="Trebuchet MS"/>
          <w:sz w:val="22"/>
        </w:rPr>
        <w:t xml:space="preserve">ilité de pouvoir bien répartir les sources comme il le souhaite ce qu’il fait à l’extérieur pouvoir le faire à l’intérieur. Il souhaiterait si cela est possible de pouvoir recréer l’arborescence de ses dossiers à l’intérieur de la bibliothèque numérique.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 Ce serait bien, très utile. Création d’un </w:t>
      </w:r>
      <w:r>
        <w:rPr>
          <w:rFonts w:ascii="Trebuchet MS" w:hAnsi="Trebuchet MS"/>
          <w:sz w:val="22"/>
        </w:rPr>
        <w:t xml:space="preserve">zotero</w:t>
      </w:r>
      <w:r>
        <w:rPr>
          <w:rFonts w:ascii="Trebuchet MS" w:hAnsi="Trebuchet MS"/>
          <w:sz w:val="22"/>
        </w:rPr>
        <w:t xml:space="preserve">, dirige l’histoire juridique travaillant sur le parlement de paris pour pouvoir retrouver les ouvrages où ils sont et éviter de chercher dans tous les coins. Pouvoir importer c’est très bien car cela va vite.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Il faut le faire. C’est important car les jeunes chercheurs, étudiants ont besoin de cela. Il a une collègue qui est abonné à plusieurs comptes pour voir les nouveautés pouvoir les nouveautés, acquisition récente pour pouvoir monter ces séminaires.</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Si vous voulez plus de monde c’est les réseaux sociaux, c’est le numérique. Co-directeur de la revue, ils sont beaucoup moins lu, alors que le numérique permettrait d’amener plusieurs personnes.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Projet liste </w:t>
      </w:r>
      <w:r>
        <w:rPr>
          <w:rFonts w:ascii="Trebuchet MS" w:hAnsi="Trebuchet MS"/>
          <w:sz w:val="22"/>
        </w:rPr>
        <w:t xml:space="preserve">Pfister-Roumy</w:t>
      </w:r>
      <w:r>
        <w:rPr>
          <w:rFonts w:ascii="Trebuchet MS" w:hAnsi="Trebuchet MS"/>
          <w:sz w:val="22"/>
        </w:rPr>
        <w:t xml:space="preserve"> 2.0 : « Ce qu’il souhaiterait voir, important de numériser tous les manuels de droit civil, de procédure, commercial entre 1800 et 1940. C’est décisif. Créer des sous-catégories.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Les revues : trimestriel de droit civil crée en 1902. Il y a 4 volumes qui sont numérisés, trouvés sur </w:t>
      </w:r>
      <w:r>
        <w:rPr>
          <w:rFonts w:ascii="Trebuchet MS" w:hAnsi="Trebuchet MS"/>
          <w:sz w:val="22"/>
        </w:rPr>
        <w:t xml:space="preserve">gallica</w:t>
      </w:r>
      <w:r>
        <w:rPr>
          <w:rFonts w:ascii="Trebuchet MS" w:hAnsi="Trebuchet MS"/>
          <w:sz w:val="22"/>
        </w:rPr>
        <w:t xml:space="preserve">. C’est déterminant de nu</w:t>
      </w:r>
      <w:r>
        <w:rPr>
          <w:rFonts w:ascii="Trebuchet MS" w:hAnsi="Trebuchet MS"/>
          <w:sz w:val="22"/>
        </w:rPr>
        <w:t xml:space="preserve">mériser les grandes revues. Développer la science ouverte. Grandes revues : revue XIXe s on en trouve avec BNF, combler les trous pour rendre facile et accessible à distance pour n’importe qui. Il est obligé d’aller à l’étage ‘en-dessous à la bibliothèque </w:t>
      </w:r>
      <w:r>
        <w:rPr>
          <w:rFonts w:ascii="Trebuchet MS" w:hAnsi="Trebuchet MS"/>
          <w:sz w:val="22"/>
        </w:rPr>
        <w:t xml:space="preserve">andré</w:t>
      </w:r>
      <w:r>
        <w:rPr>
          <w:rFonts w:ascii="Trebuchet MS" w:hAnsi="Trebuchet MS"/>
          <w:sz w:val="22"/>
        </w:rPr>
        <w:t xml:space="preserve">, revue de droit civil de 1923 à 1930 car ce n’est pas en ligne cela dépasse l’entendement.</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Lister les grandes revues et les faire numériser de leur date de création jusqu’à 1940.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Le droit, la doctrine, les revues, la jurisprudence. Organiser de manière accessible, rationnelle car c’est un casse-têtes, ce n’est pas claire. Il a mis une heure pour voir un arrêt.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Pour la période moderne : </w:t>
      </w:r>
      <w:r>
        <w:rPr>
          <w:rFonts w:ascii="Trebuchet MS" w:hAnsi="Trebuchet MS"/>
          <w:sz w:val="22"/>
        </w:rPr>
        <w:t xml:space="preserve">Roumy-Pfsiter</w:t>
      </w:r>
      <w:r>
        <w:rPr>
          <w:rFonts w:ascii="Trebuchet MS" w:hAnsi="Trebuchet MS"/>
          <w:sz w:val="22"/>
        </w:rPr>
        <w:t xml:space="preserve"> bien mais possible de les compléter.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Il travaille sur le droit colonial et pénal complété des revues et de la jurisprudence. Travaille conjoint entre Cujas, BNF et cour de cassation. Qqch de très précieux. Il y a </w:t>
      </w:r>
      <w:r>
        <w:rPr>
          <w:rFonts w:ascii="Trebuchet MS" w:hAnsi="Trebuchet MS"/>
          <w:sz w:val="22"/>
        </w:rPr>
        <w:t xml:space="preserve">en</w:t>
      </w:r>
      <w:r>
        <w:rPr>
          <w:rFonts w:ascii="Trebuchet MS" w:hAnsi="Trebuchet MS"/>
          <w:sz w:val="22"/>
        </w:rPr>
        <w:t xml:space="preserve"> droit civil il y a des trous dans la raquette.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Présentation du corpus, possibilité de le faire avec une vidéo pour expliquer. Retour ‘expérience sur un doctorant, un étudiant pour voir comment il a navigué sur les recherches. Pour expliquer comment il l’a utilisé. </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L’idée par rapport à ce programme national. Organisation avec BNF d’un colloque pour présenter un état d’avancement, avec deux chercheurs présente comment ils ont mené leur recherche étape </w:t>
      </w:r>
      <w:r>
        <w:rPr>
          <w:rFonts w:ascii="Trebuchet MS" w:hAnsi="Trebuchet MS"/>
          <w:sz w:val="22"/>
        </w:rPr>
        <w:t xml:space="preserve">par étape et montrer le cheminement pour pouvoir préparer un article, une communication. Voir l’arborescence, ce qui a été fait, conseil d’utilisation (Tips) pour que ce soit reproductible pour d’autres personnes s’ils veulent se lancer dans une recherche.</w:t>
      </w:r>
      <w:r>
        <w:rPr>
          <w:rFonts w:ascii="Trebuchet MS" w:hAnsi="Trebuchet MS"/>
          <w:sz w:val="22"/>
        </w:rPr>
      </w:r>
    </w:p>
    <w:p>
      <w:pPr>
        <w:pStyle w:val="2066"/>
        <w:numPr>
          <w:ilvl w:val="0"/>
          <w:numId w:val="39"/>
        </w:numPr>
        <w:pBdr/>
        <w:spacing w:line="240" w:lineRule="auto"/>
        <w:ind/>
        <w:rPr>
          <w:rFonts w:ascii="Trebuchet MS" w:hAnsi="Trebuchet MS"/>
          <w:sz w:val="22"/>
        </w:rPr>
      </w:pPr>
      <w:r>
        <w:rPr>
          <w:rFonts w:ascii="Trebuchet MS" w:hAnsi="Trebuchet MS"/>
          <w:sz w:val="22"/>
        </w:rPr>
        <w:t xml:space="preserve">Pour cette deuxième liste, il faudrait remonter avec un petit comité, réunissant 4 /5 personnes travaillant sur des périodes différentes. Voir ce qui est possible de faire, prioriser. Il y a un budget de numérisation. »</w:t>
      </w:r>
      <w:r>
        <w:rPr>
          <w:rFonts w:ascii="Trebuchet MS" w:hAnsi="Trebuchet MS"/>
          <w:sz w:val="22"/>
        </w:rPr>
      </w:r>
    </w:p>
    <w:p>
      <w:pPr>
        <w:pBdr/>
        <w:spacing w:line="240" w:lineRule="auto"/>
        <w:ind/>
        <w:rPr>
          <w:lang w:eastAsia="fr-FR"/>
        </w:rPr>
      </w:pPr>
      <w:r>
        <w:rPr>
          <w:lang w:eastAsia="fr-FR"/>
        </w:rPr>
      </w:r>
      <w:r>
        <w:rPr>
          <w:lang w:eastAsia="fr-FR"/>
        </w:rPr>
      </w:r>
    </w:p>
    <w:p>
      <w:pPr>
        <w:pStyle w:val="2058"/>
        <w:pBdr/>
        <w:spacing w:line="240" w:lineRule="auto"/>
        <w:ind/>
        <w:rPr/>
      </w:pPr>
      <w:r/>
      <w:bookmarkStart w:id="69" w:name="_Toc236222465"/>
      <w:r>
        <w:t xml:space="preserve">Annexe 2 : Masséna Floriane (FM), Maître de conférence d’histoire du droit et des institutions de Paris I, entretien du 01/06/2026.</w:t>
      </w:r>
      <w:bookmarkEnd w:id="69"/>
      <w:r/>
      <w:r/>
    </w:p>
    <w:p>
      <w:pPr>
        <w:pBdr/>
        <w:spacing w:after="0" w:line="24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Elle apprécie énormément la présence de la table des matières dans la visionneuse où dans le </w:t>
      </w:r>
      <w:r>
        <w:rPr>
          <w:rFonts w:ascii="Trebuchet MS" w:hAnsi="Trebuchet MS"/>
          <w:sz w:val="22"/>
        </w:rPr>
        <w:t xml:space="preserve">pdf</w:t>
      </w:r>
      <w:r>
        <w:rPr>
          <w:rFonts w:ascii="Trebuchet MS" w:hAnsi="Trebuchet MS"/>
          <w:sz w:val="22"/>
        </w:rPr>
        <w:t xml:space="preserve"> étant cliquable cela l’arrange davantage car lui permettant d’aller à l’endroit souhaité directement ce qui est plutôt pratique car cela se rapproche des pr</w:t>
      </w:r>
      <w:r>
        <w:rPr>
          <w:rFonts w:ascii="Trebuchet MS" w:hAnsi="Trebuchet MS"/>
          <w:sz w:val="22"/>
        </w:rPr>
        <w:t xml:space="preserve">atiques de manipulations d’un livre papier. Cela permet d’aller en effet directement à la section qui l’intéresse sans avoir à faire défiler toutes les pages une à une ce qui peut devenir vite long et fastidieux lorsque l’on a de gros volumes à analyser.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Elle apprécie également le fait de pouvoir télécharger le document sous format </w:t>
      </w:r>
      <w:r>
        <w:rPr>
          <w:rFonts w:ascii="Trebuchet MS" w:hAnsi="Trebuchet MS"/>
          <w:sz w:val="22"/>
        </w:rPr>
        <w:t xml:space="preserve">pdf</w:t>
      </w:r>
      <w:r>
        <w:rPr>
          <w:rFonts w:ascii="Trebuchet MS" w:hAnsi="Trebuchet MS"/>
          <w:sz w:val="22"/>
        </w:rPr>
        <w:t xml:space="preserve"> lui permettant de le garder par la suite et de pouvoir l’annoter comme elle le souhait de son côté.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Elle aime bien la recherche simple et avancée de l</w:t>
      </w:r>
      <w:r>
        <w:rPr>
          <w:rFonts w:ascii="Trebuchet MS" w:hAnsi="Trebuchet MS"/>
          <w:sz w:val="22"/>
        </w:rPr>
        <w:t xml:space="preserve">a bibliothèque numérique préférant les utiliser au vignette présente sur la bibliothèque numérique représentant pour une difficulté à manipuler. Elle ne comprend pas bien comment ont été découpé les collections entre un mélange de collection thématique et </w:t>
      </w:r>
      <w:r>
        <w:rPr>
          <w:rFonts w:ascii="Trebuchet MS" w:hAnsi="Trebuchet MS"/>
          <w:sz w:val="22"/>
        </w:rPr>
        <w:t xml:space="preserve">chronologique représentant une incohérence pour elle, si la volonté est de garder les vignettes actuelles il est nécessaire selon elle d’avoir une explication sur la faç</w:t>
      </w:r>
      <w:r>
        <w:rPr>
          <w:rFonts w:ascii="Trebuchet MS" w:hAnsi="Trebuchet MS"/>
          <w:sz w:val="22"/>
        </w:rPr>
        <w:t xml:space="preserve">on dont le corpus a été constitué. Cela n’est pas forcément évident de comprendre comment les sources ont été rassemblé afin de constituer les collections. Il est nécessaire d’expliquer les choix menant à cette décision afin de ne pas créer de confusion.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C’est la même remarque que pour les collections juste avant, elle a dû mal à comp</w:t>
      </w:r>
      <w:r>
        <w:rPr>
          <w:rFonts w:ascii="Trebuchet MS" w:hAnsi="Trebuchet MS"/>
          <w:sz w:val="22"/>
        </w:rPr>
        <w:t xml:space="preserve">rendre la manière dont ont été construite les facettes rendant difficile la prise en main et la pertinence de ces dernières notamment celle trop précise faisant référence à un document précis (exemple : Droit romain – Loi des Douze Tables). Dans le cas des</w:t>
      </w:r>
      <w:r>
        <w:rPr>
          <w:rFonts w:ascii="Trebuchet MS" w:hAnsi="Trebuchet MS"/>
          <w:sz w:val="22"/>
        </w:rPr>
        <w:t xml:space="preserve"> documents cités ce n’est pas très intéressant car ce n’est pas ce qui est recherchée par le lecteur. C’est un texte très connu par conséquent si on veut le lire on taperait plus naturellement le nom dans la barre de recherche que sélectionner le filtre.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En essayant d’utiliser les filtres au cours de l’entretien, elle s’est aperçue que par exemple des documents manquaient et ne parvenait pas à comprendre le peu de résultat de ce dernier. Par exemple, le filtre droit roma</w:t>
      </w:r>
      <w:r>
        <w:rPr>
          <w:rFonts w:ascii="Trebuchet MS" w:hAnsi="Trebuchet MS"/>
          <w:sz w:val="22"/>
        </w:rPr>
        <w:t xml:space="preserve">in – mandat avec un seul résultat trouvable dans la bibliothèque numérique n’était pas représentatif selon elle de ce que l’on peut trouver normalement car lorsqu’elle effectue la même recherche dans le catalogue de la bibliothèque Cujas elle obtient davan</w:t>
      </w:r>
      <w:r>
        <w:rPr>
          <w:rFonts w:ascii="Trebuchet MS" w:hAnsi="Trebuchet MS"/>
          <w:sz w:val="22"/>
        </w:rPr>
        <w:t xml:space="preserve">tage de résultat. Pour elle, cela représente un inconvénient certain qui est la peur de passer à côté d’une source à cause d’une facette trop précise ne permettant pas le rapprochement avec d’autres documents pouvant avoir au final les mêmes thématiques.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Une autre particularité soulignée, la facette code, elle ne </w:t>
      </w:r>
      <w:r>
        <w:rPr>
          <w:rFonts w:ascii="Trebuchet MS" w:hAnsi="Trebuchet MS"/>
          <w:sz w:val="22"/>
        </w:rPr>
        <w:t xml:space="preserve">comprend pas bien à quel code nous faisons références pour elle, il serait nécessaire d’indiquer un deuxième niveau afin de différencier le code français du code étranger. Pareil pour le droit romain, avoir une distinction nette entre le public, privé...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Elle n’est pas complétem</w:t>
      </w:r>
      <w:r>
        <w:rPr>
          <w:rFonts w:ascii="Trebuchet MS" w:hAnsi="Trebuchet MS"/>
          <w:sz w:val="22"/>
        </w:rPr>
        <w:t xml:space="preserve">ent convaincue par la classification. Elle ne parvient pas à comprendre comment elle est faite et pourquoi de tels choix ont été pris. Elle ne peut pas utiliser les facettes car trop précise à certains moments voire même inexacts à d’autres. Par exemple : </w:t>
      </w:r>
      <w:r>
        <w:rPr>
          <w:rFonts w:ascii="Trebuchet MS" w:hAnsi="Trebuchet MS"/>
          <w:sz w:val="22"/>
        </w:rPr>
        <w:t xml:space="preserve">la facette droit</w:t>
      </w:r>
      <w:r>
        <w:rPr>
          <w:rFonts w:ascii="Trebuchet MS" w:hAnsi="Trebuchet MS"/>
          <w:sz w:val="22"/>
        </w:rPr>
        <w:t xml:space="preserve"> romain – mandat ne retourne qu’un seul document de ce type alors qu’elle sait et qu’elle a vu notamment dans l</w:t>
      </w:r>
      <w:r>
        <w:rPr>
          <w:rFonts w:ascii="Trebuchet MS" w:hAnsi="Trebuchet MS"/>
          <w:sz w:val="22"/>
        </w:rPr>
        <w:t xml:space="preserve">e catalogue de la bibliothèque Cujas qu’il y en a beaucoup plus. Un autre problème des facettes indique un document précis pour elle cela n’a pas de sens. D’autant que pour cet ouvrage étant connu, elle le chercherait d’elle plutôt que d’utiliser un filtre</w:t>
      </w:r>
      <w:r>
        <w:rPr>
          <w:rFonts w:ascii="Trebuchet MS" w:hAnsi="Trebuchet MS"/>
          <w:sz w:val="22"/>
        </w:rPr>
        <w:t xml:space="preserve"> amenant à celui-ci. Cela illustre pour elle la raison pour laquelle elle n’utilise pas les facettes à cause de la crainte de passer à côté de document essentiellement pour ces travaux. C’est donc pour cela qu’elle préfère utiliser la recherche simple.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La bibliothèque Cujas est une bibliothèque de recherche donc devrait plutôt partir de quand le document a été écrit cela semble plus logique pour eux que de partir de ce que traite le document car chronologiquement cela n’est pas logique.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Ex : droit romain voit un auteur du XVIIe siècle pas à être présent dans le droit romain.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Problème :</w:t>
      </w:r>
      <w:r>
        <w:rPr>
          <w:rFonts w:ascii="Trebuchet MS" w:hAnsi="Trebuchet MS"/>
          <w:sz w:val="22"/>
        </w:rPr>
        <w:t xml:space="preserve"> collection thématique et chronologique =&gt; pas hyper facile à utiliser, d’autant que mettant des vignettes précises en page d’accueil elle s’attend à trouver des sources précises liées à la collection alors que pour elle cela n’est pas réellement le cas.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Pb : passe à côté de leur sour</w:t>
      </w:r>
      <w:r>
        <w:rPr>
          <w:rFonts w:ascii="Trebuchet MS" w:hAnsi="Trebuchet MS"/>
          <w:sz w:val="22"/>
        </w:rPr>
        <w:t xml:space="preserve">ce. Besoin d’explication sur le contenu. Pas évident de comprendre pourquoi il n’y a que 9 vignettes. Forte impression de rater des sources. Aller regarder dans les collections : pour tenter sa chance. Elle a dû mal à comprendre pertinence des vignettes.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Des explications sont nécessaires dans la collection pour comprendre pourquoi cette logique a été mis en place. Il n’y a rien sinon pour comprendre cette logique </w:t>
      </w:r>
      <w:r>
        <w:rPr>
          <w:rFonts w:ascii="Trebuchet MS" w:hAnsi="Trebuchet MS"/>
          <w:sz w:val="22"/>
        </w:rPr>
        <w:t xml:space="preserve">amenant à </w:t>
      </w:r>
      <w:r>
        <w:rPr>
          <w:rFonts w:ascii="Trebuchet MS" w:hAnsi="Trebuchet MS"/>
          <w:sz w:val="22"/>
        </w:rPr>
        <w:t xml:space="preserve">bcp</w:t>
      </w:r>
      <w:r>
        <w:rPr>
          <w:rFonts w:ascii="Trebuchet MS" w:hAnsi="Trebuchet MS"/>
          <w:sz w:val="22"/>
        </w:rPr>
        <w:t xml:space="preserve"> d’incompréhension dessus et de confusion par moment car ne sachant pas comment les appréhender.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Autre exemple : droit pénal / code =&gt; question autour de ces deux collections car normalement un même document présent dans l’un doit se trouver dans l’autre et inversement.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Ne comprends pas l’</w:t>
      </w:r>
      <w:r>
        <w:rPr>
          <w:rFonts w:ascii="Trebuchet MS" w:hAnsi="Trebuchet MS"/>
          <w:sz w:val="22"/>
        </w:rPr>
        <w:t xml:space="preserve">idée du panier selon elle, il n’est pas utile car ce n’est pas comme ça qu’elle conçoit l’utilisation du panier car elle trouve cela embêtant que lorsqu’on ferme la page elle ne puisse pas revenir sur ces recherches lorsqu’elle revient consulter le site.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Oui, elle apprécierait grandement de pouvoir avoir un compte personnel. Elle dit qu’il n’a pas besoin forcément d’être très compliqué où d’avoir plein de</w:t>
      </w:r>
      <w:r>
        <w:rPr>
          <w:rFonts w:ascii="Trebuchet MS" w:hAnsi="Trebuchet MS"/>
          <w:sz w:val="22"/>
        </w:rPr>
        <w:t xml:space="preserve"> fonctionnalités. Selon elle, le simple fait de pouvoir mettre en favoris un document qui l’a intéressé et de pouvoir y revenir même une fois que la page a été fermé car cela a été conservé sur le compte elle trouverait ça d’une grande aide. Comme elle l’e</w:t>
      </w:r>
      <w:r>
        <w:rPr>
          <w:rFonts w:ascii="Trebuchet MS" w:hAnsi="Trebuchet MS"/>
          <w:sz w:val="22"/>
        </w:rPr>
        <w:t xml:space="preserve">xpliquait au cours de ces travaux, elle a amené sur une période donnée à revenir assez régulièrement sur les mêmes documents plusieurs fois dans le mois donc le fait d’avoir un espace qui centralise tout cela peut lui apporter un confort non négligeable.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Elle apprécierait grandement s’il était possibl</w:t>
      </w:r>
      <w:r>
        <w:rPr>
          <w:rFonts w:ascii="Trebuchet MS" w:hAnsi="Trebuchet MS"/>
          <w:sz w:val="22"/>
        </w:rPr>
        <w:t xml:space="preserve">e de récupérer une référence bibliographique toute faite de la source pour lui permettre de la citer directement dans sa bibliographie. Cela l’aiderait énormément, lui faisant gagner du temps et encore une fois lui apporterait un confort non négligeable. »</w:t>
      </w:r>
      <w:r>
        <w:rPr>
          <w:rFonts w:ascii="Trebuchet MS" w:hAnsi="Trebuchet MS"/>
          <w:sz w:val="22"/>
        </w:rPr>
      </w:r>
    </w:p>
    <w:p>
      <w:pPr>
        <w:pStyle w:val="2058"/>
        <w:pBdr/>
        <w:spacing w:line="240" w:lineRule="auto"/>
        <w:ind/>
        <w:rPr/>
      </w:pPr>
      <w:r/>
      <w:bookmarkStart w:id="70" w:name="_Toc236222466"/>
      <w:r>
        <w:t xml:space="preserve">Annexe 3 : </w:t>
      </w:r>
      <w:r>
        <w:t xml:space="preserve">Moiroud</w:t>
      </w:r>
      <w:r>
        <w:t xml:space="preserve"> Cécile (CM), Maître de conférences HDR, Droit public, Paris I, entretien du 17/05/2026.</w:t>
      </w:r>
      <w:bookmarkEnd w:id="70"/>
      <w:r>
        <w:t xml:space="preserve"> </w:t>
      </w:r>
      <w:r/>
    </w:p>
    <w:p>
      <w:pPr>
        <w:pBdr/>
        <w:spacing w:line="24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Il est primordial pour elle que l’on puisse se rapprocher le plus possible de l’usage d’un ouvrage papier que l’on peut avoir lorsqu’on les consulte dans une salle de lecture.</w:t>
      </w:r>
      <w:r>
        <w:rPr>
          <w:rFonts w:ascii="Trebuchet MS" w:hAnsi="Trebuchet MS"/>
          <w:sz w:val="22"/>
        </w:rPr>
        <w:t xml:space="preserve"> Pour retrouver ce confort que l’on a avec les livres, cela passe par la table des matières de l’ouvrage qui est cliquable pouvant amener directement à la section du document qui l’intéresse, complétée cette expérience avec la recherche plein-texte au sein</w:t>
      </w:r>
      <w:r>
        <w:rPr>
          <w:rFonts w:ascii="Trebuchet MS" w:hAnsi="Trebuchet MS"/>
          <w:sz w:val="22"/>
        </w:rPr>
        <w:t xml:space="preserve"> du document serait pratique aussi. Cela se rapproche de l’index personne que l’on trouve à la fin d’un ouvrage. Cela le remplace tout en permettant de cibler précisément le nom dans le document ce qui est moins évident quand on parcourt un livre papier. »</w:t>
      </w:r>
      <w:r>
        <w:rPr>
          <w:rFonts w:ascii="Trebuchet MS" w:hAnsi="Trebuchet MS"/>
          <w:sz w:val="22"/>
        </w:rPr>
      </w:r>
    </w:p>
    <w:p>
      <w:pPr>
        <w:pBdr/>
        <w:spacing w:line="240" w:lineRule="auto"/>
        <w:ind/>
        <w:rPr>
          <w:sz w:val="22"/>
        </w:rPr>
      </w:pPr>
      <w:r>
        <w:rPr>
          <w:sz w:val="22"/>
        </w:rPr>
      </w:r>
      <w:r>
        <w:rPr>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Il est important également selon elle d’avoir une réflexion autour de la constitution des collections pour ne pas créer l’impression que </w:t>
      </w:r>
      <w:r>
        <w:rPr>
          <w:rFonts w:ascii="Trebuchet MS" w:hAnsi="Trebuchet MS"/>
          <w:sz w:val="22"/>
        </w:rPr>
        <w:t xml:space="preserve">ce</w:t>
      </w:r>
      <w:r>
        <w:rPr>
          <w:rFonts w:ascii="Trebuchet MS" w:hAnsi="Trebuchet MS"/>
          <w:sz w:val="22"/>
        </w:rPr>
        <w:t xml:space="preserve"> sont des collections hermétiques entre elles. »</w:t>
      </w:r>
      <w:r>
        <w:rPr>
          <w:rFonts w:ascii="Trebuchet MS" w:hAnsi="Trebuchet MS"/>
          <w:sz w:val="22"/>
        </w:rPr>
      </w:r>
    </w:p>
    <w:p>
      <w:pPr>
        <w:pStyle w:val="2058"/>
        <w:pBdr/>
        <w:spacing w:line="240" w:lineRule="auto"/>
        <w:ind/>
        <w:rPr/>
      </w:pPr>
      <w:r/>
      <w:bookmarkStart w:id="71" w:name="_Toc236222467"/>
      <w:r>
        <w:t xml:space="preserve">Annexe 4 : </w:t>
      </w:r>
      <w:r>
        <w:t xml:space="preserve">Pfister</w:t>
      </w:r>
      <w:r>
        <w:t xml:space="preserve"> Laurent (LP), Professeur d’histoire du droit et des institutions de Paris II, entretien du 17/05/2026.</w:t>
      </w:r>
      <w:bookmarkEnd w:id="71"/>
      <w:r/>
      <w:r/>
    </w:p>
    <w:p>
      <w:pPr>
        <w:pBdr/>
        <w:spacing w:line="240" w:lineRule="auto"/>
        <w:ind/>
        <w:rPr/>
      </w:pPr>
      <w:r/>
      <w:r/>
    </w:p>
    <w:p>
      <w:pPr>
        <w:pStyle w:val="2066"/>
        <w:numPr>
          <w:ilvl w:val="0"/>
          <w:numId w:val="40"/>
        </w:numPr>
        <w:pBdr/>
        <w:spacing w:line="240" w:lineRule="auto"/>
        <w:ind/>
        <w:rPr>
          <w:rFonts w:ascii="Trebuchet MS" w:hAnsi="Trebuchet MS"/>
          <w:sz w:val="22"/>
        </w:rPr>
      </w:pPr>
      <w:r>
        <w:rPr>
          <w:rStyle w:val="2087"/>
          <w:rFonts w:ascii="Trebuchet MS" w:hAnsi="Trebuchet MS" w:cs="Times New Roman"/>
          <w:sz w:val="22"/>
        </w:rPr>
        <w:t xml:space="preserve">« Trou : raison domaine public. Quand on fait des études, recherch</w:t>
      </w:r>
      <w:r>
        <w:rPr>
          <w:rStyle w:val="2087"/>
          <w:rFonts w:ascii="Trebuchet MS" w:hAnsi="Trebuchet MS" w:cs="Times New Roman"/>
          <w:sz w:val="22"/>
        </w:rPr>
        <w:t xml:space="preserve">es au-delà de 1930 : difficulté de trouver des recueils numérisés entre 1930 et 1980 dans les recueils Dalloz. C’est dommage que toute cette période soit ignorée. Intéressant / pertinent de se rapprocher de Dalloz comment on pourrait travailler avec eux.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Pour certains ouvrages : intéressant pour les chercheurs de numériser la première édition et d’autres éditions postérieures. Exemple : Aubriot, cours de droit civil présenté comme un cours d’auteur allemand. A partir 3</w:t>
      </w:r>
      <w:r>
        <w:rPr>
          <w:rFonts w:ascii="Trebuchet MS" w:hAnsi="Trebuchet MS"/>
          <w:sz w:val="22"/>
          <w:vertAlign w:val="superscript"/>
        </w:rPr>
        <w:t xml:space="preserve">e</w:t>
      </w:r>
      <w:r>
        <w:rPr>
          <w:rFonts w:ascii="Trebuchet MS" w:hAnsi="Trebuchet MS"/>
          <w:sz w:val="22"/>
        </w:rPr>
        <w:t xml:space="preserve"> / 4</w:t>
      </w:r>
      <w:r>
        <w:rPr>
          <w:rFonts w:ascii="Trebuchet MS" w:hAnsi="Trebuchet MS"/>
          <w:sz w:val="22"/>
          <w:vertAlign w:val="superscript"/>
        </w:rPr>
        <w:t xml:space="preserve">e</w:t>
      </w:r>
      <w:r>
        <w:rPr>
          <w:rFonts w:ascii="Trebuchet MS" w:hAnsi="Trebuchet MS"/>
          <w:sz w:val="22"/>
        </w:rPr>
        <w:t xml:space="preserve"> édition : affranchissement de cette conception et </w:t>
      </w:r>
      <w:r>
        <w:rPr>
          <w:rFonts w:ascii="Trebuchet MS" w:hAnsi="Trebuchet MS"/>
          <w:sz w:val="22"/>
        </w:rPr>
        <w:t xml:space="preserve">dvlpt</w:t>
      </w:r>
      <w:r>
        <w:rPr>
          <w:rFonts w:ascii="Trebuchet MS" w:hAnsi="Trebuchet MS"/>
          <w:sz w:val="22"/>
        </w:rPr>
        <w:t xml:space="preserve"> de leur propre théorie du patrimoine. Intérêt pas pour tous de montrer l’évolution de penser de certains auteurs.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Manière de valoriser le portail : bien de présenter les ouvrages, montrer leur qualité. Inté</w:t>
      </w:r>
      <w:r>
        <w:rPr>
          <w:rFonts w:ascii="Trebuchet MS" w:hAnsi="Trebuchet MS"/>
          <w:sz w:val="22"/>
        </w:rPr>
        <w:t xml:space="preserve">ressant d’attirer l’attention du public sur ce que contient l’ouvrage. Trouver dans des ouvrages pas connu des propos correspondant à des théories contemporaines. Présenter les ouvrages et leur contenu. Difficulté pour les privatistes : ne résonne qu’avec </w:t>
      </w:r>
      <w:r>
        <w:rPr>
          <w:rFonts w:ascii="Trebuchet MS" w:hAnsi="Trebuchet MS"/>
          <w:sz w:val="22"/>
        </w:rPr>
        <w:t xml:space="preserve">Pautier</w:t>
      </w:r>
      <w:r>
        <w:rPr>
          <w:rFonts w:ascii="Trebuchet MS" w:hAnsi="Trebuchet MS"/>
          <w:sz w:val="22"/>
        </w:rPr>
        <w:t xml:space="preserve"> et </w:t>
      </w:r>
      <w:r>
        <w:rPr>
          <w:rFonts w:ascii="Trebuchet MS" w:hAnsi="Trebuchet MS"/>
          <w:sz w:val="22"/>
        </w:rPr>
        <w:t xml:space="preserve">Daumas</w:t>
      </w:r>
      <w:r>
        <w:rPr>
          <w:rFonts w:ascii="Trebuchet MS" w:hAnsi="Trebuchet MS"/>
          <w:sz w:val="22"/>
        </w:rPr>
        <w:t xml:space="preserve">.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La recherche par occurrence est ce qui se rapproche le plus de l’impression de travailler avec le livre dans les mains mais de façon numérique.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A remarquer le défaut lié aux filtres de la bibl</w:t>
      </w:r>
      <w:r>
        <w:rPr>
          <w:rFonts w:ascii="Trebuchet MS" w:hAnsi="Trebuchet MS"/>
          <w:sz w:val="22"/>
        </w:rPr>
        <w:t xml:space="preserve">iothèque numérique. Pareil, si les filtres sont trop précis ou trop généraux moins intéressant car par principes ils savent ce qu’ils recherchent. Moins partisan de l’utilisation des filtres. Préfère largement utiliser : l’OCR et les Tables des matières. »</w:t>
      </w:r>
      <w:r>
        <w:rPr>
          <w:rFonts w:ascii="Trebuchet MS" w:hAnsi="Trebuchet MS"/>
          <w:sz w:val="22"/>
        </w:rPr>
      </w:r>
    </w:p>
    <w:p>
      <w:pPr>
        <w:pStyle w:val="2066"/>
        <w:numPr>
          <w:ilvl w:val="0"/>
          <w:numId w:val="40"/>
        </w:numPr>
        <w:pBdr/>
        <w:spacing w:line="240" w:lineRule="auto"/>
        <w:ind/>
        <w:rPr>
          <w:rFonts w:ascii="Trebuchet MS" w:hAnsi="Trebuchet MS"/>
          <w:i/>
          <w:sz w:val="22"/>
        </w:rPr>
      </w:pPr>
      <w:r>
        <w:rPr>
          <w:rStyle w:val="2087"/>
          <w:rFonts w:ascii="Trebuchet MS" w:hAnsi="Trebuchet MS" w:cs="Times New Roman"/>
          <w:sz w:val="22"/>
        </w:rPr>
        <w:t xml:space="preserve">« Pensait que tous les textes sur la bibliothèque numérique étaient </w:t>
      </w:r>
      <w:r>
        <w:rPr>
          <w:rStyle w:val="2087"/>
          <w:rFonts w:ascii="Trebuchet MS" w:hAnsi="Trebuchet MS" w:cs="Times New Roman"/>
          <w:sz w:val="22"/>
        </w:rPr>
        <w:t xml:space="preserve">océsirés</w:t>
      </w:r>
      <w:r>
        <w:rPr>
          <w:rStyle w:val="2087"/>
          <w:rFonts w:ascii="Trebuchet MS" w:hAnsi="Trebuchet MS" w:cs="Times New Roman"/>
          <w:sz w:val="22"/>
        </w:rPr>
        <w:t xml:space="preserve"> pour faire la recherche plein-texte. En apprenant que ce n’était pas le cas à juger que dans les premières fonctionnalités importantes à mettre en place avant d’autres fonctionnalités plus poussée est l’</w:t>
      </w:r>
      <w:r>
        <w:rPr>
          <w:rStyle w:val="2087"/>
          <w:rFonts w:ascii="Trebuchet MS" w:hAnsi="Trebuchet MS" w:cs="Times New Roman"/>
          <w:sz w:val="22"/>
        </w:rPr>
        <w:t xml:space="preserve">océrisation</w:t>
      </w:r>
      <w:r>
        <w:rPr>
          <w:rStyle w:val="2087"/>
          <w:rFonts w:ascii="Trebuchet MS" w:hAnsi="Trebuchet MS" w:cs="Times New Roman"/>
          <w:sz w:val="22"/>
        </w:rPr>
        <w:t xml:space="preserve"> des documents permettant ainsi la recherche plein-texte qui serait salvatrice combinée aux tables des matières apporteraient un grand confort pour les chercheurs. »</w:t>
      </w:r>
      <w:r>
        <w:rPr>
          <w:rFonts w:ascii="Trebuchet MS" w:hAnsi="Trebuchet MS"/>
          <w:i/>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Il</w:t>
      </w:r>
      <w:r>
        <w:rPr>
          <w:rFonts w:ascii="Trebuchet MS" w:hAnsi="Trebuchet MS"/>
          <w:sz w:val="22"/>
        </w:rPr>
        <w:t xml:space="preserve"> dit que ce serait bien d’avoir la référence bibliographique de l’ouvrage présent sur la page de consultation de l’ouvrage. Cela leur permettrait d’avoir simplement à copier et coller la référence dans leur document afin de constituer leur bibliographie. »</w:t>
      </w:r>
      <w:r>
        <w:rPr>
          <w:rFonts w:ascii="Trebuchet MS" w:hAnsi="Trebuchet MS"/>
          <w:sz w:val="22"/>
        </w:rPr>
      </w:r>
    </w:p>
    <w:p>
      <w:pPr>
        <w:pStyle w:val="2066"/>
        <w:numPr>
          <w:ilvl w:val="0"/>
          <w:numId w:val="40"/>
        </w:numPr>
        <w:pBdr/>
        <w:spacing w:line="240" w:lineRule="auto"/>
        <w:ind/>
        <w:rPr>
          <w:rStyle w:val="2087"/>
          <w:rFonts w:ascii="Trebuchet MS" w:hAnsi="Trebuchet MS" w:cs="Times New Roman"/>
          <w:sz w:val="22"/>
        </w:rPr>
      </w:pPr>
      <w:r>
        <w:rPr>
          <w:rStyle w:val="2087"/>
          <w:rFonts w:ascii="Trebuchet MS" w:hAnsi="Trebuchet MS" w:cs="Times New Roman"/>
          <w:sz w:val="22"/>
        </w:rPr>
        <w:t xml:space="preserve">« C’est une bonne idée selon lui de faire ça (galerie des grands juristes) car cela lui permettrait aux chercheurs d’apporter une plus valu à leur travail. D’autant que selon lui</w:t>
      </w:r>
      <w:r>
        <w:rPr>
          <w:rStyle w:val="2087"/>
          <w:rFonts w:ascii="Trebuchet MS" w:hAnsi="Trebuchet MS" w:cs="Times New Roman"/>
          <w:sz w:val="22"/>
        </w:rPr>
        <w:t xml:space="preserve">, cela permettrait d’étendre à un autre type d’utilisateur dans le cas d’un travail conjoint avec la communauté scientifique permettant aux enseignants-chercheurs spécialiste de la question ou du fonds numérisés sur le site de la bibliothèque numérique. » </w:t>
      </w:r>
      <w:r>
        <w:rPr>
          <w:rStyle w:val="2087"/>
          <w:rFonts w:ascii="Trebuchet MS" w:hAnsi="Trebuchet MS" w:cs="Times New Roman"/>
          <w:sz w:val="22"/>
        </w:rPr>
      </w:r>
    </w:p>
    <w:p>
      <w:pPr>
        <w:pStyle w:val="2066"/>
        <w:numPr>
          <w:ilvl w:val="0"/>
          <w:numId w:val="40"/>
        </w:numPr>
        <w:pBdr/>
        <w:spacing w:line="240" w:lineRule="auto"/>
        <w:ind/>
        <w:rPr>
          <w:rFonts w:ascii="Trebuchet MS" w:hAnsi="Trebuchet MS"/>
          <w:iCs/>
          <w:sz w:val="22"/>
        </w:rPr>
      </w:pPr>
      <w:r>
        <w:rPr>
          <w:rFonts w:ascii="Trebuchet MS" w:hAnsi="Trebuchet MS"/>
          <w:iCs/>
          <w:sz w:val="22"/>
        </w:rPr>
        <w:t xml:space="preserve">« Notices biographiques et genre de l’ouvrage sur sa façon de concevoir. Explication pouvant leur être donné sur les décisions qui ont été pris et sont répétés d’un ouvrage à l’autre. Concernant</w:t>
      </w:r>
      <w:r>
        <w:rPr>
          <w:rFonts w:ascii="Trebuchet MS" w:hAnsi="Trebuchet MS"/>
          <w:iCs/>
          <w:sz w:val="22"/>
        </w:rPr>
        <w:t xml:space="preserve"> la publication d’ouvrage : privilège accordé et expliquer que les éditeurs et auteurs ont fait des choix pour ces recueils. La doctrine comme s’est trouvée. Explication : commentaire de coutumes par les auteurs ou éditeurs. Cela faciliterait le travail. »</w:t>
      </w:r>
      <w:r>
        <w:rPr>
          <w:rFonts w:ascii="Trebuchet MS" w:hAnsi="Trebuchet MS"/>
          <w:iCs/>
          <w:sz w:val="22"/>
        </w:rPr>
      </w:r>
    </w:p>
    <w:p>
      <w:pPr>
        <w:pStyle w:val="2066"/>
        <w:numPr>
          <w:ilvl w:val="0"/>
          <w:numId w:val="40"/>
        </w:numPr>
        <w:pBdr/>
        <w:spacing w:line="240" w:lineRule="auto"/>
        <w:ind/>
        <w:rPr>
          <w:rFonts w:ascii="Trebuchet MS" w:hAnsi="Trebuchet MS"/>
          <w:iCs/>
          <w:sz w:val="22"/>
        </w:rPr>
      </w:pPr>
      <w:r>
        <w:rPr>
          <w:rFonts w:ascii="Trebuchet MS" w:hAnsi="Trebuchet MS"/>
          <w:iCs/>
          <w:sz w:val="22"/>
        </w:rPr>
        <w:t xml:space="preserve">« Arrivée de trouver par hasard un auteur. Site gagnerait en sérieux, en scientificité et en accessibilité. »</w:t>
      </w:r>
      <w:r>
        <w:rPr>
          <w:rFonts w:ascii="Trebuchet MS" w:hAnsi="Trebuchet MS"/>
          <w:iCs/>
          <w:sz w:val="22"/>
        </w:rPr>
      </w:r>
    </w:p>
    <w:p>
      <w:pPr>
        <w:pStyle w:val="2066"/>
        <w:numPr>
          <w:ilvl w:val="0"/>
          <w:numId w:val="40"/>
        </w:numPr>
        <w:pBdr/>
        <w:spacing w:line="240" w:lineRule="auto"/>
        <w:ind/>
        <w:rPr>
          <w:rFonts w:ascii="Trebuchet MS" w:hAnsi="Trebuchet MS"/>
          <w:iCs/>
          <w:sz w:val="22"/>
        </w:rPr>
      </w:pPr>
      <w:r>
        <w:rPr>
          <w:rFonts w:ascii="Trebuchet MS" w:hAnsi="Trebuchet MS"/>
          <w:iCs/>
          <w:sz w:val="22"/>
        </w:rPr>
        <w:t xml:space="preserve">« Recherche plein-texte : très salvateur. </w:t>
      </w:r>
      <w:r>
        <w:rPr>
          <w:rFonts w:ascii="Trebuchet MS" w:hAnsi="Trebuchet MS"/>
          <w:iCs/>
          <w:sz w:val="22"/>
        </w:rPr>
        <w:t xml:space="preserve">Gallica</w:t>
      </w:r>
      <w:r>
        <w:rPr>
          <w:rFonts w:ascii="Trebuchet MS" w:hAnsi="Trebuchet MS"/>
          <w:iCs/>
          <w:sz w:val="22"/>
        </w:rPr>
        <w:t xml:space="preserve"> s’en aperçut. Chercher par occurrence. Trouver très vite avec une entrée et la recherche plein-texte a permis de trouver plein de chose permettant d’écrire un article derrière. »</w:t>
      </w:r>
      <w:r>
        <w:rPr>
          <w:rFonts w:ascii="Trebuchet MS" w:hAnsi="Trebuchet MS"/>
          <w:iCs/>
          <w:sz w:val="22"/>
        </w:rPr>
      </w:r>
    </w:p>
    <w:p>
      <w:pPr>
        <w:pStyle w:val="2066"/>
        <w:numPr>
          <w:ilvl w:val="0"/>
          <w:numId w:val="40"/>
        </w:numPr>
        <w:pBdr/>
        <w:spacing w:line="240" w:lineRule="auto"/>
        <w:ind/>
        <w:rPr>
          <w:rFonts w:ascii="Trebuchet MS" w:hAnsi="Trebuchet MS"/>
          <w:iCs/>
          <w:sz w:val="22"/>
        </w:rPr>
      </w:pPr>
      <w:r>
        <w:rPr>
          <w:rFonts w:ascii="Trebuchet MS" w:hAnsi="Trebuchet MS"/>
          <w:iCs/>
          <w:sz w:val="22"/>
        </w:rPr>
        <w:t xml:space="preserve">« Sur une page d’accueil : faire plein de chose, il y aurait moyen de mettre en valeur la coutume ancienne à la </w:t>
      </w:r>
      <w:r>
        <w:rPr>
          <w:rFonts w:ascii="Trebuchet MS" w:hAnsi="Trebuchet MS"/>
          <w:iCs/>
          <w:sz w:val="22"/>
        </w:rPr>
        <w:t xml:space="preserve">bnf</w:t>
      </w:r>
      <w:r>
        <w:rPr>
          <w:rFonts w:ascii="Trebuchet MS" w:hAnsi="Trebuchet MS"/>
          <w:iCs/>
          <w:sz w:val="22"/>
        </w:rPr>
        <w:t xml:space="preserve">. Imaginé une page : focus sur une image rare renouvelable sur plusieurs mois, focus sur un genre littéraire. Information évolutive et information fixe. »</w:t>
      </w:r>
      <w:r>
        <w:rPr>
          <w:rFonts w:ascii="Trebuchet MS" w:hAnsi="Trebuchet MS"/>
          <w:iC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Editorialisation</w:t>
      </w:r>
      <w:r>
        <w:rPr>
          <w:rFonts w:ascii="Trebuchet MS" w:hAnsi="Trebuchet MS"/>
          <w:sz w:val="22"/>
        </w:rPr>
        <w:t xml:space="preserve"> et </w:t>
      </w:r>
      <w:r>
        <w:rPr>
          <w:rFonts w:ascii="Trebuchet MS" w:hAnsi="Trebuchet MS"/>
          <w:sz w:val="22"/>
        </w:rPr>
        <w:t xml:space="preserve">océrisation</w:t>
      </w:r>
      <w:r>
        <w:rPr>
          <w:rFonts w:ascii="Trebuchet MS" w:hAnsi="Trebuchet MS"/>
          <w:sz w:val="22"/>
        </w:rPr>
        <w:t xml:space="preserve"> : deux choses qui valoriseront la bibliothèque numérique.</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Associés les noms des chercheurs, communauté scientifique elle saura orienter. On trouve un relais auprès d’un autre public orienté vers la bibliothèque numérique. Se rendre accessible dans les discours : li</w:t>
      </w:r>
      <w:r>
        <w:rPr>
          <w:rFonts w:ascii="Trebuchet MS" w:hAnsi="Trebuchet MS"/>
          <w:sz w:val="22"/>
        </w:rPr>
        <w:t xml:space="preserve">en avec une équipe avec des enseignants qui contribueront. Se rapprocher des équipes du dictionnaire des juristes français et c’est la propriété PUF. Vérifier la question des droits : exploitation par chacun ne fasse pas concurrence à l’ouvrage globale.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En fonction de l’</w:t>
      </w:r>
      <w:r>
        <w:rPr>
          <w:rFonts w:ascii="Trebuchet MS" w:hAnsi="Trebuchet MS"/>
          <w:sz w:val="22"/>
        </w:rPr>
        <w:t xml:space="preserve">actualité juridique dans le cas où l’on souhaite intéresser un autre public. Voir comment rattacher le corpus de source et sur une question de droit en fonction de l’actualité montrant la pertinence. Suscitant un travail avec des historiens, publicistes.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Intérêt pour la biblio</w:t>
      </w:r>
      <w:r>
        <w:rPr>
          <w:rFonts w:ascii="Trebuchet MS" w:hAnsi="Trebuchet MS"/>
          <w:sz w:val="22"/>
        </w:rPr>
        <w:t xml:space="preserve">thèque numérique : envoi d’étudiant sur la bibliothèque de cour de cassation =&gt; lancer des mémoires de recherche. Etudiante travaillant sur les appellations pour participer au colloque. Fonds : travail préparatoire qui permettrait de préparer le terrain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Déjà une forme d’</w:t>
      </w:r>
      <w:r>
        <w:rPr>
          <w:rFonts w:ascii="Trebuchet MS" w:hAnsi="Trebuchet MS"/>
          <w:sz w:val="22"/>
        </w:rPr>
        <w:t xml:space="preserve">éditorialisation</w:t>
      </w:r>
      <w:r>
        <w:rPr>
          <w:rFonts w:ascii="Trebuchet MS" w:hAnsi="Trebuchet MS"/>
          <w:sz w:val="22"/>
        </w:rPr>
        <w:t xml:space="preserve"> à travers la catégorisation : pas toujours certain que ce soit la meilleure des entrées. Avoir une classification littéraire et un peu mélangé tout. »</w:t>
      </w:r>
      <w:r>
        <w:rPr>
          <w:rFonts w:ascii="Trebuchet MS" w:hAnsi="Trebuchet MS"/>
          <w:sz w:val="22"/>
        </w:rPr>
      </w:r>
    </w:p>
    <w:p>
      <w:pPr>
        <w:pStyle w:val="2058"/>
        <w:pBdr/>
        <w:spacing w:line="240" w:lineRule="auto"/>
        <w:ind/>
        <w:rPr/>
      </w:pPr>
      <w:r/>
      <w:bookmarkStart w:id="72" w:name="_Toc236222468"/>
      <w:r>
        <w:t xml:space="preserve">Annexe 5 : </w:t>
      </w:r>
      <w:r>
        <w:t xml:space="preserve">Bolard</w:t>
      </w:r>
      <w:r>
        <w:t xml:space="preserve"> Cécile (CB), Responsable de la numérisation et des collections numérisées, entretien du 19/05/2026.</w:t>
      </w:r>
      <w:bookmarkEnd w:id="72"/>
      <w:r/>
      <w:r/>
    </w:p>
    <w:p>
      <w:pPr>
        <w:pBdr/>
        <w:spacing w:line="240" w:lineRule="auto"/>
        <w:ind/>
        <w:rPr/>
      </w:pPr>
      <w:r/>
      <w:r/>
    </w:p>
    <w:p>
      <w:pPr>
        <w:pStyle w:val="2066"/>
        <w:numPr>
          <w:ilvl w:val="0"/>
          <w:numId w:val="40"/>
        </w:numPr>
        <w:pBdr/>
        <w:spacing w:line="240" w:lineRule="auto"/>
        <w:ind/>
        <w:rPr>
          <w:rFonts w:ascii="Trebuchet MS" w:hAnsi="Trebuchet MS"/>
          <w:sz w:val="22"/>
        </w:rPr>
      </w:pPr>
      <w:r>
        <w:rPr>
          <w:rFonts w:ascii="Trebuchet MS" w:hAnsi="Trebuchet MS"/>
          <w:sz w:val="22"/>
          <w:lang w:eastAsia="fr-FR"/>
        </w:rPr>
        <w:t xml:space="preserve">« Non visible depuis la page d’accueil du site Cujas, car par présent dans les onglets, et non visible sans scroller. Navigateurs certifiés : fonctionne avec </w:t>
      </w:r>
      <w:r>
        <w:rPr>
          <w:rFonts w:ascii="Trebuchet MS" w:hAnsi="Trebuchet MS"/>
          <w:sz w:val="22"/>
          <w:lang w:eastAsia="fr-FR"/>
        </w:rPr>
        <w:t xml:space="preserve">firefox</w:t>
      </w:r>
      <w:r>
        <w:rPr>
          <w:rFonts w:ascii="Trebuchet MS" w:hAnsi="Trebuchet MS"/>
          <w:sz w:val="22"/>
          <w:lang w:eastAsia="fr-FR"/>
        </w:rPr>
        <w:t xml:space="preserve">, </w:t>
      </w:r>
      <w:r>
        <w:rPr>
          <w:rFonts w:ascii="Trebuchet MS" w:hAnsi="Trebuchet MS"/>
          <w:sz w:val="22"/>
          <w:lang w:eastAsia="fr-FR"/>
        </w:rPr>
        <w:t xml:space="preserve">Edge</w:t>
      </w:r>
      <w:r>
        <w:rPr>
          <w:rFonts w:ascii="Trebuchet MS" w:hAnsi="Trebuchet MS"/>
          <w:sz w:val="22"/>
          <w:lang w:eastAsia="fr-FR"/>
        </w:rPr>
        <w:t xml:space="preserve">, =&gt; voir pour les autres. Je ne sais pas ce que signifie cette notion de certification. PageRank mauvais : une recherche d’un titre arrive en 5 ou 6è page de résultat Google =&gt; comment concevoir la bib </w:t>
      </w:r>
      <w:r>
        <w:rPr>
          <w:rFonts w:ascii="Trebuchet MS" w:hAnsi="Trebuchet MS"/>
          <w:sz w:val="22"/>
          <w:lang w:eastAsia="fr-FR"/>
        </w:rPr>
        <w:t xml:space="preserve">num</w:t>
      </w:r>
      <w:r>
        <w:rPr>
          <w:rFonts w:ascii="Trebuchet MS" w:hAnsi="Trebuchet MS"/>
          <w:sz w:val="22"/>
          <w:lang w:eastAsia="fr-FR"/>
        </w:rPr>
        <w:t xml:space="preserve"> pour le faire remonter ? Aucun élément de communication mettant en valeur les collections : Pas de </w:t>
      </w:r>
      <w:r>
        <w:rPr>
          <w:rFonts w:ascii="Trebuchet MS" w:hAnsi="Trebuchet MS"/>
          <w:sz w:val="22"/>
          <w:lang w:eastAsia="fr-FR"/>
        </w:rPr>
        <w:t xml:space="preserve">posts</w:t>
      </w:r>
      <w:r>
        <w:rPr>
          <w:rFonts w:ascii="Trebuchet MS" w:hAnsi="Trebuchet MS"/>
          <w:sz w:val="22"/>
          <w:lang w:eastAsia="fr-FR"/>
        </w:rPr>
        <w:t xml:space="preserve"> réseaux sociaux, d’actus sur le site de Cujas, quasi pas de présentation du contenu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lang w:eastAsia="fr-FR"/>
        </w:rPr>
        <w:t xml:space="preserve">« Actuellement il manque une page par document, où on trouverait : Les données bibliographiques </w:t>
      </w:r>
      <w:r>
        <w:rPr>
          <w:rFonts w:ascii="Trebuchet MS" w:hAnsi="Trebuchet MS"/>
          <w:sz w:val="22"/>
          <w:u w:val="single"/>
          <w:lang w:eastAsia="fr-FR"/>
        </w:rPr>
        <w:t xml:space="preserve">complètes</w:t>
      </w:r>
      <w:r>
        <w:rPr>
          <w:rFonts w:ascii="Trebuchet MS" w:hAnsi="Trebuchet MS"/>
          <w:sz w:val="22"/>
          <w:lang w:eastAsia="fr-FR"/>
        </w:rPr>
        <w:t xml:space="preserve">, adossées à des référentiels à chaque fois que c’est possible, avec des rebonds sur les données issues de référentiel (rebond auteur, rebond sujet en particulier).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lang w:eastAsia="fr-FR"/>
        </w:rPr>
        <w:t xml:space="preserve">« Il </w:t>
      </w:r>
      <w:r>
        <w:rPr>
          <w:rFonts w:ascii="Trebuchet MS" w:hAnsi="Trebuchet MS"/>
          <w:sz w:val="22"/>
          <w:lang w:eastAsia="fr-FR"/>
        </w:rPr>
        <w:t xml:space="preserve">faut qu’on puisse paramétrer les éléments de la DC qui sont effectivement affichés. Il faudrait pouvoir intégrer les descripteurs RAMEAU des documents numérisés présents dans les notices du catalogue, quitte à ce que ces descripteurs ne soient pas dans la </w:t>
      </w:r>
      <w:r>
        <w:rPr>
          <w:rFonts w:ascii="Trebuchet MS" w:hAnsi="Trebuchet MS"/>
          <w:sz w:val="22"/>
          <w:lang w:eastAsia="fr-FR"/>
        </w:rPr>
        <w:t xml:space="preserve">DublinCore</w:t>
      </w:r>
      <w:r>
        <w:rPr>
          <w:rFonts w:ascii="Trebuchet MS" w:hAnsi="Trebuchet MS"/>
          <w:sz w:val="22"/>
          <w:lang w:eastAsia="fr-FR"/>
        </w:rPr>
        <w:t xml:space="preserve">. Ils doivent être cliquables pour faire des rebonds. L’idéal serait qu’on puisse générer des facettes depuis ces descripteurs. Il ne s’agit pas de remplacer les descripteurs </w:t>
      </w:r>
      <w:r>
        <w:rPr>
          <w:rFonts w:ascii="Trebuchet MS" w:hAnsi="Trebuchet MS"/>
          <w:sz w:val="22"/>
          <w:lang w:eastAsia="fr-FR"/>
        </w:rPr>
        <w:t xml:space="preserve">Hauville</w:t>
      </w:r>
      <w:r>
        <w:rPr>
          <w:rFonts w:ascii="Trebuchet MS" w:hAnsi="Trebuchet MS"/>
          <w:sz w:val="22"/>
          <w:lang w:eastAsia="fr-FR"/>
        </w:rPr>
        <w:t xml:space="preserve">, mais de prévoir les deux indexations simultanément. Les données juridiques. »</w:t>
      </w:r>
      <w:r>
        <w:rPr>
          <w:rFonts w:ascii="Trebuchet MS" w:hAnsi="Trebuchet MS"/>
          <w:sz w:val="22"/>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Aucun espace d’aide / à implémenter et disposer d’un espace contact pour répondre aux demandes d’accompagnement, de formation… Eléments de contact : questions, demande de reproduction payante, suggestion de numérisation…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rPr>
        <w:t xml:space="preserve">« </w:t>
      </w:r>
      <w:r>
        <w:rPr>
          <w:rFonts w:ascii="Trebuchet MS" w:hAnsi="Trebuchet MS"/>
          <w:sz w:val="22"/>
          <w:lang w:eastAsia="fr-FR"/>
        </w:rPr>
        <w:t xml:space="preserve">Citations : </w:t>
      </w:r>
      <w:r>
        <w:rPr>
          <w:rFonts w:ascii="Trebuchet MS" w:hAnsi="Trebuchet MS"/>
          <w:sz w:val="22"/>
          <w:lang w:eastAsia="fr-FR"/>
        </w:rPr>
        <w:t xml:space="preserve">Zotero</w:t>
      </w:r>
      <w:r>
        <w:rPr>
          <w:rFonts w:ascii="Trebuchet MS" w:hAnsi="Trebuchet MS"/>
          <w:sz w:val="22"/>
          <w:lang w:eastAsia="fr-FR"/>
        </w:rPr>
        <w:t xml:space="preserve"> ou Export des données bibliographiques sous différents formats. »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Compte personnel avec dossiers pour constituer des sélections :</w:t>
      </w:r>
      <w:r>
        <w:rPr>
          <w:rFonts w:ascii="Trebuchet MS" w:hAnsi="Trebuchet MS"/>
          <w:sz w:val="22"/>
          <w:lang w:eastAsia="fr-FR"/>
        </w:rPr>
        <w:t xml:space="preserve"> possibilité de relancer une recherche OCR dans la sélection, export de la sélection, enregistrement des requêtes et archivage automatique des résultats dans un dossier dédié, et information par mail de nouveaux résultats, possibilité de partager un compte</w:t>
      </w:r>
      <w:r>
        <w:rPr>
          <w:rFonts w:ascii="Trebuchet MS" w:hAnsi="Trebuchet MS"/>
          <w:lang w:eastAsia="fr-FR"/>
        </w:rPr>
        <w:t xml:space="preserve"> </w:t>
      </w:r>
      <w:r>
        <w:rPr>
          <w:rFonts w:ascii="Trebuchet MS" w:hAnsi="Trebuchet MS"/>
          <w:sz w:val="22"/>
          <w:lang w:eastAsia="fr-FR"/>
        </w:rPr>
        <w:t xml:space="preserve">personnel avec un groupe (pour qu’un professeur partage avec ses étudiants) et processus de suppression pour les comptes inutilisés.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rPr>
        <w:t xml:space="preserve">« </w:t>
      </w:r>
      <w:r>
        <w:rPr>
          <w:rFonts w:ascii="Trebuchet MS" w:hAnsi="Trebuchet MS"/>
          <w:sz w:val="22"/>
          <w:lang w:eastAsia="fr-FR"/>
        </w:rPr>
        <w:t xml:space="preserve">Téléchargement : </w:t>
      </w:r>
      <w:r>
        <w:rPr>
          <w:rFonts w:ascii="Trebuchet MS" w:hAnsi="Trebuchet MS"/>
          <w:sz w:val="22"/>
          <w:lang w:eastAsia="fr-FR"/>
        </w:rPr>
        <w:t xml:space="preserve">pdf</w:t>
      </w:r>
      <w:r>
        <w:rPr>
          <w:rFonts w:ascii="Trebuchet MS" w:hAnsi="Trebuchet MS"/>
          <w:sz w:val="22"/>
          <w:lang w:eastAsia="fr-FR"/>
        </w:rPr>
        <w:t xml:space="preserve"> (complet, parties), TXT (complet, parties), et d’autres formats. Impression : totale, partielle. »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On tombe directement sur des « collections » sans présentation de l’endroit où </w:t>
      </w:r>
      <w:r>
        <w:rPr>
          <w:rFonts w:ascii="Trebuchet MS" w:hAnsi="Trebuchet MS"/>
          <w:sz w:val="22"/>
          <w:lang w:eastAsia="fr-FR"/>
        </w:rPr>
        <w:t xml:space="preserve">on est ni</w:t>
      </w:r>
      <w:r>
        <w:rPr>
          <w:rFonts w:ascii="Trebuchet MS" w:hAnsi="Trebuchet MS"/>
          <w:sz w:val="22"/>
          <w:lang w:eastAsia="fr-FR"/>
        </w:rPr>
        <w:t xml:space="preserve"> actualités. Le contenu des pavés est confus, on ne sait pas si on est dans une approche thématique ou dans une approche par Corpus. C’est entre les deux, et donc ce n’est pa</w:t>
      </w:r>
      <w:r>
        <w:rPr>
          <w:rFonts w:ascii="Trebuchet MS" w:hAnsi="Trebuchet MS"/>
          <w:sz w:val="22"/>
          <w:lang w:eastAsia="fr-FR"/>
        </w:rPr>
        <w:t xml:space="preserve">s compréhensible. Le corpus des Fondamentaux du droit n’est pas mis en valeur, alors qu’il constitue la collection phare de la bibliothèque numérique et prioritairement ce qui va intéresser notre public cœur de cible (historiens du droit). Exemple : sous «</w:t>
      </w:r>
      <w:r>
        <w:rPr>
          <w:rFonts w:ascii="Trebuchet MS" w:hAnsi="Trebuchet MS"/>
          <w:sz w:val="22"/>
          <w:lang w:eastAsia="fr-FR"/>
        </w:rPr>
        <w:t xml:space="preserve"> droit romain », on trouve des ouvrages des Fondamentaux du droit ET des cours de droit. Les cours de droit sont bien identifiés, mais séparés en deux entités : Cours de droit et Cours Carbonnier. Aucune identification des images présentées (obligatoire)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Confusion concernant les conditions d’utilisation des contenus numérisés :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On trouve en pied de page les mentions légales du site de Cujas… or il ne s’agit pas de la bibliothèque numérique.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On trouve en Rubriqu</w:t>
      </w:r>
      <w:r>
        <w:rPr>
          <w:rFonts w:ascii="Trebuchet MS" w:hAnsi="Trebuchet MS"/>
          <w:sz w:val="22"/>
          <w:lang w:eastAsia="fr-FR"/>
        </w:rPr>
        <w:t xml:space="preserve">e à propos les conditions d’usage de la bibliothèque numérique, qui sont confuses et ne correspondent pas à ce qui est dit en pied de page. Il faut conserver néanmoins une rubrique spécifique, à voir ce qui se fait dans d’autres bibliothèques numériques.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w:t>
      </w:r>
      <w:r>
        <w:rPr>
          <w:rFonts w:ascii="Trebuchet MS" w:hAnsi="Trebuchet MS"/>
          <w:sz w:val="22"/>
          <w:lang w:eastAsia="fr-FR"/>
        </w:rPr>
        <w:t xml:space="preserve">Il n’y a aucune possibilité de différencier les mentions légales par document : la balise existe dans la notice DC : elle doit être visible, la rédaction de la balise doit être unifiée dans un référentiel, cela doit faire partie des éléments filtrables. » </w:t>
      </w:r>
      <w:r>
        <w:rPr>
          <w:rFonts w:ascii="Trebuchet MS" w:hAnsi="Trebuchet MS"/>
          <w:sz w:val="22"/>
          <w:lang w:eastAsia="fr-FR"/>
        </w:rPr>
      </w:r>
    </w:p>
    <w:p>
      <w:pPr>
        <w:pStyle w:val="2066"/>
        <w:numPr>
          <w:ilvl w:val="0"/>
          <w:numId w:val="40"/>
        </w:numPr>
        <w:pBdr/>
        <w:spacing w:line="240" w:lineRule="auto"/>
        <w:ind/>
        <w:rPr>
          <w:rFonts w:ascii="Trebuchet MS" w:hAnsi="Trebuchet MS"/>
          <w:sz w:val="22"/>
          <w:lang w:eastAsia="fr-FR"/>
        </w:rPr>
      </w:pPr>
      <w:r>
        <w:rPr>
          <w:rFonts w:ascii="Trebuchet MS" w:hAnsi="Trebuchet MS"/>
          <w:sz w:val="22"/>
          <w:lang w:eastAsia="fr-FR"/>
        </w:rPr>
        <w:t xml:space="preserve">« Aucune possibilité de diffuser un document sous droit uniquement dans les emprises de Cujas et sur nos postes, comme la </w:t>
      </w:r>
      <w:r>
        <w:rPr>
          <w:rFonts w:ascii="Trebuchet MS" w:hAnsi="Trebuchet MS"/>
          <w:sz w:val="22"/>
          <w:lang w:eastAsia="fr-FR"/>
        </w:rPr>
        <w:t xml:space="preserve">légisation</w:t>
      </w:r>
      <w:r>
        <w:rPr>
          <w:rFonts w:ascii="Trebuchet MS" w:hAnsi="Trebuchet MS"/>
          <w:sz w:val="22"/>
          <w:lang w:eastAsia="fr-FR"/>
        </w:rPr>
        <w:t xml:space="preserve"> nous y autorise (il faudrait un horodatage que débloque sur le web à la date de libération des droits) »</w:t>
      </w:r>
      <w:r>
        <w:rPr>
          <w:rFonts w:ascii="Trebuchet MS" w:hAnsi="Trebuchet MS"/>
          <w:sz w:val="22"/>
          <w:lang w:eastAsia="fr-FR"/>
        </w:rPr>
      </w:r>
    </w:p>
    <w:p>
      <w:pPr>
        <w:pStyle w:val="2066"/>
        <w:numPr>
          <w:ilvl w:val="0"/>
          <w:numId w:val="40"/>
        </w:numPr>
        <w:pBdr/>
        <w:spacing w:line="240" w:lineRule="auto"/>
        <w:ind/>
        <w:rPr>
          <w:rFonts w:ascii="Trebuchet MS" w:hAnsi="Trebuchet MS"/>
          <w:sz w:val="22"/>
        </w:rPr>
      </w:pPr>
      <w:r>
        <w:rPr>
          <w:rFonts w:ascii="Trebuchet MS" w:hAnsi="Trebuchet MS"/>
          <w:sz w:val="22"/>
          <w:lang w:eastAsia="fr-FR"/>
        </w:rPr>
        <w:t xml:space="preserve">« Le dossier est à instruire, mais il faut prévoir les </w:t>
      </w:r>
      <w:r>
        <w:rPr>
          <w:rFonts w:ascii="Trebuchet MS" w:hAnsi="Trebuchet MS"/>
          <w:sz w:val="22"/>
          <w:lang w:eastAsia="fr-FR"/>
        </w:rPr>
        <w:t xml:space="preserve">espaces d’informations et modalités de filtrage. Il faudrait prévoir des espaces pour indiquer le statut des espaces de valorisation : si un chercheur rédige un article sur un corpus, ou un commentaire d’un document, ce texte doit bénéficier d’un statut. »</w:t>
      </w:r>
      <w:r>
        <w:rPr>
          <w:rFonts w:ascii="Trebuchet MS" w:hAnsi="Trebuchet MS"/>
          <w:sz w:val="22"/>
        </w:rPr>
      </w:r>
    </w:p>
    <w:p>
      <w:pPr>
        <w:pBdr/>
        <w:spacing w:line="240" w:lineRule="auto"/>
        <w:ind/>
        <w:rPr/>
      </w:pPr>
      <w:r/>
      <w:r/>
    </w:p>
    <w:p>
      <w:pPr>
        <w:pStyle w:val="2058"/>
        <w:pBdr/>
        <w:spacing w:line="240" w:lineRule="auto"/>
        <w:ind/>
        <w:rPr/>
      </w:pPr>
      <w:r/>
      <w:bookmarkStart w:id="73" w:name="_Toc236222469"/>
      <w:r>
        <w:t xml:space="preserve">Annexe 6 : </w:t>
      </w:r>
      <w:r>
        <w:t xml:space="preserve">Colcanap</w:t>
      </w:r>
      <w:r>
        <w:t xml:space="preserve"> Gregory (GC), Directeur de la bibliothèque interuniversitaire Cujas, entretien du 27/04/2026.</w:t>
      </w:r>
      <w:bookmarkEnd w:id="73"/>
      <w:r/>
      <w:r/>
    </w:p>
    <w:p>
      <w:pPr>
        <w:pBdr/>
        <w:spacing w:line="240" w:lineRule="auto"/>
        <w:ind/>
        <w:rPr/>
      </w:pPr>
      <w:r/>
      <w:r/>
    </w:p>
    <w:p>
      <w:pPr>
        <w:pStyle w:val="2066"/>
        <w:numPr>
          <w:ilvl w:val="0"/>
          <w:numId w:val="40"/>
        </w:numPr>
        <w:pBdr/>
        <w:spacing w:line="240" w:lineRule="auto"/>
        <w:ind/>
        <w:rPr>
          <w:rFonts w:ascii="Trebuchet MS" w:hAnsi="Trebuchet MS"/>
          <w:sz w:val="22"/>
        </w:rPr>
      </w:pPr>
      <w:r>
        <w:rPr>
          <w:rFonts w:ascii="Trebuchet MS" w:hAnsi="Trebuchet MS"/>
          <w:sz w:val="22"/>
        </w:rPr>
        <w:t xml:space="preserve">« Bib </w:t>
      </w:r>
      <w:r>
        <w:rPr>
          <w:rFonts w:ascii="Trebuchet MS" w:hAnsi="Trebuchet MS"/>
          <w:sz w:val="22"/>
        </w:rPr>
        <w:t xml:space="preserve">num</w:t>
      </w:r>
      <w:r>
        <w:rPr>
          <w:rFonts w:ascii="Trebuchet MS" w:hAnsi="Trebuchet MS"/>
          <w:sz w:val="22"/>
        </w:rPr>
        <w:t xml:space="preserve"> : construit pour usage ciblé, limité en type de docs (monographie uniquement). Volonté de récupérer les docs </w:t>
      </w:r>
      <w:r>
        <w:rPr>
          <w:rFonts w:ascii="Trebuchet MS" w:hAnsi="Trebuchet MS"/>
          <w:sz w:val="22"/>
        </w:rPr>
        <w:t xml:space="preserve">num</w:t>
      </w:r>
      <w:r>
        <w:rPr>
          <w:rFonts w:ascii="Trebuchet MS" w:hAnsi="Trebuchet MS"/>
          <w:sz w:val="22"/>
        </w:rPr>
        <w:t xml:space="preserve"> à la BNF, sur </w:t>
      </w:r>
      <w:r>
        <w:rPr>
          <w:rFonts w:ascii="Trebuchet MS" w:hAnsi="Trebuchet MS"/>
          <w:sz w:val="22"/>
        </w:rPr>
        <w:t xml:space="preserve">Gallica</w:t>
      </w:r>
      <w:r>
        <w:rPr>
          <w:rFonts w:ascii="Trebuchet MS" w:hAnsi="Trebuchet MS"/>
          <w:sz w:val="22"/>
        </w:rPr>
        <w:t xml:space="preserve">, pas obstacle sur une multi diffusion. Augmenter le volume de doc </w:t>
      </w:r>
      <w:r>
        <w:rPr>
          <w:rFonts w:ascii="Trebuchet MS" w:hAnsi="Trebuchet MS"/>
          <w:sz w:val="22"/>
        </w:rPr>
        <w:t xml:space="preserve">num</w:t>
      </w:r>
      <w:r>
        <w:rPr>
          <w:rFonts w:ascii="Trebuchet MS" w:hAnsi="Trebuchet MS"/>
          <w:sz w:val="22"/>
        </w:rPr>
        <w:t xml:space="preserve">, notamment périodique, iconographie. =&gt; </w:t>
      </w:r>
      <w:r>
        <w:rPr>
          <w:rFonts w:ascii="Trebuchet MS" w:hAnsi="Trebuchet MS"/>
          <w:sz w:val="22"/>
        </w:rPr>
        <w:t xml:space="preserve">coll</w:t>
      </w:r>
      <w:r>
        <w:rPr>
          <w:rFonts w:ascii="Trebuchet MS" w:hAnsi="Trebuchet MS"/>
          <w:sz w:val="22"/>
        </w:rPr>
        <w:t xml:space="preserve"> en propre bib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Réflexions sur </w:t>
      </w:r>
      <w:r>
        <w:rPr>
          <w:rFonts w:ascii="Trebuchet MS" w:hAnsi="Trebuchet MS"/>
          <w:sz w:val="22"/>
        </w:rPr>
        <w:t xml:space="preserve">océrisations</w:t>
      </w:r>
      <w:r>
        <w:rPr>
          <w:rFonts w:ascii="Trebuchet MS" w:hAnsi="Trebuchet MS"/>
          <w:sz w:val="22"/>
        </w:rPr>
        <w:t xml:space="preserve"> : </w:t>
      </w:r>
      <w:r>
        <w:rPr>
          <w:rFonts w:ascii="Trebuchet MS" w:hAnsi="Trebuchet MS"/>
          <w:sz w:val="22"/>
        </w:rPr>
        <w:t xml:space="preserve">gdes</w:t>
      </w:r>
      <w:r>
        <w:rPr>
          <w:rFonts w:ascii="Trebuchet MS" w:hAnsi="Trebuchet MS"/>
          <w:sz w:val="22"/>
        </w:rPr>
        <w:t xml:space="preserve"> parties des documents numérisés ne sont pas </w:t>
      </w:r>
      <w:r>
        <w:rPr>
          <w:rFonts w:ascii="Trebuchet MS" w:hAnsi="Trebuchet MS"/>
          <w:sz w:val="22"/>
        </w:rPr>
        <w:t xml:space="preserve">océrisés</w:t>
      </w:r>
      <w:r>
        <w:rPr>
          <w:rFonts w:ascii="Trebuchet MS" w:hAnsi="Trebuchet MS"/>
          <w:sz w:val="22"/>
        </w:rPr>
        <w:t xml:space="preserve">. Pb : en dessous de 99% pas possible = pas d’OCR. Faire confiance l’intelligence du chercheur. Capable de le faire.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Procéder à une </w:t>
      </w:r>
      <w:r>
        <w:rPr>
          <w:rFonts w:ascii="Trebuchet MS" w:hAnsi="Trebuchet MS"/>
          <w:sz w:val="22"/>
        </w:rPr>
        <w:t xml:space="preserve">océrisation</w:t>
      </w:r>
      <w:r>
        <w:rPr>
          <w:rFonts w:ascii="Trebuchet MS" w:hAnsi="Trebuchet MS"/>
          <w:sz w:val="22"/>
        </w:rPr>
        <w:t xml:space="preserve"> à posteriori soit prestataire externe soit utilisation d’outils en </w:t>
      </w:r>
      <w:r>
        <w:rPr>
          <w:rFonts w:ascii="Trebuchet MS" w:hAnsi="Trebuchet MS"/>
          <w:sz w:val="22"/>
        </w:rPr>
        <w:t xml:space="preserve">opensource</w:t>
      </w:r>
      <w:r>
        <w:rPr>
          <w:rFonts w:ascii="Trebuchet MS" w:hAnsi="Trebuchet MS"/>
          <w:sz w:val="22"/>
        </w:rPr>
        <w:t xml:space="preserve">. Cas dans la licence Mistral : terrain d’expérimentation amélioration OCR avec IA, à voir à MT corriger </w:t>
      </w:r>
      <w:r>
        <w:rPr>
          <w:rFonts w:ascii="Trebuchet MS" w:hAnsi="Trebuchet MS"/>
          <w:sz w:val="22"/>
        </w:rPr>
        <w:t xml:space="preserve">océrisation</w:t>
      </w:r>
      <w:r>
        <w:rPr>
          <w:rFonts w:ascii="Trebuchet MS" w:hAnsi="Trebuchet MS"/>
          <w:sz w:val="22"/>
        </w:rPr>
        <w:t xml:space="preserve"> ou faire de la transcription. «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Possibilité de mettre en place une médiation : proposition d’un chercheur s’il travaille sur le doc.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Créer une galerie des grands juristes : choisir des grands auteurs, 5 à 10k signes. Liens faire de toutes les œuvres numérisées sur </w:t>
      </w:r>
      <w:r>
        <w:rPr>
          <w:rFonts w:ascii="Trebuchet MS" w:hAnsi="Trebuchet MS"/>
          <w:sz w:val="22"/>
        </w:rPr>
        <w:t xml:space="preserve">cujas</w:t>
      </w:r>
      <w:r>
        <w:rPr>
          <w:rFonts w:ascii="Trebuchet MS" w:hAnsi="Trebuchet MS"/>
          <w:sz w:val="22"/>
        </w:rPr>
        <w:t xml:space="preserve"> ou ailleurs. Présentation + œuvres = lien </w:t>
      </w:r>
      <w:r>
        <w:rPr>
          <w:rFonts w:ascii="Trebuchet MS" w:hAnsi="Trebuchet MS"/>
          <w:sz w:val="22"/>
        </w:rPr>
        <w:t xml:space="preserve">jurisPat</w:t>
      </w:r>
      <w:r>
        <w:rPr>
          <w:rFonts w:ascii="Trebuchet MS" w:hAnsi="Trebuchet MS"/>
          <w:sz w:val="22"/>
        </w:rPr>
        <w:t xml:space="preserve"> =&gt; sorte de visites guidées. Entrée particulière </w:t>
      </w:r>
      <w:r>
        <w:rPr>
          <w:rFonts w:ascii="Trebuchet MS" w:hAnsi="Trebuchet MS"/>
          <w:sz w:val="22"/>
        </w:rPr>
        <w:t xml:space="preserve">de la bib</w:t>
      </w:r>
      <w:r>
        <w:rPr>
          <w:rFonts w:ascii="Trebuchet MS" w:hAnsi="Trebuchet MS"/>
          <w:sz w:val="22"/>
        </w:rPr>
        <w:t xml:space="preserve">. Faire un lien notices, </w:t>
      </w:r>
      <w:r>
        <w:rPr>
          <w:rFonts w:ascii="Trebuchet MS" w:hAnsi="Trebuchet MS"/>
          <w:sz w:val="22"/>
        </w:rPr>
        <w:t xml:space="preserve">coll</w:t>
      </w:r>
      <w:r>
        <w:rPr>
          <w:rFonts w:ascii="Trebuchet MS" w:hAnsi="Trebuchet MS"/>
          <w:sz w:val="22"/>
        </w:rPr>
        <w:t xml:space="preserve"> automatique avec indexation. Mettre champs même doc papier, mettre du RAMEAU. Avoir les mêmes indexations pour pouvoir attraper les deux. Notices identique comme sur SUDOC.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Curieux : partie </w:t>
      </w:r>
      <w:r>
        <w:rPr>
          <w:rFonts w:ascii="Trebuchet MS" w:hAnsi="Trebuchet MS"/>
          <w:sz w:val="22"/>
        </w:rPr>
        <w:t xml:space="preserve">éditorialisée</w:t>
      </w:r>
      <w:r>
        <w:rPr>
          <w:rFonts w:ascii="Trebuchet MS" w:hAnsi="Trebuchet MS"/>
          <w:sz w:val="22"/>
        </w:rPr>
        <w:t xml:space="preserve">, peut avoir deux types de catégories. Permettre une petite publication sur le travail effectué, enrichissement des collections. Question </w:t>
      </w:r>
      <w:r>
        <w:rPr>
          <w:rFonts w:ascii="Trebuchet MS" w:hAnsi="Trebuchet MS"/>
          <w:sz w:val="22"/>
        </w:rPr>
        <w:t xml:space="preserve">éditorialisation</w:t>
      </w:r>
      <w:r>
        <w:rPr>
          <w:rFonts w:ascii="Trebuchet MS" w:hAnsi="Trebuchet MS"/>
          <w:sz w:val="22"/>
        </w:rPr>
        <w:t xml:space="preserve"> en citant la personne. Lien faire des liens entre recherche et bibliothèque. »</w:t>
      </w:r>
      <w:r>
        <w:rPr>
          <w:rFonts w:ascii="Trebuchet MS" w:hAnsi="Trebuchet MS"/>
          <w:sz w:val="22"/>
        </w:rPr>
      </w:r>
    </w:p>
    <w:p>
      <w:pPr>
        <w:pStyle w:val="2058"/>
        <w:pBdr/>
        <w:spacing w:line="240" w:lineRule="auto"/>
        <w:ind/>
        <w:rPr/>
      </w:pPr>
      <w:r/>
      <w:bookmarkStart w:id="74" w:name="_Toc236222470"/>
      <w:r>
        <w:t xml:space="preserve">Annexe 7 : Dubois </w:t>
      </w:r>
      <w:r>
        <w:t xml:space="preserve">Olesea</w:t>
      </w:r>
      <w:r>
        <w:t xml:space="preserve"> (OD), Responsable de la bibliothèque numérique de Sciences Po, entretien du 15/06/2026.</w:t>
      </w:r>
      <w:bookmarkEnd w:id="74"/>
      <w:r/>
      <w:r/>
    </w:p>
    <w:p>
      <w:pPr>
        <w:pBdr/>
        <w:spacing w:line="240" w:lineRule="auto"/>
        <w:ind/>
        <w:rPr/>
      </w:pPr>
      <w: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Il n’y avait rien. Travail minutieux corresp</w:t>
      </w:r>
      <w:r>
        <w:rPr>
          <w:rFonts w:ascii="Trebuchet MS" w:hAnsi="Trebuchet MS"/>
          <w:sz w:val="22"/>
        </w:rPr>
        <w:t xml:space="preserve">ondant à la notion d’inventaire pas juste inventorier un système d’inventaire. C’est un fichier de recollement. Chaque fiche : passeport du document correspondant au doc, description bibliographique du document avec le document lui-même sans passer par le </w:t>
      </w:r>
      <w:r>
        <w:rPr>
          <w:rFonts w:ascii="Trebuchet MS" w:hAnsi="Trebuchet MS"/>
          <w:sz w:val="22"/>
        </w:rPr>
        <w:t xml:space="preserve">Sudoc</w:t>
      </w:r>
      <w:r>
        <w:rPr>
          <w:rFonts w:ascii="Trebuchet MS" w:hAnsi="Trebuchet MS"/>
          <w:sz w:val="22"/>
        </w:rPr>
        <w:t xml:space="preserve"> (erreur proche de 0). On a les </w:t>
      </w:r>
      <w:r>
        <w:rPr>
          <w:rFonts w:ascii="Trebuchet MS" w:hAnsi="Trebuchet MS"/>
          <w:sz w:val="22"/>
        </w:rPr>
        <w:t xml:space="preserve">tdm</w:t>
      </w:r>
      <w:r>
        <w:rPr>
          <w:rFonts w:ascii="Trebuchet MS" w:hAnsi="Trebuchet MS"/>
          <w:sz w:val="22"/>
        </w:rPr>
        <w:t xml:space="preserve"> et la descriptions techniques / physiques du doc : toutes les feuilles </w:t>
      </w:r>
      <w:r>
        <w:rPr>
          <w:rFonts w:ascii="Trebuchet MS" w:hAnsi="Trebuchet MS"/>
          <w:sz w:val="22"/>
        </w:rPr>
        <w:t xml:space="preserve">blanches, etc. : faire un constat d’état surtout pour les collections uniques. Indiquer chaque document : quand on doit déplier une carte, etc. deux notions : aspects bibliographiques, aspects techniques faites </w:t>
      </w:r>
      <w:r>
        <w:rPr>
          <w:rFonts w:ascii="Trebuchet MS" w:hAnsi="Trebuchet MS"/>
          <w:sz w:val="22"/>
        </w:rPr>
        <w:t xml:space="preserve">de manières exhaustives. C’est déjà une archive en soi, à quelle date voit l’état de la page. Il y a 20 ans : pas de normes, de standards. Mais malheureusement les docs qui ont été pris : pas aussi riche. Cette précision n’existe plus. Docs : mêmes années </w:t>
      </w:r>
      <w:r>
        <w:rPr>
          <w:rFonts w:ascii="Trebuchet MS" w:hAnsi="Trebuchet MS"/>
          <w:sz w:val="22"/>
        </w:rPr>
        <w:t xml:space="preserve">etc</w:t>
      </w:r>
      <w:r>
        <w:rPr>
          <w:rFonts w:ascii="Trebuchet MS" w:hAnsi="Trebuchet MS"/>
          <w:sz w:val="22"/>
        </w:rPr>
        <w:t xml:space="preserve">, mais avec des pages supplémentaires (besoin de l’indiquer pour les chercheurs). Fonds sur lequel elle a travaillé : métadonnées très riche et profonde pour avoir le squelette et la base. Bib </w:t>
      </w:r>
      <w:r>
        <w:rPr>
          <w:rFonts w:ascii="Trebuchet MS" w:hAnsi="Trebuchet MS"/>
          <w:sz w:val="22"/>
        </w:rPr>
        <w:t xml:space="preserve">num</w:t>
      </w:r>
      <w:r>
        <w:rPr>
          <w:rFonts w:ascii="Trebuchet MS" w:hAnsi="Trebuchet MS"/>
          <w:sz w:val="22"/>
        </w:rPr>
        <w:t xml:space="preserve"> : seule chose que l’utilisateur voit c’est la vitrine du doc. Plus on est bavard dans les descriptions, plus il trouvera ou fera son choix pour son sujet de recherche pour ces cours. Décrire au max.</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Cherchait des notices dans le </w:t>
      </w:r>
      <w:r>
        <w:rPr>
          <w:rFonts w:ascii="Trebuchet MS" w:hAnsi="Trebuchet MS"/>
          <w:sz w:val="22"/>
        </w:rPr>
        <w:t xml:space="preserve">Sudoc</w:t>
      </w:r>
      <w:r>
        <w:rPr>
          <w:rFonts w:ascii="Trebuchet MS" w:hAnsi="Trebuchet MS"/>
          <w:sz w:val="22"/>
        </w:rPr>
        <w:t xml:space="preserve"> ou cherchait des notices dans le catalogue de Cujas quand il existait il était très pauvre. Parfois, elle est passée au niveau où il n’y avait rien. Des fois, des notices très maigres mais avec des titres incomplets, dates</w:t>
      </w:r>
      <w:r>
        <w:rPr>
          <w:rFonts w:ascii="Trebuchet MS" w:hAnsi="Trebuchet MS"/>
        </w:rPr>
        <w:t xml:space="preserve"> </w:t>
      </w:r>
      <w:r>
        <w:rPr>
          <w:rFonts w:ascii="Trebuchet MS" w:hAnsi="Trebuchet MS"/>
          <w:sz w:val="22"/>
        </w:rPr>
        <w:t xml:space="preserve">avec des ?, pas les bonnes dimensions. Soit elle partait de zéro, soit elle partait des notices </w:t>
      </w:r>
      <w:r>
        <w:rPr>
          <w:rFonts w:ascii="Trebuchet MS" w:hAnsi="Trebuchet MS"/>
          <w:sz w:val="22"/>
        </w:rPr>
        <w:t xml:space="preserve">sudoc</w:t>
      </w:r>
      <w:r>
        <w:rPr>
          <w:rFonts w:ascii="Trebuchet MS" w:hAnsi="Trebuchet MS"/>
          <w:sz w:val="22"/>
        </w:rPr>
        <w:t xml:space="preserve"> qu’il fallait enrichir pour que ce soit plus intéressant pour le lecteur</w:t>
      </w:r>
      <w:r>
        <w:rPr>
          <w:rFonts w:ascii="Trebuchet MS" w:hAnsi="Trebuchet MS"/>
          <w:sz w:val="22"/>
        </w:rPr>
        <w:t xml:space="preserve">. »</w:t>
      </w:r>
      <w:r>
        <w:rPr>
          <w:rFonts w:ascii="Trebuchet MS" w:hAnsi="Trebuchet MS"/>
          <w:sz w:val="22"/>
        </w:rPr>
      </w:r>
    </w:p>
    <w:p>
      <w:pPr>
        <w:pBdr/>
        <w:spacing w:line="240" w:lineRule="auto"/>
        <w:ind/>
        <w:rPr/>
      </w:pPr>
      <w:r/>
      <w:r/>
    </w:p>
    <w:p>
      <w:pPr>
        <w:pStyle w:val="2058"/>
        <w:pBdr/>
        <w:spacing w:line="240" w:lineRule="auto"/>
        <w:ind/>
        <w:rPr/>
      </w:pPr>
      <w:r/>
      <w:bookmarkStart w:id="75" w:name="_Toc236222471"/>
      <w:r>
        <w:t xml:space="preserve">Annexe 8 : </w:t>
      </w:r>
      <w:r>
        <w:t xml:space="preserve">Dufournet</w:t>
      </w:r>
      <w:r>
        <w:t xml:space="preserve"> Stéphane (SD), Responsable du Département du Patrimoine, de la conservation, et de la numérisation, entretien du 22/04/2026.</w:t>
      </w:r>
      <w:bookmarkEnd w:id="75"/>
      <w:r/>
      <w:r/>
    </w:p>
    <w:p>
      <w:pPr>
        <w:pBdr/>
        <w:spacing w:line="240" w:lineRule="auto"/>
        <w:ind/>
        <w:rPr/>
      </w:pPr>
      <w: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Élargir le public pour </w:t>
      </w:r>
      <w:r>
        <w:rPr>
          <w:rFonts w:ascii="Trebuchet MS" w:hAnsi="Trebuchet MS"/>
          <w:sz w:val="22"/>
        </w:rPr>
        <w:t xml:space="preserve">plsrs</w:t>
      </w:r>
      <w:r>
        <w:rPr>
          <w:rFonts w:ascii="Trebuchet MS" w:hAnsi="Trebuchet MS"/>
          <w:sz w:val="22"/>
        </w:rPr>
        <w:t xml:space="preserve"> raisons. Volonté direction avoir </w:t>
      </w:r>
      <w:r>
        <w:rPr>
          <w:rFonts w:ascii="Trebuchet MS" w:hAnsi="Trebuchet MS"/>
          <w:sz w:val="22"/>
        </w:rPr>
        <w:t xml:space="preserve">une bib capable</w:t>
      </w:r>
      <w:r>
        <w:rPr>
          <w:rFonts w:ascii="Trebuchet MS" w:hAnsi="Trebuchet MS"/>
          <w:sz w:val="22"/>
        </w:rPr>
        <w:t xml:space="preserve"> d’agréger d’autres contenus provenant d’autres bib politique. Portail les essentiels du droit pas satisfaisant pour juristes. Exemple JO : intérêt pour cabinet avocat, grand public pour les décrets de naturalisation (</w:t>
      </w:r>
      <w:r>
        <w:rPr>
          <w:rFonts w:ascii="Trebuchet MS" w:hAnsi="Trebuchet MS"/>
          <w:sz w:val="22"/>
        </w:rPr>
        <w:t xml:space="preserve">vérif</w:t>
      </w:r>
      <w:r>
        <w:rPr>
          <w:rFonts w:ascii="Trebuchet MS" w:hAnsi="Trebuchet MS"/>
          <w:sz w:val="22"/>
        </w:rPr>
        <w:t xml:space="preserve"> JO Algérie avec anonymi</w:t>
      </w:r>
      <w:r>
        <w:rPr>
          <w:rFonts w:ascii="Trebuchet MS" w:hAnsi="Trebuchet MS"/>
          <w:sz w:val="22"/>
        </w:rPr>
        <w:t xml:space="preserve">s</w:t>
      </w:r>
      <w:r>
        <w:rPr>
          <w:rFonts w:ascii="Trebuchet MS" w:hAnsi="Trebuchet MS"/>
          <w:sz w:val="22"/>
        </w:rPr>
        <w:t xml:space="preserve">ation). Si ajoute des revues publiques : avec élargissement vers sciences politiques et sciences économiques.</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Recherche</w:t>
      </w:r>
      <w:r>
        <w:rPr>
          <w:rFonts w:ascii="Trebuchet MS" w:hAnsi="Trebuchet MS"/>
          <w:sz w:val="22"/>
        </w:rPr>
        <w:t xml:space="preserve"> avancée. Confondant avec recherché texte </w:t>
      </w:r>
      <w:r>
        <w:rPr>
          <w:rFonts w:ascii="Trebuchet MS" w:hAnsi="Trebuchet MS"/>
          <w:sz w:val="22"/>
        </w:rPr>
        <w:t xml:space="preserve">integral</w:t>
      </w:r>
      <w:r>
        <w:rPr>
          <w:rFonts w:ascii="Trebuchet MS" w:hAnsi="Trebuchet MS"/>
          <w:sz w:val="22"/>
        </w:rPr>
        <w:t xml:space="preserve">. Pb car 80% pas OCR. Filtre qui ne vont pas. Page d’accueil = requête où on cherche par le titre.</w:t>
      </w:r>
      <w:r>
        <w:rPr>
          <w:rFonts w:ascii="Trebuchet MS" w:hAnsi="Trebuchet MS"/>
          <w:sz w:val="22"/>
        </w:rPr>
        <w:t xml:space="preserve"> »</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Mode d’affichage pas très fin impossible </w:t>
      </w:r>
      <w:r>
        <w:rPr>
          <w:rFonts w:ascii="Trebuchet MS" w:hAnsi="Trebuchet MS"/>
          <w:sz w:val="22"/>
        </w:rPr>
        <w:t xml:space="preserve">creation</w:t>
      </w:r>
      <w:r>
        <w:rPr>
          <w:rFonts w:ascii="Trebuchet MS" w:hAnsi="Trebuchet MS"/>
          <w:sz w:val="22"/>
        </w:rPr>
        <w:t xml:space="preserve"> corpus, pas d’</w:t>
      </w:r>
      <w:r>
        <w:rPr>
          <w:rFonts w:ascii="Trebuchet MS" w:hAnsi="Trebuchet MS"/>
          <w:sz w:val="22"/>
        </w:rPr>
        <w:t xml:space="preserve">éditorialisation</w:t>
      </w:r>
      <w:r>
        <w:rPr>
          <w:rFonts w:ascii="Trebuchet MS" w:hAnsi="Trebuchet MS"/>
          <w:sz w:val="22"/>
        </w:rPr>
        <w:t xml:space="preserve">. </w:t>
      </w:r>
      <w:r>
        <w:rPr>
          <w:rFonts w:ascii="Trebuchet MS" w:hAnsi="Trebuchet MS"/>
          <w:sz w:val="22"/>
        </w:rPr>
        <w:t xml:space="preserve">»</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lang w:val="fr-ML"/>
        </w:rPr>
        <w:t xml:space="preserve">Il n’y a que des monographies, pas pu intégrer les cartes postales (possibilité de les faire numériser par BNF). </w:t>
      </w:r>
      <w:r>
        <w:rPr>
          <w:rFonts w:ascii="Trebuchet MS" w:hAnsi="Trebuchet MS"/>
          <w:sz w:val="22"/>
        </w:rPr>
        <w:t xml:space="preserve">Ne voit pas </w:t>
      </w:r>
      <w:r>
        <w:rPr>
          <w:rFonts w:ascii="Trebuchet MS" w:hAnsi="Trebuchet MS"/>
          <w:sz w:val="22"/>
        </w:rPr>
        <w:t xml:space="preserve">cmt</w:t>
      </w:r>
      <w:r>
        <w:rPr>
          <w:rFonts w:ascii="Trebuchet MS" w:hAnsi="Trebuchet MS"/>
          <w:sz w:val="22"/>
        </w:rPr>
        <w:t xml:space="preserve"> le workflow réagit + faire </w:t>
      </w:r>
      <w:r>
        <w:rPr>
          <w:rFonts w:ascii="Trebuchet MS" w:hAnsi="Trebuchet MS"/>
          <w:sz w:val="22"/>
        </w:rPr>
        <w:t xml:space="preserve">tdm</w:t>
      </w:r>
      <w:r>
        <w:rPr>
          <w:rFonts w:ascii="Trebuchet MS" w:hAnsi="Trebuchet MS"/>
          <w:sz w:val="22"/>
        </w:rPr>
        <w:t xml:space="preserve"> pour des estampes et des cartes postales.</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Gênant </w:t>
      </w:r>
      <w:r>
        <w:rPr>
          <w:rFonts w:ascii="Trebuchet MS" w:hAnsi="Trebuchet MS"/>
          <w:sz w:val="22"/>
        </w:rPr>
        <w:t xml:space="preserve">point de vue</w:t>
      </w:r>
      <w:r>
        <w:rPr>
          <w:rFonts w:ascii="Trebuchet MS" w:hAnsi="Trebuchet MS"/>
          <w:sz w:val="22"/>
        </w:rPr>
        <w:t xml:space="preserve"> conception bib </w:t>
      </w:r>
      <w:r>
        <w:rPr>
          <w:rFonts w:ascii="Trebuchet MS" w:hAnsi="Trebuchet MS"/>
          <w:sz w:val="22"/>
        </w:rPr>
        <w:t xml:space="preserve">num</w:t>
      </w:r>
      <w:r>
        <w:rPr>
          <w:rFonts w:ascii="Trebuchet MS" w:hAnsi="Trebuchet MS"/>
          <w:sz w:val="22"/>
        </w:rPr>
        <w:t xml:space="preserve"> : pas de communauté derrière.</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Accueillir d’autres types de doc</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Être interconnectés avec interopérabilité</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Accès back office (affiche métadonnées, </w:t>
      </w:r>
      <w:r>
        <w:rPr>
          <w:rFonts w:ascii="Trebuchet MS" w:hAnsi="Trebuchet MS"/>
          <w:sz w:val="22"/>
        </w:rPr>
        <w:t xml:space="preserve">modif</w:t>
      </w:r>
      <w:r>
        <w:rPr>
          <w:rFonts w:ascii="Trebuchet MS" w:hAnsi="Trebuchet MS"/>
          <w:sz w:val="22"/>
        </w:rPr>
        <w:t xml:space="preserve"> page d’accueil)</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Avoir meilleure présentation des collections.</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Revoir les mentions légales =&gt; </w:t>
      </w:r>
      <w:r>
        <w:rPr>
          <w:rFonts w:ascii="Trebuchet MS" w:hAnsi="Trebuchet MS"/>
          <w:sz w:val="22"/>
        </w:rPr>
        <w:t xml:space="preserve">resort</w:t>
      </w:r>
      <w:r>
        <w:rPr>
          <w:rFonts w:ascii="Trebuchet MS" w:hAnsi="Trebuchet MS"/>
          <w:sz w:val="22"/>
        </w:rPr>
        <w:t xml:space="preserve"> de la </w:t>
      </w:r>
      <w:r>
        <w:rPr>
          <w:rFonts w:ascii="Trebuchet MS" w:hAnsi="Trebuchet MS"/>
          <w:sz w:val="22"/>
        </w:rPr>
        <w:t xml:space="preserve">bn</w:t>
      </w:r>
      <w:r>
        <w:rPr>
          <w:rFonts w:ascii="Trebuchet MS" w:hAnsi="Trebuchet MS"/>
          <w:sz w:val="22"/>
        </w:rPr>
        <w:t xml:space="preserve">.</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Bib </w:t>
      </w:r>
      <w:r>
        <w:rPr>
          <w:rFonts w:ascii="Trebuchet MS" w:hAnsi="Trebuchet MS"/>
          <w:sz w:val="22"/>
        </w:rPr>
        <w:t xml:space="preserve">num</w:t>
      </w:r>
      <w:r>
        <w:rPr>
          <w:rFonts w:ascii="Trebuchet MS" w:hAnsi="Trebuchet MS"/>
          <w:sz w:val="22"/>
        </w:rPr>
        <w:t xml:space="preserve"> conçue comme </w:t>
      </w:r>
      <w:r>
        <w:rPr>
          <w:rFonts w:ascii="Trebuchet MS" w:hAnsi="Trebuchet MS"/>
          <w:sz w:val="22"/>
        </w:rPr>
        <w:t xml:space="preserve">répertoire</w:t>
      </w:r>
      <w:r>
        <w:rPr>
          <w:rFonts w:ascii="Trebuchet MS" w:hAnsi="Trebuchet MS"/>
          <w:sz w:val="22"/>
        </w:rPr>
        <w:t xml:space="preserve"> de PDF. Pensée à ajouter les réseaux sociaux</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Public : bib de recherché, doctorant, chercheurs, pas l’impasse sur le grand public (étudiant, érudit, retraités).</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Devenir la bib </w:t>
      </w:r>
      <w:r>
        <w:rPr>
          <w:rFonts w:ascii="Trebuchet MS" w:hAnsi="Trebuchet MS"/>
          <w:sz w:val="22"/>
        </w:rPr>
        <w:t xml:space="preserve">num</w:t>
      </w:r>
      <w:r>
        <w:rPr>
          <w:rFonts w:ascii="Trebuchet MS" w:hAnsi="Trebuchet MS"/>
          <w:sz w:val="22"/>
        </w:rPr>
        <w:t xml:space="preserve"> de réf en science juridique se </w:t>
      </w:r>
      <w:r>
        <w:rPr>
          <w:rFonts w:ascii="Trebuchet MS" w:hAnsi="Trebuchet MS"/>
          <w:sz w:val="22"/>
        </w:rPr>
        <w:t xml:space="preserve">metre</w:t>
      </w:r>
      <w:r>
        <w:rPr>
          <w:rFonts w:ascii="Trebuchet MS" w:hAnsi="Trebuchet MS"/>
          <w:sz w:val="22"/>
        </w:rPr>
        <w:t xml:space="preserve"> au niveau de</w:t>
      </w:r>
      <w:r>
        <w:rPr>
          <w:rFonts w:ascii="Trebuchet MS" w:hAnsi="Trebuchet MS"/>
          <w:sz w:val="22"/>
        </w:rPr>
        <w:t xml:space="preserve"> </w:t>
      </w:r>
      <w:r>
        <w:rPr>
          <w:rFonts w:ascii="Trebuchet MS" w:hAnsi="Trebuchet MS"/>
          <w:sz w:val="22"/>
        </w:rPr>
        <w:t xml:space="preserve">G</w:t>
      </w:r>
      <w:r>
        <w:rPr>
          <w:rFonts w:ascii="Trebuchet MS" w:hAnsi="Trebuchet MS"/>
          <w:sz w:val="22"/>
        </w:rPr>
        <w:t xml:space="preserve">allica</w:t>
      </w:r>
      <w:r>
        <w:rPr>
          <w:rFonts w:ascii="Trebuchet MS" w:hAnsi="Trebuchet MS"/>
          <w:sz w:val="22"/>
        </w:rPr>
        <w:t xml:space="preserve"> et IIIF</w:t>
      </w:r>
      <w:r>
        <w:rPr>
          <w:rFonts w:ascii="Trebuchet MS" w:hAnsi="Trebuchet MS"/>
          <w:sz w:val="22"/>
        </w:rPr>
        <w:t xml:space="preserve">.</w:t>
      </w:r>
      <w:r>
        <w:rPr>
          <w:rFonts w:ascii="Trebuchet MS" w:hAnsi="Trebuchet MS"/>
          <w:sz w:val="22"/>
        </w:rPr>
        <w:t xml:space="preserve">»</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Aller voir ISTEX (proposer des </w:t>
      </w:r>
      <w:r>
        <w:rPr>
          <w:rFonts w:ascii="Trebuchet MS" w:hAnsi="Trebuchet MS"/>
          <w:sz w:val="22"/>
        </w:rPr>
        <w:t xml:space="preserve">passerelles</w:t>
      </w:r>
      <w:r>
        <w:rPr>
          <w:rFonts w:ascii="Trebuchet MS" w:hAnsi="Trebuchet MS"/>
          <w:sz w:val="22"/>
        </w:rPr>
        <w:t xml:space="preserve"> vers des corpus de recherché, corpus à la demande)</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Possibilité de faire OCR à la volée : être intéressant.</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Open source : question de moyens se pose vraiment.</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Bien voir impact sur la faisabilité et conditions qu’il faut pour atteindre </w:t>
      </w:r>
      <w:r>
        <w:rPr>
          <w:rFonts w:ascii="Trebuchet MS" w:hAnsi="Trebuchet MS"/>
          <w:sz w:val="22"/>
        </w:rPr>
        <w:t xml:space="preserve">les objectifs nécessaires</w:t>
      </w:r>
      <w:r>
        <w:rPr>
          <w:rFonts w:ascii="Trebuchet MS" w:hAnsi="Trebuchet MS"/>
          <w:sz w:val="22"/>
        </w:rPr>
        <w:t xml:space="preserve"> de les hiérarchiser.</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Avoir possibilité de télécharger notice enrichie avec </w:t>
      </w:r>
      <w:r>
        <w:rPr>
          <w:rFonts w:ascii="Trebuchet MS" w:hAnsi="Trebuchet MS"/>
          <w:sz w:val="22"/>
        </w:rPr>
        <w:t xml:space="preserve">TDM</w:t>
      </w:r>
      <w:r>
        <w:rPr>
          <w:rFonts w:ascii="Trebuchet MS" w:hAnsi="Trebuchet MS"/>
          <w:sz w:val="22"/>
        </w:rPr>
        <w:t xml:space="preserve">.</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Creation</w:t>
      </w:r>
      <w:r>
        <w:rPr>
          <w:rFonts w:ascii="Trebuchet MS" w:hAnsi="Trebuchet MS"/>
          <w:sz w:val="22"/>
        </w:rPr>
        <w:t xml:space="preserve"> de corpus à la volée à partir d’une requête. Inédit des </w:t>
      </w:r>
      <w:r>
        <w:rPr>
          <w:rFonts w:ascii="Trebuchet MS" w:hAnsi="Trebuchet MS"/>
          <w:sz w:val="22"/>
        </w:rPr>
        <w:t xml:space="preserve">process</w:t>
      </w:r>
      <w:r>
        <w:rPr>
          <w:rFonts w:ascii="Trebuchet MS" w:hAnsi="Trebuchet MS"/>
          <w:sz w:val="22"/>
        </w:rPr>
        <w:t xml:space="preserve"> à venir =&gt; perspectives de qu’est-ce qui pourrait intéresser les chercheurs à mettre en place. Les choses à faire à la volée avec IA.</w:t>
      </w:r>
      <w:r>
        <w:rPr>
          <w:rFonts w:ascii="Trebuchet MS" w:hAnsi="Trebuchet MS"/>
          <w:sz w:val="22"/>
        </w:rPr>
        <w:t xml:space="preserve"> »</w:t>
      </w:r>
      <w:r>
        <w:rPr>
          <w:rFonts w:ascii="Trebuchet MS" w:hAnsi="Trebuchet MS"/>
          <w:sz w:val="22"/>
        </w:rPr>
      </w:r>
    </w:p>
    <w:p>
      <w:pPr>
        <w:pBdr/>
        <w:spacing w:line="240" w:lineRule="auto"/>
        <w:ind/>
        <w:rPr>
          <w:sz w:val="22"/>
        </w:rPr>
      </w:pPr>
      <w:r>
        <w:rPr>
          <w:sz w:val="22"/>
        </w:rPr>
      </w:r>
      <w:r>
        <w:rPr>
          <w:sz w:val="22"/>
        </w:rPr>
      </w:r>
    </w:p>
    <w:p>
      <w:pPr>
        <w:pStyle w:val="2058"/>
        <w:pBdr/>
        <w:spacing w:line="240" w:lineRule="auto"/>
        <w:ind/>
        <w:rPr/>
      </w:pPr>
      <w:r/>
      <w:bookmarkStart w:id="76" w:name="_Toc236222472"/>
      <w:r>
        <w:t xml:space="preserve">Annexe 9 : </w:t>
      </w:r>
      <w:r>
        <w:t xml:space="preserve">Gottely</w:t>
      </w:r>
      <w:r>
        <w:t xml:space="preserve"> Alexandra (AG) : Responsable du Département partenariats et appui à la recherche, ancienne responsable de la bibliothèque numérique, entretien du 28/04/2026.</w:t>
      </w:r>
      <w:bookmarkEnd w:id="76"/>
      <w:r/>
      <w:r/>
    </w:p>
    <w:p>
      <w:pPr>
        <w:pBdr/>
        <w:spacing w:line="240" w:lineRule="auto"/>
        <w:ind/>
        <w:rPr>
          <w:sz w:val="22"/>
        </w:rPr>
      </w:pPr>
      <w:r>
        <w:rPr>
          <w:sz w:val="22"/>
        </w:rPr>
      </w:r>
      <w:r>
        <w:rPr>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Bib : déjà partenaire avec une expo en ligne sur l’anniv du code civil. Pour nourrir cette expo : mettre à dispo cours polycopiés du doyen, contact à la famille pour demander son accord car doc /s droit à ce moment-là et les descendants l’ont complété.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Choix sur les formats des fichiers, tests d’OCR et de correction d’OCR (pas au point et on ne peut pas se le permettre de correction en interne ni d’argent en externe).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Besoin : interface pour le public.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Ouvrage : reconstitution intellectuelle de la structure du doc (appelé </w:t>
      </w:r>
      <w:r>
        <w:rPr>
          <w:rFonts w:ascii="Trebuchet MS" w:hAnsi="Trebuchet MS"/>
          <w:sz w:val="22"/>
        </w:rPr>
        <w:t xml:space="preserve">tdm</w:t>
      </w:r>
      <w:r>
        <w:rPr>
          <w:rFonts w:ascii="Trebuchet MS" w:hAnsi="Trebuchet MS"/>
          <w:sz w:val="22"/>
        </w:rPr>
        <w:t xml:space="preserv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Mise en place bib </w:t>
      </w:r>
      <w:r>
        <w:rPr>
          <w:rFonts w:ascii="Trebuchet MS" w:hAnsi="Trebuchet MS"/>
          <w:sz w:val="22"/>
        </w:rPr>
        <w:t xml:space="preserve">num</w:t>
      </w:r>
      <w:r>
        <w:rPr>
          <w:rFonts w:ascii="Trebuchet MS" w:hAnsi="Trebuchet MS"/>
          <w:sz w:val="22"/>
        </w:rPr>
        <w:t xml:space="preserve"> /s XTF </w:t>
      </w:r>
      <w:r>
        <w:rPr>
          <w:rFonts w:ascii="Trebuchet MS" w:hAnsi="Trebuchet MS"/>
          <w:sz w:val="22"/>
        </w:rPr>
        <w:t xml:space="preserve">dvlpé</w:t>
      </w:r>
      <w:r>
        <w:rPr>
          <w:rFonts w:ascii="Trebuchet MS" w:hAnsi="Trebuchet MS"/>
          <w:sz w:val="22"/>
        </w:rPr>
        <w:t xml:space="preserve"> par l’université de Californie. Pas utilisé en France mais très utilisé dans le monde anglo-saxon. Très réputé pour être vraiment solide.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Choix fait à l’origine : XTF manière générale utilisé dans monde anglo-saxon avec une interface publique ajoutée par-dessus. Logiciel proposé par </w:t>
      </w:r>
      <w:r>
        <w:rPr>
          <w:rFonts w:ascii="Trebuchet MS" w:hAnsi="Trebuchet MS"/>
          <w:sz w:val="22"/>
        </w:rPr>
        <w:t xml:space="preserve">Brouk</w:t>
      </w:r>
      <w:r>
        <w:rPr>
          <w:rFonts w:ascii="Trebuchet MS" w:hAnsi="Trebuchet MS"/>
          <w:sz w:val="22"/>
        </w:rPr>
        <w:t xml:space="preserve">.  Logiciel libre : important pour Cujas. Mettre </w:t>
      </w:r>
      <w:r>
        <w:rPr>
          <w:rFonts w:ascii="Trebuchet MS" w:hAnsi="Trebuchet MS"/>
          <w:sz w:val="22"/>
        </w:rPr>
        <w:t xml:space="preserve">tei</w:t>
      </w:r>
      <w:r>
        <w:rPr>
          <w:rFonts w:ascii="Trebuchet MS" w:hAnsi="Trebuchet MS"/>
          <w:sz w:val="22"/>
        </w:rPr>
        <w:t xml:space="preserve"> XTF le permettait de les mettre en place assez facilement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Moteur de recherche plutôt efficace</w:t>
      </w:r>
      <w:r>
        <w:rPr>
          <w:rFonts w:ascii="Trebuchet MS" w:hAnsi="Trebuchet MS"/>
          <w:sz w:val="22"/>
        </w:rPr>
        <w:t xml:space="preserve">, permettant toutes les troncatures, recherches expertes. Pas de soucis sur la façon dont ils fonctionnaient. Mise en ligne : PDF en noir et blanc. Idée : juristes pas besoin qu’ils soient jolis mais ils devaient être lisibles surtout car doc de travail.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DC : format propre pour description. Adapter pour le DC. Plein de forme différentes. Langage : très modulable mais aussi son défaut. Notice DC : fallait qu’elle puisse répondre aux </w:t>
      </w:r>
      <w:r>
        <w:rPr>
          <w:rFonts w:ascii="Trebuchet MS" w:hAnsi="Trebuchet MS"/>
          <w:sz w:val="22"/>
        </w:rPr>
        <w:t xml:space="preserve">consignesde</w:t>
      </w:r>
      <w:r>
        <w:rPr>
          <w:rFonts w:ascii="Trebuchet MS" w:hAnsi="Trebuchet MS"/>
          <w:sz w:val="22"/>
        </w:rPr>
        <w:t xml:space="preserve"> la BNF et CINES. CINES n’utilisait/e pas les mêmes codes de </w:t>
      </w:r>
      <w:r>
        <w:rPr>
          <w:rFonts w:ascii="Trebuchet MS" w:hAnsi="Trebuchet MS"/>
          <w:sz w:val="22"/>
        </w:rPr>
        <w:t xml:space="preserve">lang</w:t>
      </w:r>
      <w:r>
        <w:rPr>
          <w:rFonts w:ascii="Trebuchet MS" w:hAnsi="Trebuchet MS"/>
          <w:sz w:val="22"/>
        </w:rPr>
        <w:t xml:space="preserve"> que la BNF. Structuration notices DC liées à ça. Application des normes de ces deux structures.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Avoir un </w:t>
      </w:r>
      <w:r>
        <w:rPr>
          <w:rFonts w:ascii="Trebuchet MS" w:hAnsi="Trebuchet MS"/>
          <w:sz w:val="22"/>
        </w:rPr>
        <w:t xml:space="preserve">recatalogage</w:t>
      </w:r>
      <w:r>
        <w:rPr>
          <w:rFonts w:ascii="Trebuchet MS" w:hAnsi="Trebuchet MS"/>
          <w:sz w:val="22"/>
        </w:rPr>
        <w:t xml:space="preserve"> des ouvrages pour avoir des notices plus propres. 2013 : pas de catalogage av de livres anciens car pers de former pour ça. Collègue cataloguait quand elle trouvait notice en ligne, elle l’</w:t>
      </w:r>
      <w:r>
        <w:rPr>
          <w:rFonts w:ascii="Trebuchet MS" w:hAnsi="Trebuchet MS"/>
          <w:sz w:val="22"/>
        </w:rPr>
        <w:t xml:space="preserve">exemplarisait</w:t>
      </w:r>
      <w:r>
        <w:rPr>
          <w:rFonts w:ascii="Trebuchet MS" w:hAnsi="Trebuchet MS"/>
          <w:sz w:val="22"/>
        </w:rPr>
        <w:t xml:space="preserve"> sinon elle cataloguait comme livres courants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b/>
          <w:sz w:val="22"/>
        </w:rPr>
        <w:t xml:space="preserve">Partie indexation :</w:t>
      </w:r>
      <w:r>
        <w:rPr>
          <w:rFonts w:ascii="Trebuchet MS" w:hAnsi="Trebuchet MS"/>
          <w:sz w:val="22"/>
        </w:rPr>
        <w:t xml:space="preserve"> Demandé à revoir indexation. Discussion autour de ce sujet : obtenu à ce qu’il réduise le nb d’entrée (certains livres : 20 indexations = </w:t>
      </w:r>
      <w:r>
        <w:rPr>
          <w:rFonts w:ascii="Trebuchet MS" w:hAnsi="Trebuchet MS"/>
          <w:sz w:val="22"/>
        </w:rPr>
        <w:t xml:space="preserve">bcp</w:t>
      </w:r>
      <w:r>
        <w:rPr>
          <w:rFonts w:ascii="Trebuchet MS" w:hAnsi="Trebuchet MS"/>
          <w:sz w:val="22"/>
        </w:rPr>
        <w:t xml:space="preserve"> de bruits). Demandé 5 indexations max. </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Apd</w:t>
      </w:r>
      <w:r>
        <w:rPr>
          <w:rFonts w:ascii="Trebuchet MS" w:hAnsi="Trebuchet MS"/>
          <w:sz w:val="22"/>
        </w:rPr>
        <w:t xml:space="preserve"> 2020 (COVID): Regarder à voir si tous</w:t>
      </w:r>
      <w:r>
        <w:rPr>
          <w:rFonts w:ascii="Trebuchet MS" w:hAnsi="Trebuchet MS"/>
        </w:rPr>
        <w:t xml:space="preserve"> </w:t>
      </w:r>
      <w:r>
        <w:rPr>
          <w:rFonts w:ascii="Trebuchet MS" w:hAnsi="Trebuchet MS"/>
          <w:sz w:val="22"/>
        </w:rPr>
        <w:t xml:space="preserve">ce qu’il y avait en </w:t>
      </w:r>
      <w:r>
        <w:rPr>
          <w:rFonts w:ascii="Trebuchet MS" w:hAnsi="Trebuchet MS"/>
          <w:sz w:val="22"/>
        </w:rPr>
        <w:t xml:space="preserve">ligne soit accessible. Début : valorisation avec actualités sur Twitter. Aperçu que c’était la croix et la bannière : nécessité de reprise de l’indexation à ce moment-là, des choses qui n’allaient pas. Rythme : une fois par semaine post actualités environ.</w:t>
      </w:r>
      <w:r>
        <w:rPr>
          <w:rFonts w:ascii="Trebuchet MS" w:hAnsi="Trebuchet MS"/>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Pas fausse comme indexation : exemple =&gt; actu manuel des cours. Si appui s/ indexation : résultat du XVIe s qui remontait pas complètement faux : mais pas ce à quoi on s’attend.</w:t>
      </w:r>
      <w:r>
        <w:rPr>
          <w:rFonts w:ascii="Trebuchet MS" w:hAnsi="Trebuchet MS"/>
          <w:sz w:val="22"/>
        </w:rPr>
      </w:r>
    </w:p>
    <w:p>
      <w:pPr>
        <w:pStyle w:val="2066"/>
        <w:numPr>
          <w:ilvl w:val="0"/>
          <w:numId w:val="40"/>
        </w:numPr>
        <w:pBdr/>
        <w:spacing w:line="240" w:lineRule="auto"/>
        <w:ind/>
        <w:rPr>
          <w:rFonts w:ascii="Trebuchet MS" w:hAnsi="Trebuchet MS"/>
          <w:b/>
          <w:sz w:val="22"/>
        </w:rPr>
      </w:pPr>
      <w:r>
        <w:rPr>
          <w:rFonts w:ascii="Trebuchet MS" w:hAnsi="Trebuchet MS"/>
          <w:sz w:val="22"/>
        </w:rPr>
        <w:t xml:space="preserve">Soucis concernant indexation : éléments très proches qui ne sont pas indexés de la même manière. Pas possible d’avoir ça dans la bib </w:t>
      </w:r>
      <w:r>
        <w:rPr>
          <w:rFonts w:ascii="Trebuchet MS" w:hAnsi="Trebuchet MS"/>
          <w:sz w:val="22"/>
        </w:rPr>
        <w:t xml:space="preserve">num</w:t>
      </w:r>
      <w:r>
        <w:rPr>
          <w:rFonts w:ascii="Trebuchet MS" w:hAnsi="Trebuchet MS"/>
          <w:sz w:val="22"/>
        </w:rPr>
        <w:t xml:space="preserve"> = ça fait du bruit et pas efficace pour la recherche. </w:t>
      </w:r>
      <w:r>
        <w:rPr>
          <w:rFonts w:ascii="Trebuchet MS" w:hAnsi="Trebuchet MS"/>
          <w:b/>
          <w:sz w:val="22"/>
        </w:rPr>
      </w:r>
    </w:p>
    <w:p>
      <w:pPr>
        <w:pStyle w:val="2066"/>
        <w:numPr>
          <w:ilvl w:val="0"/>
          <w:numId w:val="40"/>
        </w:numPr>
        <w:pBdr/>
        <w:spacing w:line="240" w:lineRule="auto"/>
        <w:ind/>
        <w:rPr>
          <w:b/>
          <w:sz w:val="22"/>
        </w:rPr>
      </w:pPr>
      <w:r>
        <w:rPr>
          <w:rFonts w:ascii="Trebuchet MS" w:hAnsi="Trebuchet MS"/>
          <w:sz w:val="22"/>
        </w:rPr>
        <w:t xml:space="preserve">Manquement : harmonisation, simplification mais pas abrutir la chose, réinstauré le max de nb d’indexation si pas le cas, mettre plus de règle, </w:t>
      </w:r>
      <w:r>
        <w:rPr>
          <w:rFonts w:ascii="Trebuchet MS" w:hAnsi="Trebuchet MS"/>
          <w:b/>
          <w:sz w:val="22"/>
        </w:rPr>
        <w:t xml:space="preserve">se baser plus sur le ressenti d’un lecteur qui utilise la bib </w:t>
      </w:r>
      <w:r>
        <w:rPr>
          <w:rFonts w:ascii="Trebuchet MS" w:hAnsi="Trebuchet MS"/>
          <w:b/>
          <w:sz w:val="22"/>
        </w:rPr>
        <w:t xml:space="preserve">num</w:t>
      </w:r>
      <w:r>
        <w:rPr>
          <w:rFonts w:ascii="Trebuchet MS" w:hAnsi="Trebuchet MS"/>
          <w:b/>
          <w:sz w:val="22"/>
        </w:rPr>
        <w:t xml:space="preserve">. pas faire indexation : </w:t>
      </w:r>
      <w:r>
        <w:rPr>
          <w:rFonts w:ascii="Trebuchet MS" w:hAnsi="Trebuchet MS"/>
          <w:b/>
          <w:sz w:val="22"/>
        </w:rPr>
        <w:t xml:space="preserve">pdv</w:t>
      </w:r>
      <w:r>
        <w:rPr>
          <w:rFonts w:ascii="Trebuchet MS" w:hAnsi="Trebuchet MS"/>
          <w:b/>
          <w:sz w:val="22"/>
        </w:rPr>
        <w:t xml:space="preserve"> un ouvrage </w:t>
      </w:r>
      <w:r>
        <w:rPr>
          <w:rFonts w:ascii="Trebuchet MS" w:hAnsi="Trebuchet MS"/>
          <w:b/>
          <w:sz w:val="22"/>
        </w:rPr>
        <w:t xml:space="preserve">et de quoi il parle mais j’ai</w:t>
      </w:r>
      <w:r>
        <w:rPr>
          <w:b/>
          <w:sz w:val="22"/>
        </w:rPr>
        <w:t xml:space="preserve"> un ouvrage entre les mains auxquels le lecteur va essayer d’y accéder, </w:t>
      </w:r>
      <w:r>
        <w:rPr>
          <w:b/>
          <w:sz w:val="22"/>
        </w:rPr>
        <w:t xml:space="preserve">cmt</w:t>
      </w:r>
      <w:r>
        <w:rPr>
          <w:b/>
          <w:sz w:val="22"/>
        </w:rPr>
        <w:t xml:space="preserve"> va-t-il le caractériser, quels mots-clés utilisés ? se mettre à la place de l’usager. »</w:t>
      </w:r>
      <w:r>
        <w:rPr>
          <w:b/>
          <w:sz w:val="22"/>
        </w:rPr>
      </w:r>
    </w:p>
    <w:p>
      <w:pPr>
        <w:pStyle w:val="2066"/>
        <w:numPr>
          <w:ilvl w:val="0"/>
          <w:numId w:val="40"/>
        </w:numPr>
        <w:pBdr/>
        <w:spacing w:line="240" w:lineRule="auto"/>
        <w:ind/>
        <w:rPr>
          <w:rFonts w:ascii="Trebuchet MS" w:hAnsi="Trebuchet MS"/>
          <w:sz w:val="22"/>
        </w:rPr>
      </w:pPr>
      <w:r>
        <w:rPr>
          <w:rFonts w:ascii="Trebuchet MS" w:hAnsi="Trebuchet MS"/>
          <w:sz w:val="22"/>
        </w:rPr>
        <w:t xml:space="preserve">« Page d’accueil : bulletin des nouveautés (diffusion à </w:t>
      </w:r>
      <w:r>
        <w:rPr>
          <w:rFonts w:ascii="Trebuchet MS" w:hAnsi="Trebuchet MS"/>
          <w:sz w:val="22"/>
        </w:rPr>
        <w:t xml:space="preserve">plsrs</w:t>
      </w:r>
      <w:r>
        <w:rPr>
          <w:rFonts w:ascii="Trebuchet MS" w:hAnsi="Trebuchet MS"/>
          <w:sz w:val="22"/>
        </w:rPr>
        <w:t xml:space="preserve"> endroits, l’avoir à un seul endroit et faire un appel de lien pour le présenter ailleurs), avoir un espace de focus (espace large, libre, en lien avec la </w:t>
      </w:r>
      <w:r>
        <w:rPr>
          <w:rFonts w:ascii="Trebuchet MS" w:hAnsi="Trebuchet MS"/>
          <w:sz w:val="22"/>
        </w:rPr>
        <w:t xml:space="preserve">num</w:t>
      </w:r>
      <w:r>
        <w:rPr>
          <w:rFonts w:ascii="Trebuchet MS" w:hAnsi="Trebuchet MS"/>
          <w:sz w:val="22"/>
        </w:rPr>
        <w:t xml:space="preserve"> …). »</w:t>
      </w:r>
      <w:r>
        <w:rPr>
          <w:rFonts w:ascii="Trebuchet MS" w:hAnsi="Trebuchet MS"/>
          <w:sz w:val="22"/>
        </w:rPr>
      </w:r>
    </w:p>
    <w:p>
      <w:pPr>
        <w:pBdr/>
        <w:spacing w:line="240" w:lineRule="auto"/>
        <w:ind/>
        <w:rPr/>
      </w:pPr>
      <w:r/>
      <w:r/>
    </w:p>
    <w:p>
      <w:pPr>
        <w:pStyle w:val="2058"/>
        <w:pBdr/>
        <w:spacing w:line="240" w:lineRule="auto"/>
        <w:ind/>
        <w:rPr/>
      </w:pPr>
      <w:r/>
      <w:bookmarkStart w:id="77" w:name="_Toc236222473"/>
      <w:r>
        <w:t xml:space="preserve">Annexe 10 : </w:t>
      </w:r>
      <w:r>
        <w:t xml:space="preserve">Leulmi</w:t>
      </w:r>
      <w:r>
        <w:t xml:space="preserve"> </w:t>
      </w:r>
      <w:r>
        <w:t xml:space="preserve">Mebrouk</w:t>
      </w:r>
      <w:r>
        <w:t xml:space="preserve"> (BL), Responsable du Département informatique technique, entretien du 29/04/2026 et du 27/05/2026.</w:t>
      </w:r>
      <w:bookmarkEnd w:id="77"/>
      <w:r/>
      <w:r/>
    </w:p>
    <w:p>
      <w:pPr>
        <w:pBdr/>
        <w:spacing w:line="240" w:lineRule="auto"/>
        <w:ind/>
        <w:rPr/>
      </w:pPr>
      <w:r/>
      <w:r/>
    </w:p>
    <w:p>
      <w:pPr>
        <w:pBdr/>
        <w:spacing w:line="240" w:lineRule="auto"/>
        <w:ind/>
        <w:rPr>
          <w:sz w:val="22"/>
        </w:rPr>
      </w:pPr>
      <w:r>
        <w:rPr>
          <w:sz w:val="22"/>
        </w:rPr>
        <w:t xml:space="preserve">CujasNum</w:t>
      </w:r>
      <w:r>
        <w:rPr>
          <w:sz w:val="22"/>
        </w:rPr>
        <w:t xml:space="preserve"> :</w:t>
      </w:r>
      <w:r>
        <w:rPr>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Projet parti d’une expo pour Jean Carbonnier. Fallait numériser les cours de Jean Carbonnier. Technique : postuler pour le projet Persée, direction intéressé pour faire partie d’un centre réplica, pour être candidat achat d’un scanner </w:t>
      </w:r>
      <w:r>
        <w:rPr>
          <w:rFonts w:ascii="Trebuchet MS" w:hAnsi="Trebuchet MS"/>
          <w:sz w:val="22"/>
        </w:rPr>
        <w:t xml:space="preserve">Kirtas</w:t>
      </w:r>
      <w:r>
        <w:rPr>
          <w:rFonts w:ascii="Trebuchet MS" w:hAnsi="Trebuchet MS"/>
          <w:sz w:val="22"/>
        </w:rPr>
        <w:t xml:space="preserve">. Pour pouvoir </w:t>
      </w:r>
      <w:r>
        <w:rPr>
          <w:rFonts w:ascii="Trebuchet MS" w:hAnsi="Trebuchet MS"/>
          <w:sz w:val="22"/>
        </w:rPr>
        <w:t xml:space="preserve">dvlper</w:t>
      </w:r>
      <w:r>
        <w:rPr>
          <w:rFonts w:ascii="Trebuchet MS" w:hAnsi="Trebuchet MS"/>
          <w:sz w:val="22"/>
        </w:rPr>
        <w:t xml:space="preserve"> une chaîne de </w:t>
      </w:r>
      <w:r>
        <w:rPr>
          <w:rFonts w:ascii="Trebuchet MS" w:hAnsi="Trebuchet MS"/>
          <w:sz w:val="22"/>
        </w:rPr>
        <w:t xml:space="preserve">prod</w:t>
      </w:r>
      <w:r>
        <w:rPr>
          <w:rFonts w:ascii="Trebuchet MS" w:hAnsi="Trebuchet MS"/>
          <w:sz w:val="22"/>
        </w:rPr>
        <w:t xml:space="preserve"> en interne. Cujas n’a pas été retenu.</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Choix XTF : seule possibilité de mettre des livres électroniques en ligne. Université de Californie parmi les pionniers des livres numériques avec </w:t>
      </w:r>
      <w:r>
        <w:rPr>
          <w:rFonts w:ascii="Trebuchet MS" w:hAnsi="Trebuchet MS"/>
          <w:sz w:val="22"/>
        </w:rPr>
        <w:t xml:space="preserve">océrisation</w:t>
      </w:r>
      <w:r>
        <w:rPr>
          <w:rFonts w:ascii="Trebuchet MS" w:hAnsi="Trebuchet MS"/>
          <w:sz w:val="22"/>
        </w:rPr>
        <w:t xml:space="preserve">. Clairement il n’y avait pas d’autres outils. Outil en bout de chaine : ne gère pas le workflow, c’est un front. Recherche pas titre ou par texte. </w:t>
      </w:r>
      <w:r>
        <w:rPr>
          <w:rFonts w:ascii="Trebuchet MS" w:hAnsi="Trebuchet MS"/>
          <w:sz w:val="22"/>
        </w:rPr>
        <w:t xml:space="preserve">Dvlpé</w:t>
      </w:r>
      <w:r>
        <w:rPr>
          <w:rFonts w:ascii="Trebuchet MS" w:hAnsi="Trebuchet MS"/>
          <w:sz w:val="22"/>
        </w:rPr>
        <w:t xml:space="preserve"> pour venir en bout de chaîne d’un outil utilisé par la bibliothèque </w:t>
      </w:r>
      <w:r>
        <w:rPr>
          <w:rFonts w:ascii="Trebuchet MS" w:hAnsi="Trebuchet MS"/>
          <w:sz w:val="22"/>
        </w:rPr>
        <w:t xml:space="preserve">fedora</w:t>
      </w:r>
      <w:r>
        <w:rPr>
          <w:rFonts w:ascii="Trebuchet MS" w:hAnsi="Trebuchet MS"/>
          <w:sz w:val="22"/>
        </w:rPr>
        <w:t xml:space="preserve"> (système intégré des bibliothèques open source) permet de servir de catalogue en </w:t>
      </w:r>
      <w:r>
        <w:rPr>
          <w:rFonts w:ascii="Trebuchet MS" w:hAnsi="Trebuchet MS"/>
          <w:sz w:val="22"/>
        </w:rPr>
        <w:t xml:space="preserve">unimarc</w:t>
      </w:r>
      <w:r>
        <w:rPr>
          <w:rFonts w:ascii="Trebuchet MS" w:hAnsi="Trebuchet MS"/>
          <w:sz w:val="22"/>
        </w:rPr>
        <w:t xml:space="preserve">. Equipe de la CDL : construction d’une passerelle prenant les infos présentent dans </w:t>
      </w:r>
      <w:r>
        <w:rPr>
          <w:rFonts w:ascii="Trebuchet MS" w:hAnsi="Trebuchet MS"/>
          <w:sz w:val="22"/>
        </w:rPr>
        <w:t xml:space="preserve">fedora</w:t>
      </w:r>
      <w:r>
        <w:rPr>
          <w:rFonts w:ascii="Trebuchet MS" w:hAnsi="Trebuchet MS"/>
          <w:sz w:val="22"/>
        </w:rPr>
        <w:t xml:space="preserve"> (métadonnées, notices) et les exposent.</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Extraction du peu d’infos avec l’arrivée de la notice (cote, code barre, titre). Code barre pas présente sur toutes les notices. Notices enrichies par la suite pour mieux répondre à l’indexation </w:t>
      </w:r>
      <w:r>
        <w:rPr>
          <w:rFonts w:ascii="Trebuchet MS" w:hAnsi="Trebuchet MS"/>
          <w:sz w:val="22"/>
        </w:rPr>
        <w:t xml:space="preserve">Hauville</w:t>
      </w:r>
      <w:r>
        <w:rPr>
          <w:rFonts w:ascii="Trebuchet MS" w:hAnsi="Trebuchet MS"/>
          <w:sz w:val="22"/>
        </w:rPr>
        <w:t xml:space="preserve">.</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XTF : outil automatique. Pas possible de créer des collections. Obligé de faire une requête pour créer une collection. Pas de back-office tout ce qu</w:t>
      </w:r>
      <w:r>
        <w:rPr>
          <w:rFonts w:ascii="Trebuchet MS" w:hAnsi="Trebuchet MS"/>
          <w:sz w:val="22"/>
        </w:rPr>
        <w:t xml:space="preserve">i est dispo en back est publié.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Num</w:t>
      </w:r>
      <w:r>
        <w:rPr>
          <w:rFonts w:ascii="Trebuchet MS" w:hAnsi="Trebuchet MS"/>
          <w:sz w:val="22"/>
        </w:rPr>
        <w:t xml:space="preserve"> : arrivée en plus alors pas de spécialiste. Pas notion d’archiviste. Car pas de spécialiste et besoin d’attendre l’arrivée des personnes compétentes.</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XTF : fait pour se passer des personnes. Catalogueur sur </w:t>
      </w:r>
      <w:r>
        <w:rPr>
          <w:rFonts w:ascii="Trebuchet MS" w:hAnsi="Trebuchet MS"/>
          <w:sz w:val="22"/>
        </w:rPr>
        <w:t xml:space="preserve">fedora</w:t>
      </w:r>
      <w:r>
        <w:rPr>
          <w:rFonts w:ascii="Trebuchet MS" w:hAnsi="Trebuchet MS"/>
          <w:sz w:val="22"/>
        </w:rPr>
        <w:t xml:space="preserve"> continue à cataloguer ces livres sans se préoccuper du reste. Fait pour ne pas solliciter des gens pour ne pas travailler dans le back mais de sous-traiter à un presta.</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Cujas : création des notices, des METS, de la visionneuse créée en locales en 2008/9 avec les infos + quelques services. Possible d’avoir un service à la demande pour le contenu.</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PDF faisant 300/400Go énormément de temps pour télécharger les docs et cela fait planter le téléchargement.</w:t>
      </w:r>
      <w:r>
        <w:rPr>
          <w:rFonts w:ascii="Trebuchet MS" w:hAnsi="Trebuchet MS"/>
          <w:sz w:val="22"/>
        </w:rPr>
        <w:t xml:space="preserve"> »</w:t>
      </w:r>
      <w:r>
        <w:rPr>
          <w:rFonts w:ascii="Trebuchet MS" w:hAnsi="Trebuchet MS"/>
          <w:sz w:val="22"/>
        </w:rPr>
      </w:r>
    </w:p>
    <w:p>
      <w:pPr>
        <w:pBdr/>
        <w:spacing w:line="240" w:lineRule="auto"/>
        <w:ind/>
        <w:rPr>
          <w:sz w:val="22"/>
        </w:rPr>
      </w:pPr>
      <w:r>
        <w:rPr>
          <w:sz w:val="22"/>
        </w:rPr>
        <w:t xml:space="preserve">Prototype Codex :</w:t>
      </w:r>
      <w:r>
        <w:rPr>
          <w:sz w:val="22"/>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 Type : format. Prototype : avoir une alternative si par exemple demain on nous oblige à fermer le site si on considère qu’il y a besoin.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 Alimentation : fabrication à la volée. Origine : donnée stockée dans des </w:t>
      </w:r>
      <w:r>
        <w:rPr>
          <w:rFonts w:ascii="Trebuchet MS" w:hAnsi="Trebuchet MS" w:eastAsia="Times New Roman"/>
          <w:bCs/>
          <w:sz w:val="22"/>
          <w:lang w:eastAsia="fr-FR"/>
        </w:rPr>
        <w:t xml:space="preserve">bdd</w:t>
      </w:r>
      <w:r>
        <w:rPr>
          <w:rFonts w:ascii="Trebuchet MS" w:hAnsi="Trebuchet MS" w:eastAsia="Times New Roman"/>
          <w:bCs/>
          <w:sz w:val="22"/>
          <w:lang w:eastAsia="fr-FR"/>
        </w:rPr>
        <w:t xml:space="preserve"> permettant évolution format à fournir (actuellement DC, METS). Possibilité d’évoluer vers d’autres formats de données (comme EAD).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Oui c’est possible de traiter des données pour d’autres types de doc. Pour le moment, cela reste générique. Affichage : pas d’importance.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 Si on veut créer des collections possible en les mappant sur les métadonnées. Cel</w:t>
      </w:r>
      <w:r>
        <w:rPr>
          <w:rFonts w:ascii="Trebuchet MS" w:hAnsi="Trebuchet MS" w:eastAsia="Times New Roman"/>
          <w:bCs/>
          <w:sz w:val="22"/>
          <w:lang w:eastAsia="fr-FR"/>
        </w:rPr>
        <w:t xml:space="preserve">a signifie qu’un opérateur va sélectionner en lui disant ce qu’il doit prendre. Possibilité de faire une collection dynamique : ex = droit juridique français =&gt; cherche dans les métadonnées. Codex : remplacement de XTF. Collection peut être publié ou pas.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On peut créer un set. Identifiant, description, par sujet, valeur de critères.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eastAsia="Times New Roman"/>
          <w:bCs/>
          <w:sz w:val="22"/>
          <w:lang w:eastAsia="fr-FR"/>
        </w:rPr>
      </w:pPr>
      <w:r>
        <w:rPr>
          <w:rFonts w:ascii="Trebuchet MS" w:hAnsi="Trebuchet MS" w:eastAsia="Times New Roman"/>
          <w:bCs/>
          <w:sz w:val="22"/>
          <w:lang w:eastAsia="fr-FR"/>
        </w:rPr>
        <w:t xml:space="preserve">Là actuellement, pas possible. Set : permet de regrouper des docs pour le moissonnage sélectif. Souplesse sur ce qui se fait sur un établissement. »</w:t>
      </w:r>
      <w:r>
        <w:rPr>
          <w:rFonts w:ascii="Trebuchet MS" w:hAnsi="Trebuchet MS" w:eastAsia="Times New Roman"/>
          <w:bCs/>
          <w:sz w:val="22"/>
          <w:lang w:eastAsia="fr-FR"/>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Ark</w:t>
      </w:r>
      <w:r>
        <w:rPr>
          <w:rFonts w:ascii="Trebuchet MS" w:hAnsi="Trebuchet MS"/>
          <w:sz w:val="22"/>
        </w:rPr>
        <w:t xml:space="preserve"> de </w:t>
      </w:r>
      <w:r>
        <w:rPr>
          <w:rFonts w:ascii="Trebuchet MS" w:hAnsi="Trebuchet MS"/>
          <w:sz w:val="22"/>
        </w:rPr>
        <w:t xml:space="preserve">cujas</w:t>
      </w:r>
      <w:r>
        <w:rPr>
          <w:rFonts w:ascii="Trebuchet MS" w:hAnsi="Trebuchet MS"/>
          <w:sz w:val="22"/>
        </w:rPr>
        <w:t xml:space="preserve"> : </w:t>
      </w:r>
      <w:r>
        <w:rPr>
          <w:rFonts w:ascii="Trebuchet MS" w:hAnsi="Trebuchet MS"/>
          <w:sz w:val="22"/>
        </w:rPr>
        <w:t xml:space="preserve">ark</w:t>
      </w:r>
      <w:r>
        <w:rPr>
          <w:rFonts w:ascii="Trebuchet MS" w:hAnsi="Trebuchet MS"/>
          <w:sz w:val="22"/>
        </w:rPr>
        <w:t xml:space="preserve">:/45829. Il s’appelle </w:t>
      </w:r>
      <w:r>
        <w:rPr>
          <w:rFonts w:ascii="Trebuchet MS" w:hAnsi="Trebuchet MS"/>
          <w:sz w:val="22"/>
        </w:rPr>
        <w:t xml:space="preserve">pdf</w:t>
      </w:r>
      <w:r>
        <w:rPr>
          <w:rFonts w:ascii="Trebuchet MS" w:hAnsi="Trebuchet MS"/>
          <w:sz w:val="22"/>
        </w:rPr>
        <w:t xml:space="preserve">. Mais on peut le pointer où l’on veut. Pour une image : c’est </w:t>
      </w:r>
      <w:r>
        <w:rPr>
          <w:rFonts w:ascii="Trebuchet MS" w:hAnsi="Trebuchet MS"/>
          <w:sz w:val="22"/>
        </w:rPr>
        <w:t xml:space="preserve">img</w:t>
      </w:r>
      <w:r>
        <w:rPr>
          <w:rFonts w:ascii="Trebuchet MS" w:hAnsi="Trebuchet MS"/>
          <w:sz w:val="22"/>
        </w:rPr>
        <w:t xml:space="preserve">. On s’est basé sur le </w:t>
      </w:r>
      <w:r>
        <w:rPr>
          <w:rFonts w:ascii="Trebuchet MS" w:hAnsi="Trebuchet MS"/>
          <w:sz w:val="22"/>
        </w:rPr>
        <w:t xml:space="preserve">code-barre</w:t>
      </w:r>
      <w:r>
        <w:rPr>
          <w:rFonts w:ascii="Trebuchet MS" w:hAnsi="Trebuchet MS"/>
          <w:sz w:val="22"/>
        </w:rPr>
        <w:t xml:space="preserve"> car on sait que l’on n’aura jamais de doublons. </w:t>
      </w:r>
      <w:r>
        <w:rPr>
          <w:rFonts w:ascii="Trebuchet MS" w:hAnsi="Trebuchet MS"/>
          <w:sz w:val="22"/>
        </w:rPr>
        <w:t xml:space="preserve">Bnf</w:t>
      </w:r>
      <w:r>
        <w:rPr>
          <w:rFonts w:ascii="Trebuchet MS" w:hAnsi="Trebuchet MS"/>
          <w:sz w:val="22"/>
        </w:rPr>
        <w:t xml:space="preserve"> : demander de rajouter un deuxième identifiant :URL. Ne fonctionne pas avec un résolveur de lien. Lien généré automatiquement. Dans bib </w:t>
      </w:r>
      <w:r>
        <w:rPr>
          <w:rFonts w:ascii="Trebuchet MS" w:hAnsi="Trebuchet MS"/>
          <w:sz w:val="22"/>
        </w:rPr>
        <w:t xml:space="preserve">num</w:t>
      </w:r>
      <w:r>
        <w:rPr>
          <w:rFonts w:ascii="Trebuchet MS" w:hAnsi="Trebuchet MS"/>
          <w:sz w:val="22"/>
        </w:rPr>
        <w:t xml:space="preserve"> actuel : pas accès directement à la notice contrairement au proto. Il va implémenter ce format.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Tous les docs générés respectent les standards autorisés (DC, XML…). RFC. Echange : format </w:t>
      </w:r>
      <w:r>
        <w:rPr>
          <w:rFonts w:ascii="Trebuchet MS" w:hAnsi="Trebuchet MS"/>
          <w:sz w:val="22"/>
        </w:rPr>
        <w:t xml:space="preserve">xml</w:t>
      </w:r>
      <w:r>
        <w:rPr>
          <w:rFonts w:ascii="Trebuchet MS" w:hAnsi="Trebuchet MS"/>
          <w:sz w:val="22"/>
        </w:rPr>
        <w:t xml:space="preserve">, </w:t>
      </w:r>
      <w:r>
        <w:rPr>
          <w:rFonts w:ascii="Trebuchet MS" w:hAnsi="Trebuchet MS"/>
          <w:sz w:val="22"/>
        </w:rPr>
        <w:t xml:space="preserve">json</w:t>
      </w:r>
      <w:r>
        <w:rPr>
          <w:rFonts w:ascii="Trebuchet MS" w:hAnsi="Trebuchet MS"/>
          <w:sz w:val="22"/>
        </w:rPr>
        <w:t xml:space="preserve"> pas </w:t>
      </w:r>
      <w:r>
        <w:rPr>
          <w:rFonts w:ascii="Trebuchet MS" w:hAnsi="Trebuchet MS"/>
          <w:sz w:val="22"/>
        </w:rPr>
        <w:t xml:space="preserve">word</w:t>
      </w:r>
      <w:r>
        <w:rPr>
          <w:rFonts w:ascii="Trebuchet MS" w:hAnsi="Trebuchet MS"/>
          <w:sz w:val="22"/>
        </w:rPr>
        <w:t xml:space="preserve">. Image : format ouvert (comme jpeg). </w:t>
      </w:r>
      <w:r>
        <w:rPr>
          <w:rFonts w:ascii="Trebuchet MS" w:hAnsi="Trebuchet MS"/>
          <w:sz w:val="22"/>
        </w:rPr>
        <w:t xml:space="preserve">Pdf</w:t>
      </w:r>
      <w:r>
        <w:rPr>
          <w:rFonts w:ascii="Trebuchet MS" w:hAnsi="Trebuchet MS"/>
          <w:sz w:val="22"/>
        </w:rPr>
        <w:t xml:space="preserve">-A. TIFF. Métadonnées : D</w:t>
      </w:r>
      <w:r>
        <w:rPr>
          <w:rFonts w:ascii="Trebuchet MS" w:hAnsi="Trebuchet MS"/>
          <w:sz w:val="22"/>
        </w:rPr>
        <w:t xml:space="preserve">C, METS, PREMIS (si on veut). MODS, EAD… =&gt; s’appuie sur un format pour échanger les métadonnées pour être traiter par les outils existants. Format comme les archivistes. API : pour le moissonnage. Modèle web de données : échange vraiment interopérable. » </w:t>
      </w:r>
      <w:r>
        <w:rPr>
          <w:rFonts w:ascii="Trebuchet MS" w:hAnsi="Trebuchet MS"/>
          <w:sz w:val="22"/>
        </w:rPr>
      </w:r>
    </w:p>
    <w:p>
      <w:pPr>
        <w:pStyle w:val="2066"/>
        <w:numPr>
          <w:ilvl w:val="0"/>
          <w:numId w:val="41"/>
        </w:numPr>
        <w:pBdr/>
        <w:spacing w:line="240" w:lineRule="auto"/>
        <w:ind/>
        <w:rPr>
          <w:rFonts w:ascii="Trebuchet MS" w:hAnsi="Trebuchet MS"/>
          <w:sz w:val="22"/>
        </w:rPr>
      </w:pPr>
      <w:r>
        <w:rPr>
          <w:rStyle w:val="2088"/>
          <w:rFonts w:ascii="Trebuchet MS" w:hAnsi="Trebuchet MS" w:cs="Times New Roman"/>
          <w:sz w:val="22"/>
        </w:rPr>
        <w:t xml:space="preserve">« Tiff, JPEG, PNG, PDF/A + OCR + métadonnées DC, METS + API sécurisées (XML, JSON) + OAIS</w:t>
      </w:r>
      <w:r>
        <w:rPr>
          <w:rFonts w:ascii="Trebuchet MS" w:hAnsi="Trebuchet MS"/>
          <w:sz w:val="22"/>
        </w:rPr>
        <w:t xml:space="preserve"> moissonnage, ce sont des standards ouverts (pas propriétaire voir les RFC).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Même pour les authentifications centrales : SSO, SAML. =&gt;</w:t>
      </w:r>
      <w:r>
        <w:rPr>
          <w:rFonts w:ascii="Trebuchet MS" w:hAnsi="Trebuchet MS"/>
          <w:sz w:val="22"/>
        </w:rPr>
        <w:t xml:space="preserve"> peut le faire. SAML : utilisé notamment par les fédération d'identité comme Schibboleth. C’est un protocole d’authentification. Exemple : donner accès à un certain livre à tous les enseignants-chercheurs inscrits à l’université. Peut arriver qu’ils ne soi</w:t>
      </w:r>
      <w:r>
        <w:rPr>
          <w:rFonts w:ascii="Trebuchet MS" w:hAnsi="Trebuchet MS"/>
          <w:sz w:val="22"/>
        </w:rPr>
        <w:t xml:space="preserve">ent pas inscrits à Paris I ou Paris II. Peut demander une autorisation, il aurait une liste permettant de trouver son université. Envoi les authentifications cachées à notre serveur pour donner les informations. Cela permet de donner des droits (comme sur </w:t>
      </w:r>
      <w:r>
        <w:rPr>
          <w:rFonts w:ascii="Trebuchet MS" w:hAnsi="Trebuchet MS"/>
          <w:sz w:val="22"/>
        </w:rPr>
        <w:t xml:space="preserve">moodle</w:t>
      </w:r>
      <w:r>
        <w:rPr>
          <w:rFonts w:ascii="Trebuchet MS" w:hAnsi="Trebuchet MS"/>
          <w:sz w:val="22"/>
        </w:rPr>
        <w:t xml:space="preserve"> pour se connecter à l’ENC) =&gt; </w:t>
      </w:r>
      <w:r>
        <w:rPr>
          <w:rFonts w:ascii="Trebuchet MS" w:hAnsi="Trebuchet MS"/>
          <w:sz w:val="22"/>
        </w:rPr>
        <w:t xml:space="preserve">Wayf</w:t>
      </w:r>
      <w:r>
        <w:rPr>
          <w:rFonts w:ascii="Trebuchet MS" w:hAnsi="Trebuchet MS"/>
          <w:sz w:val="22"/>
        </w:rPr>
        <w:t xml:space="preserve"> (</w:t>
      </w:r>
      <w:r>
        <w:rPr>
          <w:rFonts w:ascii="Trebuchet MS" w:hAnsi="Trebuchet MS"/>
          <w:sz w:val="22"/>
        </w:rPr>
        <w:t xml:space="preserve">Where</w:t>
      </w:r>
      <w:r>
        <w:rPr>
          <w:rFonts w:ascii="Trebuchet MS" w:hAnsi="Trebuchet MS"/>
          <w:sz w:val="22"/>
        </w:rPr>
        <w:t xml:space="preserve"> are </w:t>
      </w:r>
      <w:r>
        <w:rPr>
          <w:rFonts w:ascii="Trebuchet MS" w:hAnsi="Trebuchet MS"/>
          <w:sz w:val="22"/>
        </w:rPr>
        <w:t xml:space="preserve">you</w:t>
      </w:r>
      <w:r>
        <w:rPr>
          <w:rFonts w:ascii="Trebuchet MS" w:hAnsi="Trebuchet MS"/>
          <w:sz w:val="22"/>
        </w:rPr>
        <w:t xml:space="preserve"> </w:t>
      </w:r>
      <w:r>
        <w:rPr>
          <w:rFonts w:ascii="Trebuchet MS" w:hAnsi="Trebuchet MS"/>
          <w:sz w:val="22"/>
        </w:rPr>
        <w:t xml:space="preserve">from</w:t>
      </w:r>
      <w:r>
        <w:rPr>
          <w:rFonts w:ascii="Trebuchet MS" w:hAnsi="Trebuchet MS"/>
          <w:sz w:val="22"/>
        </w:rPr>
        <w:t xml:space="preserve">) =&gt; doit s’inscrire</w:t>
      </w:r>
      <w:r>
        <w:rPr>
          <w:rFonts w:ascii="Trebuchet MS" w:hAnsi="Trebuchet MS"/>
          <w:szCs w:val="24"/>
        </w:rPr>
        <w:t xml:space="preserve"> </w:t>
      </w:r>
      <w:r>
        <w:rPr>
          <w:rFonts w:ascii="Trebuchet MS" w:hAnsi="Trebuchet MS"/>
          <w:sz w:val="22"/>
        </w:rPr>
        <w:t xml:space="preserve">dans la fonction de ce service sur la liste de </w:t>
      </w:r>
      <w:r>
        <w:rPr>
          <w:rFonts w:ascii="Trebuchet MS" w:hAnsi="Trebuchet MS"/>
          <w:sz w:val="22"/>
        </w:rPr>
        <w:t xml:space="preserve">Renater</w:t>
      </w:r>
      <w:r>
        <w:rPr>
          <w:rFonts w:ascii="Trebuchet MS" w:hAnsi="Trebuchet MS"/>
          <w:sz w:val="22"/>
        </w:rPr>
        <w:t xml:space="preserve">, pas le droit de le f</w:t>
      </w:r>
      <w:r>
        <w:rPr>
          <w:rFonts w:ascii="Trebuchet MS" w:hAnsi="Trebuchet MS"/>
          <w:sz w:val="22"/>
        </w:rPr>
        <w:t xml:space="preserve">aire comme ça. Les gens que je souhaite intégrer et le signale pour leur permettre l’authentification avec le logo de l’université, pour revenir ensuite sur le site. Codex : installation par défaut de ce protocole pour centraliser les authentifications. » </w:t>
      </w:r>
      <w:r>
        <w:rPr>
          <w:rFonts w:ascii="Trebuchet MS" w:hAnsi="Trebuchet MS"/>
          <w:sz w:val="22"/>
        </w:rPr>
      </w:r>
    </w:p>
    <w:p>
      <w:pPr>
        <w:pStyle w:val="2066"/>
        <w:numPr>
          <w:ilvl w:val="0"/>
          <w:numId w:val="41"/>
        </w:numPr>
        <w:pBdr/>
        <w:spacing w:line="240" w:lineRule="auto"/>
        <w:ind/>
        <w:rPr>
          <w:rFonts w:ascii="Trebuchet MS" w:hAnsi="Trebuchet MS"/>
          <w:sz w:val="22"/>
        </w:rPr>
      </w:pPr>
      <w:r>
        <w:rPr>
          <w:rStyle w:val="2087"/>
          <w:rFonts w:ascii="Trebuchet MS" w:hAnsi="Trebuchet MS" w:cs="Times New Roman"/>
          <w:sz w:val="22"/>
        </w:rPr>
        <w:t xml:space="preserve">« Utilisation d’un serveur IIIF a part. fournissant images et </w:t>
      </w:r>
      <w:r>
        <w:rPr>
          <w:rStyle w:val="2087"/>
          <w:rFonts w:ascii="Trebuchet MS" w:hAnsi="Trebuchet MS" w:cs="Times New Roman"/>
          <w:sz w:val="22"/>
        </w:rPr>
        <w:t xml:space="preserve">manifeste</w:t>
      </w:r>
      <w:r>
        <w:rPr>
          <w:rStyle w:val="2087"/>
          <w:rFonts w:ascii="Trebuchet MS" w:hAnsi="Trebuchet MS" w:cs="Times New Roman"/>
          <w:sz w:val="22"/>
        </w:rPr>
        <w:t xml:space="preserve"> à part. prend les infos. Composée d’une base commune avec des modules </w:t>
      </w:r>
      <w:r>
        <w:rPr>
          <w:rStyle w:val="2087"/>
          <w:rFonts w:ascii="Trebuchet MS" w:hAnsi="Trebuchet MS" w:cs="Times New Roman"/>
          <w:sz w:val="22"/>
        </w:rPr>
        <w:t xml:space="preserve">principes</w:t>
      </w:r>
      <w:r>
        <w:rPr>
          <w:rStyle w:val="2087"/>
          <w:rFonts w:ascii="Trebuchet MS" w:hAnsi="Trebuchet MS" w:cs="Times New Roman"/>
          <w:sz w:val="22"/>
        </w:rPr>
        <w:t xml:space="preserve"> de communication </w:t>
      </w:r>
      <w:r>
        <w:rPr>
          <w:rStyle w:val="2087"/>
          <w:rFonts w:ascii="Trebuchet MS" w:hAnsi="Trebuchet MS" w:cs="Times New Roman"/>
          <w:sz w:val="22"/>
        </w:rPr>
        <w:t xml:space="preserve">intermodules</w:t>
      </w:r>
      <w:r>
        <w:rPr>
          <w:rStyle w:val="2087"/>
          <w:rFonts w:ascii="Trebuchet MS" w:hAnsi="Trebuchet MS" w:cs="Times New Roman"/>
          <w:sz w:val="22"/>
        </w:rPr>
        <w:t xml:space="preserve">. Choix de l’architecture de ce proto : possible d’ajouter des choses, enlever, évoluer des choses. Viendra </w:t>
      </w:r>
      <w:r>
        <w:rPr>
          <w:rStyle w:val="2087"/>
          <w:rFonts w:ascii="Trebuchet MS" w:hAnsi="Trebuchet MS" w:cs="Times New Roman"/>
          <w:sz w:val="22"/>
        </w:rPr>
        <w:t xml:space="preserve">enrichir les collections. Objectif : faire moins et présenter plus. Partager l’action de numérisation. Possible d’aller les infos chez les uns et les autres. Permet de se concentrer sur ce qui n’existe pas. Possible d’aller moissonner sur BNF si manque un </w:t>
      </w:r>
      <w:r>
        <w:rPr>
          <w:rStyle w:val="2087"/>
          <w:rFonts w:ascii="Trebuchet MS" w:hAnsi="Trebuchet MS" w:cs="Times New Roman"/>
          <w:sz w:val="22"/>
        </w:rPr>
        <w:t xml:space="preserve">num</w:t>
      </w:r>
      <w:r>
        <w:rPr>
          <w:rStyle w:val="2087"/>
          <w:rFonts w:ascii="Trebuchet MS" w:hAnsi="Trebuchet MS" w:cs="Times New Roman"/>
          <w:sz w:val="22"/>
        </w:rPr>
        <w:t xml:space="preserve">, </w:t>
      </w:r>
      <w:r>
        <w:rPr>
          <w:rStyle w:val="2087"/>
          <w:rFonts w:ascii="Trebuchet MS" w:hAnsi="Trebuchet MS" w:cs="Times New Roman"/>
          <w:sz w:val="22"/>
        </w:rPr>
        <w:t xml:space="preserve">volume, ….</w:t>
      </w:r>
      <w:r>
        <w:rPr>
          <w:rStyle w:val="2087"/>
          <w:rFonts w:ascii="Trebuchet MS" w:hAnsi="Trebuchet MS" w:cs="Times New Roman"/>
          <w:sz w:val="22"/>
        </w:rPr>
        <w:t xml:space="preserve"> »</w:t>
      </w:r>
      <w:r>
        <w:rPr>
          <w:rFonts w:ascii="Trebuchet MS" w:hAnsi="Trebuchet MS"/>
          <w:sz w:val="22"/>
        </w:rPr>
      </w:r>
    </w:p>
    <w:p>
      <w:pPr>
        <w:pStyle w:val="2058"/>
        <w:pBdr/>
        <w:spacing w:line="240" w:lineRule="auto"/>
        <w:ind/>
        <w:rPr/>
      </w:pPr>
      <w:r/>
      <w:bookmarkStart w:id="78" w:name="_Toc236222474"/>
      <w:r>
        <w:t xml:space="preserve">Annexe 11 : </w:t>
      </w:r>
      <w:r>
        <w:t xml:space="preserve">Limandri</w:t>
      </w:r>
      <w:r>
        <w:t xml:space="preserve"> Sandrine (SL) : Responsable de l’atelier de numérisation, entretien du 02/04/2026.</w:t>
      </w:r>
      <w:bookmarkEnd w:id="78"/>
      <w:r/>
      <w:r/>
    </w:p>
    <w:p>
      <w:pPr>
        <w:pBdr/>
        <w:spacing w:line="240" w:lineRule="auto"/>
        <w:ind/>
        <w:rPr/>
      </w:pPr>
      <w:r/>
      <w:r/>
    </w:p>
    <w:p>
      <w:pPr>
        <w:pStyle w:val="2066"/>
        <w:numPr>
          <w:ilvl w:val="0"/>
          <w:numId w:val="41"/>
        </w:numPr>
        <w:pBdr/>
        <w:spacing w:line="240" w:lineRule="auto"/>
        <w:ind/>
        <w:rPr>
          <w:rFonts w:ascii="Trebuchet MS" w:hAnsi="Trebuchet MS"/>
          <w:sz w:val="22"/>
        </w:rPr>
      </w:pPr>
      <w:r>
        <w:rPr>
          <w:rFonts w:ascii="Trebuchet MS" w:hAnsi="Trebuchet MS"/>
          <w:sz w:val="22"/>
        </w:rPr>
        <w:t xml:space="preserve">« Tiff : correspondances (remarques, pagination, nom des fichiers avec paginations sur 4 nombres). Remarques : infos essentielles (changement de séquences (changement de pagination en cours de route))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Mentor étudiant : table des matières. Structure du doc. Sandrine doit faire correspondre ensuite via une formule la table des matières avec la table des correspondances.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Si erreur prend trois jours pour corriger une erreur et qu’elle soit de nouveau en ligne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Dublin </w:t>
      </w:r>
      <w:r>
        <w:rPr>
          <w:rFonts w:ascii="Trebuchet MS" w:hAnsi="Trebuchet MS"/>
          <w:sz w:val="22"/>
        </w:rPr>
        <w:t xml:space="preserve">core</w:t>
      </w:r>
      <w:r>
        <w:rPr>
          <w:rFonts w:ascii="Trebuchet MS" w:hAnsi="Trebuchet MS"/>
          <w:sz w:val="22"/>
        </w:rPr>
        <w:t xml:space="preserve"> remplit par le prestataire qui part du bordereau. Vérification : bordereau + indexation (balise sujet, cote Dewey, couverture géographique, couverture chronologique). »</w:t>
      </w:r>
      <w:r>
        <w:rPr>
          <w:rFonts w:ascii="Trebuchet MS" w:hAnsi="Trebuchet MS"/>
          <w:sz w:val="22"/>
        </w:rPr>
      </w:r>
    </w:p>
    <w:p>
      <w:pPr>
        <w:pBdr/>
        <w:spacing w:line="240" w:lineRule="auto"/>
        <w:ind/>
        <w:rPr/>
      </w:pPr>
      <w:r/>
      <w:r/>
    </w:p>
    <w:p>
      <w:pPr>
        <w:pStyle w:val="2058"/>
        <w:pBdr/>
        <w:spacing w:line="240" w:lineRule="auto"/>
        <w:ind/>
        <w:rPr/>
      </w:pPr>
      <w:r/>
      <w:bookmarkStart w:id="79" w:name="_Toc236222475"/>
      <w:r>
        <w:t xml:space="preserve">Annexe 12 : </w:t>
      </w:r>
      <w:r>
        <w:t xml:space="preserve">Merat</w:t>
      </w:r>
      <w:r>
        <w:t xml:space="preserve"> Alix (AM) et </w:t>
      </w:r>
      <w:r>
        <w:t xml:space="preserve">Sourdillon</w:t>
      </w:r>
      <w:r>
        <w:t xml:space="preserve"> Jeanne (JS) : Responsable et adjointe du Département des périodiques et des ressources électroniques, entretien du 15/04/2026.</w:t>
      </w:r>
      <w:bookmarkEnd w:id="79"/>
      <w:r>
        <w:t xml:space="preserve"> </w:t>
      </w:r>
      <w:r/>
    </w:p>
    <w:p>
      <w:pPr>
        <w:pBdr/>
        <w:spacing w:line="240" w:lineRule="auto"/>
        <w:ind/>
        <w:rPr/>
      </w:pPr>
      <w:r/>
      <w:r/>
    </w:p>
    <w:p>
      <w:pPr>
        <w:pStyle w:val="2066"/>
        <w:numPr>
          <w:ilvl w:val="0"/>
          <w:numId w:val="41"/>
        </w:numPr>
        <w:pBdr/>
        <w:spacing w:line="240" w:lineRule="auto"/>
        <w:ind/>
        <w:rPr>
          <w:rFonts w:ascii="Trebuchet MS" w:hAnsi="Trebuchet MS"/>
          <w:sz w:val="22"/>
        </w:rPr>
      </w:pPr>
      <w:r>
        <w:rPr>
          <w:rFonts w:ascii="Trebuchet MS" w:hAnsi="Trebuchet MS"/>
          <w:sz w:val="22"/>
        </w:rPr>
        <w:t xml:space="preserve">« La revue respecte une architecture qui lui est propre : titre, année, numéro de volume.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3 </w:t>
      </w:r>
      <w:r>
        <w:rPr>
          <w:rFonts w:ascii="Trebuchet MS" w:hAnsi="Trebuchet MS"/>
          <w:sz w:val="22"/>
        </w:rPr>
        <w:t xml:space="preserve">niv</w:t>
      </w:r>
      <w:r>
        <w:rPr>
          <w:rFonts w:ascii="Trebuchet MS" w:hAnsi="Trebuchet MS"/>
          <w:sz w:val="22"/>
        </w:rPr>
        <w:t xml:space="preserve"> périodiques : titre année </w:t>
      </w:r>
      <w:r>
        <w:rPr>
          <w:rFonts w:ascii="Trebuchet MS" w:hAnsi="Trebuchet MS"/>
          <w:sz w:val="22"/>
        </w:rPr>
        <w:t xml:space="preserve">num</w:t>
      </w:r>
      <w:r>
        <w:rPr>
          <w:rFonts w:ascii="Trebuchet MS" w:hAnsi="Trebuchet MS"/>
          <w:sz w:val="22"/>
        </w:rPr>
        <w:t xml:space="preserve"> =&gt; architecture min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Annuel : pas de </w:t>
      </w:r>
      <w:r>
        <w:rPr>
          <w:rFonts w:ascii="Trebuchet MS" w:hAnsi="Trebuchet MS"/>
          <w:sz w:val="22"/>
        </w:rPr>
        <w:t xml:space="preserve">num</w:t>
      </w:r>
      <w:r>
        <w:rPr>
          <w:rFonts w:ascii="Trebuchet MS" w:hAnsi="Trebuchet MS"/>
          <w:sz w:val="22"/>
        </w:rPr>
        <w:t xml:space="preserve"> »</w:t>
      </w:r>
      <w:r>
        <w:rPr>
          <w:rFonts w:ascii="Trebuchet MS" w:hAnsi="Trebuchet MS"/>
          <w:sz w:val="22"/>
        </w:rPr>
      </w:r>
    </w:p>
    <w:p>
      <w:pPr>
        <w:pStyle w:val="2066"/>
        <w:numPr>
          <w:ilvl w:val="0"/>
          <w:numId w:val="41"/>
        </w:numPr>
        <w:pBdr/>
        <w:spacing w:line="240" w:lineRule="auto"/>
        <w:ind/>
        <w:rPr>
          <w:rFonts w:ascii="Trebuchet MS" w:hAnsi="Trebuchet MS" w:eastAsia="Times New Roman"/>
          <w:color w:val="000000"/>
          <w:sz w:val="22"/>
          <w:lang w:eastAsia="fr-FR"/>
        </w:rPr>
      </w:pPr>
      <w:r>
        <w:rPr>
          <w:rFonts w:ascii="Trebuchet MS" w:hAnsi="Trebuchet MS" w:eastAsia="Times New Roman"/>
          <w:color w:val="000000"/>
          <w:sz w:val="22"/>
          <w:lang w:eastAsia="fr-FR"/>
        </w:rPr>
        <w:t xml:space="preserve">« </w:t>
      </w:r>
      <w:r>
        <w:rPr>
          <w:rFonts w:ascii="Trebuchet MS" w:hAnsi="Trebuchet MS" w:eastAsia="Times New Roman"/>
          <w:color w:val="000000"/>
          <w:sz w:val="22"/>
          <w:lang w:eastAsia="fr-FR"/>
        </w:rPr>
        <w:t xml:space="preserve">periodique</w:t>
      </w:r>
      <w:r>
        <w:rPr>
          <w:rFonts w:ascii="Trebuchet MS" w:hAnsi="Trebuchet MS" w:eastAsia="Times New Roman"/>
          <w:color w:val="000000"/>
          <w:sz w:val="22"/>
          <w:lang w:eastAsia="fr-FR"/>
        </w:rPr>
        <w:t xml:space="preserve"> : fascicule s'intègre dans un ensemble. Revue scientifique. »</w:t>
      </w:r>
      <w:r>
        <w:rPr>
          <w:rFonts w:ascii="Trebuchet MS" w:hAnsi="Trebuchet MS" w:eastAsia="Times New Roman"/>
          <w:color w:val="000000"/>
          <w:sz w:val="22"/>
          <w:lang w:eastAsia="fr-FR"/>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Structuration en sommaire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w:t>
      </w:r>
      <w:r>
        <w:rPr>
          <w:rFonts w:ascii="Trebuchet MS" w:hAnsi="Trebuchet MS"/>
          <w:sz w:val="22"/>
        </w:rPr>
        <w:t xml:space="preserve">Num</w:t>
      </w:r>
      <w:r>
        <w:rPr>
          <w:rFonts w:ascii="Trebuchet MS" w:hAnsi="Trebuchet MS"/>
          <w:sz w:val="22"/>
        </w:rPr>
        <w:t xml:space="preserve"> en mode image comme sur </w:t>
      </w:r>
      <w:r>
        <w:rPr>
          <w:rFonts w:ascii="Trebuchet MS" w:hAnsi="Trebuchet MS"/>
          <w:sz w:val="22"/>
        </w:rPr>
        <w:t xml:space="preserve">gallica</w:t>
      </w:r>
      <w:r>
        <w:rPr>
          <w:rFonts w:ascii="Trebuchet MS" w:hAnsi="Trebuchet MS"/>
          <w:sz w:val="22"/>
        </w:rPr>
        <w:t xml:space="preserve"> avec un OCR, fonctionnalités de recherche. Apparition </w:t>
      </w:r>
      <w:r>
        <w:rPr>
          <w:rFonts w:ascii="Trebuchet MS" w:hAnsi="Trebuchet MS"/>
          <w:sz w:val="22"/>
        </w:rPr>
        <w:t xml:space="preserve">tdm</w:t>
      </w:r>
      <w:r>
        <w:rPr>
          <w:rFonts w:ascii="Trebuchet MS" w:hAnsi="Trebuchet MS"/>
          <w:sz w:val="22"/>
        </w:rPr>
        <w:t xml:space="preserve"> qui permettent de naviguer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Pb de droit : comment gérer l’anonymisation des noms de parties dans les revues de jurisprudence. Av 2019 cela se faisait maintenant la question se pose. Question importante sur la jurisprudence. »</w:t>
      </w:r>
      <w:r>
        <w:rPr>
          <w:rFonts w:ascii="Trebuchet MS" w:hAnsi="Trebuchet MS"/>
          <w:sz w:val="22"/>
        </w:rPr>
      </w:r>
    </w:p>
    <w:p>
      <w:pPr>
        <w:pStyle w:val="2058"/>
        <w:pBdr/>
        <w:spacing w:line="240" w:lineRule="auto"/>
        <w:ind/>
        <w:rPr/>
      </w:pPr>
      <w:r/>
      <w:bookmarkStart w:id="80" w:name="_Toc236222476"/>
      <w:r>
        <w:t xml:space="preserve">Annexe 13 : </w:t>
      </w:r>
      <w:r>
        <w:t xml:space="preserve">Suszko</w:t>
      </w:r>
      <w:r>
        <w:t xml:space="preserve"> Fanny (FS), stagiaire, état de l’existant de la bibliothèque numérique actuelle et du prototype Codex datant du 16/06/2026.</w:t>
      </w:r>
      <w:bookmarkEnd w:id="80"/>
      <w:r/>
      <w:r/>
    </w:p>
    <w:p>
      <w:pPr>
        <w:pStyle w:val="2066"/>
        <w:numPr>
          <w:ilvl w:val="0"/>
          <w:numId w:val="41"/>
        </w:numPr>
        <w:pBdr/>
        <w:spacing w:line="240" w:lineRule="auto"/>
        <w:ind/>
        <w:rPr>
          <w:rFonts w:ascii="Trebuchet MS" w:hAnsi="Trebuchet MS"/>
          <w:sz w:val="22"/>
        </w:rPr>
      </w:pPr>
      <w:r>
        <w:rPr>
          <w:rFonts w:ascii="Trebuchet MS" w:hAnsi="Trebuchet MS" w:eastAsia="Times New Roman"/>
          <w:sz w:val="22"/>
          <w:lang w:eastAsia="fr-FR"/>
        </w:rPr>
        <w:t xml:space="preserve">« </w:t>
      </w:r>
      <w:r>
        <w:rPr>
          <w:rFonts w:ascii="Trebuchet MS" w:hAnsi="Trebuchet MS"/>
          <w:sz w:val="22"/>
        </w:rPr>
        <w:t xml:space="preserve">Notice bibliographique numérique : sur cette notice où peut trouver les informations suivantes : le titre, l’éditeur, la date, l’identifiant, les sources ainsi qu’un lien vers la version </w:t>
      </w:r>
      <w:r>
        <w:rPr>
          <w:rFonts w:ascii="Trebuchet MS" w:hAnsi="Trebuchet MS"/>
          <w:sz w:val="22"/>
        </w:rPr>
        <w:t xml:space="preserve">pdf</w:t>
      </w:r>
      <w:r>
        <w:rPr>
          <w:rFonts w:ascii="Trebuchet MS" w:hAnsi="Trebuchet MS"/>
          <w:sz w:val="22"/>
        </w:rPr>
        <w:t xml:space="preserve"> cliquable. La notice semble avoir un problème avec les</w:t>
      </w:r>
      <w:r>
        <w:rPr>
          <w:rFonts w:ascii="Trebuchet MS" w:hAnsi="Trebuchet MS"/>
          <w:sz w:val="22"/>
        </w:rPr>
        <w:t xml:space="preserve"> caractères accentués car l’accent grave sur le e a été remplacé par un ï un point d’interrogation à l’envers. Cette notice est accessible lorsque l’on se trouve sur la visionneuse et que l’on a cliqué sur la feuille en haut à droite. Ici il s’agit d’une a</w:t>
      </w:r>
      <w:r>
        <w:rPr>
          <w:rFonts w:ascii="Trebuchet MS" w:hAnsi="Trebuchet MS"/>
          <w:sz w:val="22"/>
        </w:rPr>
        <w:t xml:space="preserve">utre notice de présentation différente de la première, car on y trouve davantage d’informations. Sur celle-ci on y trouve l’identifiant, les sujets traités, l’auteur, la couverture chronologique, éditeur, date, type de document, description et la langue. »</w:t>
      </w:r>
      <w:r>
        <w:rPr>
          <w:rFonts w:ascii="Trebuchet MS" w:hAnsi="Trebuchet MS"/>
          <w:sz w:val="22"/>
        </w:rPr>
      </w:r>
    </w:p>
    <w:p>
      <w:pPr>
        <w:pStyle w:val="2066"/>
        <w:numPr>
          <w:ilvl w:val="0"/>
          <w:numId w:val="41"/>
        </w:numPr>
        <w:pBdr/>
        <w:spacing w:line="240" w:lineRule="auto"/>
        <w:ind/>
        <w:rPr>
          <w:rFonts w:ascii="Trebuchet MS" w:hAnsi="Trebuchet MS" w:eastAsia="Times New Roman"/>
          <w:sz w:val="22"/>
          <w:lang w:eastAsia="fr-FR"/>
        </w:rPr>
      </w:pPr>
      <w:r>
        <w:rPr>
          <w:rFonts w:ascii="Trebuchet MS" w:hAnsi="Trebuchet MS" w:eastAsia="Times New Roman"/>
          <w:sz w:val="22"/>
          <w:lang w:eastAsia="fr-FR"/>
        </w:rPr>
        <w:t xml:space="preserve">« </w:t>
      </w:r>
      <w:r>
        <w:rPr>
          <w:rFonts w:ascii="Trebuchet MS" w:hAnsi="Trebuchet MS"/>
          <w:sz w:val="22"/>
        </w:rPr>
        <w:t xml:space="preserve">Sur le prototype (Codex), les notices bibliographiques sont mieux présentées, ce qui permet de repérer plus facilement les différents él</w:t>
      </w:r>
      <w:r>
        <w:rPr>
          <w:rFonts w:ascii="Trebuchet MS" w:hAnsi="Trebuchet MS"/>
          <w:sz w:val="22"/>
        </w:rPr>
        <w:t xml:space="preserve">éments qui les constituent (titre, auteur, éditeur, date, etc.). C’est une excellente initiative d'avoir mis en évidence, sur la même page, les documents similaires. Cette présentation rend la fonctionnalité beaucoup plus visible ; elle existait déjà dans </w:t>
      </w:r>
      <w:r>
        <w:rPr>
          <w:rFonts w:ascii="Trebuchet MS" w:hAnsi="Trebuchet MS"/>
          <w:sz w:val="22"/>
        </w:rPr>
        <w:t xml:space="preserve">CujasNum</w:t>
      </w:r>
      <w:r>
        <w:rPr>
          <w:rFonts w:ascii="Trebuchet MS" w:hAnsi="Trebuchet MS"/>
          <w:sz w:val="22"/>
        </w:rPr>
        <w:t xml:space="preserve"> mais était très peu utilisée, car elle apparaissait sous l'intitulé "Dans la même catégorie", sans doute moins parlant pour les usagers. En revanche, pour le moment, la notice bibliographique de Codex demeure dépourvue de référentiel, tout comme celle de </w:t>
      </w:r>
      <w:r>
        <w:rPr>
          <w:rFonts w:ascii="Trebuchet MS" w:hAnsi="Trebuchet MS"/>
          <w:sz w:val="22"/>
        </w:rPr>
        <w:t xml:space="preserve">CujasNum</w:t>
      </w:r>
      <w:r>
        <w:rPr>
          <w:rFonts w:ascii="Trebuchet MS" w:hAnsi="Trebuchet MS"/>
          <w:sz w:val="22"/>
        </w:rPr>
        <w:t xml:space="preserve">, et ne renvoie vers aucun lien extérieur à la bibliothèque numérique. »</w:t>
      </w:r>
      <w:r>
        <w:rPr>
          <w:rFonts w:ascii="Trebuchet MS" w:hAnsi="Trebuchet MS" w:eastAsia="Times New Roman"/>
          <w:sz w:val="22"/>
          <w:lang w:eastAsia="fr-FR"/>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Recherche avancée : la recherche avancée a été dans une page à part où elle contient en fait deux champs la recherche avancée illustrée par un formulaire et la recherche en texte intégral permettant de fouiller les textes qui ont été </w:t>
      </w:r>
      <w:r>
        <w:rPr>
          <w:rFonts w:ascii="Trebuchet MS" w:hAnsi="Trebuchet MS"/>
          <w:sz w:val="22"/>
        </w:rPr>
        <w:t xml:space="preserve">océrisés</w:t>
      </w:r>
      <w:r>
        <w:rPr>
          <w:rFonts w:ascii="Trebuchet MS" w:hAnsi="Trebuchet MS"/>
          <w:sz w:val="22"/>
        </w:rPr>
        <w:t xml:space="preserve">. Le terme de notice bibliographique peut rendre les utilisateurs confus car ils se situent dans l’onglet recherche avancée et trouve le formulaire intitulé notice bibliographique, n’étant pas tous des spécialistes du li</w:t>
      </w:r>
      <w:r>
        <w:rPr>
          <w:rFonts w:ascii="Trebuchet MS" w:hAnsi="Trebuchet MS"/>
          <w:sz w:val="22"/>
        </w:rPr>
        <w:t xml:space="preserve">vre ils ne seront peut-être pas forcément pourquoi il y a ce terme qui apparaît. Après on peut s’interroger sur la nécessité de se séparer ces trois éléments dans des pages distinctes : est-ce forcément ce qu’il y a de plus judicieux à l’heure actuelle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Recherche simple : C’est pratique d’avoir cette barre de recherche pouvant permettre aux chercheurs de trouver la ressource les intéressant le plus par divers moyens.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Facettes que l’on peut trouver en parcourant les collections : les facettes ont été créées par une personne travaillant à Cujas où elle est partie du référentiel RAMEAU mais s’apercevant par moment que celui-ci n’était pas suffisamment précis pour le </w:t>
      </w:r>
      <w:r>
        <w:rPr>
          <w:rFonts w:ascii="Trebuchet MS" w:hAnsi="Trebuchet MS"/>
          <w:sz w:val="22"/>
        </w:rPr>
        <w:t xml:space="preserve">droit à préférer déconstruire ce référentiel l’utilisant que </w:t>
      </w:r>
      <w:r>
        <w:rPr>
          <w:rFonts w:ascii="Trebuchet MS" w:hAnsi="Trebuchet MS"/>
          <w:sz w:val="22"/>
        </w:rPr>
        <w:t xml:space="preserve">quand il était approprié et le complémentant par d’autres informations provenant d’autres sites de droit. Au démarrage celui-ci convenait largement car il y avait peu de document numérisés. En revanche, aujourd’hui cela est loin d’être le cas puisque dorén</w:t>
      </w:r>
      <w:r>
        <w:rPr>
          <w:rFonts w:ascii="Trebuchet MS" w:hAnsi="Trebuchet MS"/>
          <w:sz w:val="22"/>
        </w:rPr>
        <w:t xml:space="preserve">avant ce filtrage devenu trop précis ne permet de retrouver la totalité des documents. Un autre inconvénient vient aussi du fait que l’on retrouve une même facette écrite de façons légèrement différentes comment un tiret qui change ou la présente d’une maj</w:t>
      </w:r>
      <w:r>
        <w:rPr>
          <w:rFonts w:ascii="Trebuchet MS" w:hAnsi="Trebuchet MS"/>
          <w:sz w:val="22"/>
        </w:rPr>
        <w:t xml:space="preserve">uscule pour l’un et n’ont pour l’autre, créant donc deux facettes qui ne communiquent sur le fond pas entre elle car pour l’ordinateur il s’agit de deux éléments complètement différents. Cela amène donc à réfléchir sur la façon dont celle- ci sont créés.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Visionneuse JPEG avec la table des matières : avoir une table des matières cliquables aussi bien dans la visionneuse JPEG que dans le PDF est un vrai plus permettant de rendre l’ouvrage numérisé manipulable se rapproch</w:t>
      </w:r>
      <w:r>
        <w:rPr>
          <w:rFonts w:ascii="Trebuchet MS" w:hAnsi="Trebuchet MS"/>
          <w:sz w:val="22"/>
        </w:rPr>
        <w:t xml:space="preserve">ant de l’utilisation d’un ouvrage papier, grandement apprécié par les lecteurs. Avoir la possibilité d’aller directement sur la partie qui les intéresse leur fait gagner du temps et leur évite de devoir tourner les pages unes à unes pour trouver l’informat</w:t>
      </w:r>
      <w:r>
        <w:rPr>
          <w:rFonts w:ascii="Trebuchet MS" w:hAnsi="Trebuchet MS"/>
          <w:sz w:val="22"/>
        </w:rPr>
        <w:t xml:space="preserve">ion qui les intéresse. Le numérique peut avoir cet aspect moins pratique comparé à un livre papier que l’on peut manipuler un peu à notre guise. La table des matières est une composante essentielle permettant de recréer cette sensation pour les lecteurs.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Codex : Avoir mis en place la possibilité d’avoir deux types de visionneuse une plus simple d’utilisation, la visionneuse </w:t>
      </w:r>
      <w:r>
        <w:rPr>
          <w:rFonts w:ascii="Trebuchet MS" w:hAnsi="Trebuchet MS"/>
          <w:sz w:val="22"/>
        </w:rPr>
        <w:t xml:space="preserve">turner</w:t>
      </w:r>
      <w:r>
        <w:rPr>
          <w:rFonts w:ascii="Trebuchet MS" w:hAnsi="Trebuchet MS"/>
          <w:sz w:val="22"/>
        </w:rPr>
        <w:t xml:space="preserve"> que le grand public pourrait utiliser. Avoir ajouté la visionneuse Mirador en complément est une bonne idée car grâce à cette visionneuse peut s’adresser à un public plus expér</w:t>
      </w:r>
      <w:r>
        <w:rPr>
          <w:rFonts w:ascii="Trebuchet MS" w:hAnsi="Trebuchet MS"/>
          <w:sz w:val="22"/>
        </w:rPr>
        <w:t xml:space="preserve">imenté. Mirador permet d’afficher une interface commune aux documents provenant de bibliothèques numériques compatibles avec les standards IIIF. Avec cette visionneuse, on a la possibilité de zoomer, de comparer et d’annoter des images haute résolution.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A propos : La page d’</w:t>
      </w:r>
      <w:r>
        <w:rPr>
          <w:rFonts w:ascii="Trebuchet MS" w:hAnsi="Trebuchet MS"/>
          <w:sz w:val="22"/>
        </w:rPr>
        <w:t xml:space="preserve">à propos</w:t>
      </w:r>
      <w:r>
        <w:rPr>
          <w:rFonts w:ascii="Trebuchet MS" w:hAnsi="Trebuchet MS"/>
          <w:sz w:val="22"/>
        </w:rPr>
        <w:t xml:space="preserve"> permet de lire que la bibliothèque numérique patrimoniale propose une sélection pointue de documents rares et précieux en science juridique. On peut voir également qu’il y a trois secti</w:t>
      </w:r>
      <w:r>
        <w:rPr>
          <w:rFonts w:ascii="Trebuchet MS" w:hAnsi="Trebuchet MS"/>
          <w:sz w:val="22"/>
        </w:rPr>
        <w:t xml:space="preserve">ons une portant sur les fondamentaux du droit, la seconde sur les cours de droit et la dernière sur la numérisation concertée. On peut voir également un encart en haut à droite portant sur les actualités et en-dessous on y trouve les conditions d’usage.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eastAsia="Times New Roman"/>
          <w:sz w:val="22"/>
          <w:lang w:eastAsia="fr-FR"/>
        </w:rPr>
        <w:t xml:space="preserve">« </w:t>
      </w:r>
      <w:r>
        <w:rPr>
          <w:rFonts w:ascii="Trebuchet MS" w:hAnsi="Trebuchet MS"/>
          <w:sz w:val="22"/>
        </w:rPr>
        <w:t xml:space="preserve">Page d’accueil de Codex. La page d’accu</w:t>
      </w:r>
      <w:r>
        <w:rPr>
          <w:rFonts w:ascii="Trebuchet MS" w:hAnsi="Trebuchet MS"/>
          <w:sz w:val="22"/>
        </w:rPr>
        <w:t xml:space="preserve">eil mentionne simplement qu’il s’agit de la bibliothèque numérique de Cujas, sans donner plus de détails sur la nature ou l’origine de son contenu ; un encart A propos est mentionné redonnant les mêmes informations que sur l’ancien site de la bibliothèque </w:t>
      </w:r>
      <w:r>
        <w:rPr>
          <w:rFonts w:ascii="Trebuchet MS" w:hAnsi="Trebuchet MS"/>
          <w:sz w:val="22"/>
        </w:rPr>
        <w:t xml:space="preserve">numérique de Cujas. On voit la présence de 5 collections, chacune renvoyant au contenu qu’elle contient. Grâce aux intitulés on comprend qu’il s’agit d’une bibliothèque de droit. Sur la partie droite on voit deux types d’actualités représentées : une parla</w:t>
      </w:r>
      <w:r>
        <w:rPr>
          <w:rFonts w:ascii="Trebuchet MS" w:hAnsi="Trebuchet MS"/>
          <w:sz w:val="22"/>
        </w:rPr>
        <w:t xml:space="preserve">nt des actualités globales que l’on peut retrouver par exemple dans des mails informatifs envoyés par les universités pour parler de la vie de la bibliothèque et expliquer les projets qui sont en cours, ce qui va avoir lieu. En revanche, la deuxième partie</w:t>
      </w:r>
      <w:r>
        <w:rPr>
          <w:rFonts w:ascii="Trebuchet MS" w:hAnsi="Trebuchet MS"/>
          <w:sz w:val="22"/>
        </w:rPr>
        <w:t xml:space="preserve"> parle des ouvrages récemment numérisés qui sont mis en ligne. Le menu de navigation est présenté clairement, de manière aérée sans sous-menu. Toutefois, on peut observer des répétions dans les onglets pouvant amener à se questionner sur l’utilité d’avoir </w:t>
      </w:r>
      <w:r>
        <w:rPr>
          <w:rFonts w:ascii="Trebuchet MS" w:hAnsi="Trebuchet MS"/>
          <w:sz w:val="22"/>
        </w:rPr>
        <w:t xml:space="preserve">autant d’onglet nommé différemment certes mais finalement permettant de faire la même action. On peut par exemple faire de la recherche sous différente forme (utilisant l’onglet explorer, l’onglet recherche comportant deux niveaux d’arborescence, la barre </w:t>
      </w:r>
      <w:r>
        <w:rPr>
          <w:rFonts w:ascii="Trebuchet MS" w:hAnsi="Trebuchet MS"/>
          <w:sz w:val="22"/>
        </w:rPr>
        <w:t xml:space="preserve">de recherche se trouvant à droite, en dessous à nouveau l’onglet explorer mais cette fois avec une loupe et à côté l’onglet plein texte). Cela n’en devient pas très pratique au final. Ici c’est la partie sur les récentes publications présentes sur la page </w:t>
      </w:r>
      <w:r>
        <w:rPr>
          <w:rFonts w:ascii="Trebuchet MS" w:hAnsi="Trebuchet MS"/>
          <w:sz w:val="22"/>
        </w:rPr>
        <w:t xml:space="preserve">d’accueil. C’est une bonne idée car cela permet de mettre en avant les numérisations effectuées par le service et montrer implicitement que la bibliothèque numérique est constante alimentation de ces collections. Sans forcément besoin d’avoir de faire une </w:t>
      </w:r>
      <w:r>
        <w:rPr>
          <w:rFonts w:ascii="Trebuchet MS" w:hAnsi="Trebuchet MS"/>
          <w:sz w:val="22"/>
        </w:rPr>
        <w:t xml:space="preserve">communication excessive. Cela peut êtr</w:t>
      </w:r>
      <w:r>
        <w:rPr>
          <w:rFonts w:ascii="Trebuchet MS" w:hAnsi="Trebuchet MS"/>
          <w:sz w:val="22"/>
        </w:rPr>
        <w:t xml:space="preserve">e en effet une bonne idée d’avoir un encart faisant remonter les ouvrages les plus consultés dans la bibliothèque numérique pouvant amener d’autres lecteurs à les consulter dans le cadre de leur recherche ou s’il souhaite enrichir leur culture générale. »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Codex, la page collection. La page « Collections » reprend les 9 collections dont seulement 5 sont disponibles sur la page d’accueil étant modifiable il me semble c’est-à-</w:t>
      </w:r>
      <w:r>
        <w:rPr>
          <w:rFonts w:ascii="Trebuchet MS" w:hAnsi="Trebuchet MS"/>
          <w:sz w:val="22"/>
        </w:rPr>
        <w:t xml:space="preserve">dire que l’on peut en enlever ou en ajouter sur la page d’accueil en fonction des collections déjà présentes. Cela n’en crée pas de nouvelles. La collection ne présente aucun contenu éditorial permettant d'expliquer la logique de sélection des documents. »</w:t>
      </w:r>
      <w:r>
        <w:rPr>
          <w:rFonts w:ascii="Trebuchet MS" w:hAnsi="Trebuchet MS"/>
          <w:sz w:val="22"/>
        </w:rPr>
      </w:r>
    </w:p>
    <w:p>
      <w:pPr>
        <w:pStyle w:val="2066"/>
        <w:numPr>
          <w:ilvl w:val="0"/>
          <w:numId w:val="41"/>
        </w:numPr>
        <w:pBdr/>
        <w:spacing w:line="240" w:lineRule="auto"/>
        <w:ind/>
        <w:rPr>
          <w:rFonts w:ascii="Trebuchet MS" w:hAnsi="Trebuchet MS"/>
          <w:sz w:val="22"/>
        </w:rPr>
      </w:pPr>
      <w:r>
        <w:rPr>
          <w:rFonts w:ascii="Trebuchet MS" w:hAnsi="Trebuchet MS"/>
          <w:sz w:val="22"/>
        </w:rPr>
        <w:t xml:space="preserve">« Mentions légales pour </w:t>
      </w:r>
      <w:r>
        <w:rPr>
          <w:rFonts w:ascii="Trebuchet MS" w:hAnsi="Trebuchet MS"/>
          <w:sz w:val="22"/>
        </w:rPr>
        <w:t xml:space="preserve">CujasNum</w:t>
      </w:r>
      <w:r>
        <w:rPr>
          <w:rFonts w:ascii="Trebuchet MS" w:hAnsi="Trebuchet MS"/>
          <w:sz w:val="22"/>
        </w:rPr>
        <w:t xml:space="preserve"> : sort de la bibliothèque numérique arrivée sur la page des mentions légales de la bibliothèque </w:t>
      </w:r>
      <w:r>
        <w:rPr>
          <w:rFonts w:ascii="Trebuchet MS" w:hAnsi="Trebuchet MS"/>
          <w:sz w:val="22"/>
        </w:rPr>
        <w:t xml:space="preserve">Cujas. Il s’agit des mentions légales applicables à l’ensemble de la bibliothèque mais ne prenne pas en compte les spécificités liées à la bibliothèque numérique et aux documents présents pouvant avoir des particularités liées aux droits de ces derniers. »</w:t>
      </w:r>
      <w:r>
        <w:rPr>
          <w:rFonts w:ascii="Trebuchet MS" w:hAnsi="Trebuchet MS"/>
          <w:sz w:val="22"/>
        </w:rPr>
      </w:r>
    </w:p>
    <w:p>
      <w:pPr>
        <w:pStyle w:val="2066"/>
        <w:numPr>
          <w:ilvl w:val="0"/>
          <w:numId w:val="41"/>
        </w:numPr>
        <w:pBdr/>
        <w:spacing w:line="240" w:lineRule="auto"/>
        <w:ind/>
        <w:rPr>
          <w:rFonts w:ascii="Trebuchet MS" w:hAnsi="Trebuchet MS"/>
          <w:sz w:val="22"/>
          <w:lang w:eastAsia="fr-FR"/>
        </w:rPr>
      </w:pPr>
      <w:r>
        <w:rPr>
          <w:rFonts w:ascii="Trebuchet MS" w:hAnsi="Trebuchet MS"/>
          <w:sz w:val="22"/>
          <w:lang w:eastAsia="fr-FR"/>
        </w:rPr>
        <w:t xml:space="preserve">« Mentions légales pour Codex : on reste dans la bibliothèque numérique mais elles ne sont pas adaptées au cas de la bibliothèque numérique. Il s’agit de celle spécifique à la bibliothèque Cujas, que l’on retrouve sur le site de la bibliothèque. » </w:t>
      </w:r>
      <w:r>
        <w:rPr>
          <w:rFonts w:ascii="Trebuchet MS" w:hAnsi="Trebuchet MS"/>
          <w:sz w:val="22"/>
          <w:lang w:eastAsia="fr-FR"/>
        </w:rPr>
      </w:r>
    </w:p>
    <w:p>
      <w:pPr>
        <w:pStyle w:val="2066"/>
        <w:pBdr/>
        <w:spacing w:line="240" w:lineRule="auto"/>
        <w:ind/>
        <w:rPr>
          <w:rFonts w:ascii="Times New Roman" w:hAnsi="Times New Roman" w:cs="Times New Roman"/>
          <w:lang w:eastAsia="fr-FR"/>
        </w:rPr>
      </w:pPr>
      <w:r>
        <w:rPr>
          <w:rFonts w:ascii="Times New Roman" w:hAnsi="Times New Roman" w:cs="Times New Roman"/>
          <w:lang w:eastAsia="fr-FR"/>
        </w:rPr>
      </w:r>
      <w:r>
        <w:rPr>
          <w:rFonts w:ascii="Times New Roman" w:hAnsi="Times New Roman" w:cs="Times New Roman"/>
          <w:lang w:eastAsia="fr-FR"/>
        </w:rPr>
      </w:r>
    </w:p>
    <w:p>
      <w:pPr>
        <w:pStyle w:val="2058"/>
        <w:pBdr/>
        <w:spacing w:line="240" w:lineRule="auto"/>
        <w:ind/>
        <w:rPr/>
      </w:pPr>
      <w:r/>
      <w:bookmarkStart w:id="81" w:name="_Toc236222477"/>
      <w:r>
        <w:t xml:space="preserve">Annexe 14 : Enquête de satisfaction sous </w:t>
      </w:r>
      <w:r>
        <w:t xml:space="preserve">LimeSurvey</w:t>
      </w:r>
      <w:r>
        <w:t xml:space="preserve"> ouverte du 14 avril au 03 juillet 2026 sur les sites de la bibliothèque numérique et de la bibliothèque Cujas.</w:t>
      </w:r>
      <w:bookmarkEnd w:id="81"/>
      <w:r/>
      <w:r/>
    </w:p>
    <w:p>
      <w:pPr>
        <w:pBdr/>
        <w:spacing w:line="240" w:lineRule="auto"/>
        <w:ind/>
        <w:rPr/>
      </w:pPr>
      <w:r/>
      <w:r/>
    </w:p>
    <w:p>
      <w:pPr>
        <w:pBdr/>
        <w:spacing w:line="240" w:lineRule="auto"/>
        <w:ind/>
        <w:rPr>
          <w:sz w:val="22"/>
        </w:rPr>
      </w:pPr>
      <w:r>
        <w:rPr>
          <w:sz w:val="22"/>
        </w:rPr>
        <w:t xml:space="preserve">Public : </w:t>
      </w:r>
      <w:r>
        <w:rPr>
          <w:sz w:val="22"/>
        </w:rPr>
      </w:r>
    </w:p>
    <w:p>
      <w:pPr>
        <w:pStyle w:val="2086"/>
        <w:pBdr/>
        <w:spacing/>
        <w:ind/>
        <w:jc w:val="center"/>
        <w:rPr/>
      </w:pPr>
      <w:r>
        <mc:AlternateContent>
          <mc:Choice Requires="wpg">
            <w:drawing>
              <wp:inline xmlns:wp="http://schemas.openxmlformats.org/drawingml/2006/wordprocessingDrawing" distT="0" distB="0" distL="0" distR="0">
                <wp:extent cx="4235450" cy="3181350"/>
                <wp:effectExtent l="0" t="0" r="0" b="0"/>
                <wp:docPr id="2" name="Image 2" descr="C:\Users\FSuszko\AppData\Local\Temp\91cc19ba-1201-4e3e-91fe-a8285852ce5d_allChartImages.zip.allChartImages.zip\1497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Suszko\AppData\Local\Temp\91cc19ba-1201-4e3e-91fe-a8285852ce5d_allChartImages.zip.allChartImages.zip\149765.png"/>
                        <pic:cNvPicPr>
                          <a:picLocks noChangeAspect="1"/>
                        </pic:cNvPicPr>
                        <pic:nvPr/>
                      </pic:nvPicPr>
                      <pic:blipFill rotWithShape="1">
                        <a:blip r:embed="rId12"/>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3.50pt;height:250.50pt;mso-wrap-distance-left:0.00pt;mso-wrap-distance-top:0.00pt;mso-wrap-distance-right:0.00pt;mso-wrap-distance-bottom:0.00pt;z-index:1;" stroked="f">
                <v:imagedata r:id="rId12" o:title=""/>
                <o:lock v:ext="edit" rotation="t"/>
              </v:shape>
            </w:pict>
          </mc:Fallback>
        </mc:AlternateContent>
      </w:r>
      <w:r/>
    </w:p>
    <w:p>
      <w:pPr>
        <w:pBdr/>
        <w:spacing w:line="240" w:lineRule="auto"/>
        <w:ind/>
        <w:rPr>
          <w:rFonts w:ascii="Times New Roman" w:hAnsi="Times New Roman" w:cs="Times New Roman"/>
          <w:sz w:val="22"/>
        </w:rPr>
      </w:pPr>
      <w:r>
        <w:rPr>
          <w:sz w:val="22"/>
        </w:rPr>
        <w:t xml:space="preserve">Spécialité des lecteurs</w:t>
      </w:r>
      <w:r>
        <w:rPr>
          <w:sz w:val="22"/>
        </w:rPr>
        <w:t xml:space="preserve"> </w:t>
      </w:r>
      <w:r>
        <w:rPr>
          <w:rFonts w:cs="Times New Roman"/>
          <w:sz w:val="22"/>
        </w:rPr>
        <w:t xml:space="preserve">:</w:t>
      </w:r>
      <w:r>
        <w:rPr>
          <w:rFonts w:ascii="Times New Roman" w:hAnsi="Times New Roman" w:cs="Times New Roman"/>
          <w:sz w:val="22"/>
        </w:rPr>
      </w:r>
    </w:p>
    <w:p>
      <w:pPr>
        <w:pBdr/>
        <w:spacing w:line="240" w:lineRule="auto"/>
        <w:ind/>
        <w:jc w:val="center"/>
        <w:rPr/>
      </w:pPr>
      <w:r>
        <w:rPr>
          <w:lang w:eastAsia="fr-FR"/>
        </w:rPr>
        <mc:AlternateContent>
          <mc:Choice Requires="wpg">
            <w:drawing>
              <wp:inline xmlns:wp="http://schemas.openxmlformats.org/drawingml/2006/wordprocessingDrawing" distT="0" distB="0" distL="0" distR="0">
                <wp:extent cx="4235450" cy="3181350"/>
                <wp:effectExtent l="0" t="0" r="0" b="0"/>
                <wp:docPr id="3" name="Image 1" descr="C:\Users\FSuszko\AppData\Local\Temp\3045db35-2a23-4e81-a0ff-7d79aacc15f4_allChartImages.zip.allChartImages.zip\149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Suszko\AppData\Local\Temp\3045db35-2a23-4e81-a0ff-7d79aacc15f4_allChartImages.zip.allChartImages.zip\149774.png"/>
                        <pic:cNvPicPr>
                          <a:picLocks noChangeAspect="1"/>
                        </pic:cNvPicPr>
                        <pic:nvPr/>
                      </pic:nvPicPr>
                      <pic:blipFill rotWithShape="1">
                        <a:blip r:embed="rId13"/>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3.50pt;height:250.50pt;mso-wrap-distance-left:0.00pt;mso-wrap-distance-top:0.00pt;mso-wrap-distance-right:0.00pt;mso-wrap-distance-bottom:0.00pt;z-index:1;" stroked="f">
                <v:imagedata r:id="rId13" o:title=""/>
                <o:lock v:ext="edit" rotation="t"/>
              </v:shape>
            </w:pict>
          </mc:Fallback>
        </mc:AlternateContent>
      </w:r>
      <w:r/>
    </w:p>
    <w:p>
      <w:pPr>
        <w:pBdr/>
        <w:spacing w:line="240" w:lineRule="auto"/>
        <w:ind/>
        <w:rPr>
          <w:sz w:val="22"/>
        </w:rPr>
      </w:pPr>
      <w:r>
        <w:rPr>
          <w:sz w:val="22"/>
        </w:rPr>
        <w:t xml:space="preserve">Réponses aux nouveaux services ou fonctionnalités proposées : </w:t>
      </w:r>
      <w:r>
        <w:rPr>
          <w:sz w:val="22"/>
        </w:rPr>
      </w:r>
    </w:p>
    <w:p>
      <w:pPr>
        <w:pStyle w:val="2086"/>
        <w:pBdr/>
        <w:spacing/>
        <w:ind/>
        <w:jc w:val="center"/>
        <w:rPr/>
      </w:pPr>
      <w:r>
        <mc:AlternateContent>
          <mc:Choice Requires="wpg">
            <w:drawing>
              <wp:inline xmlns:wp="http://schemas.openxmlformats.org/drawingml/2006/wordprocessingDrawing" distT="0" distB="0" distL="0" distR="0">
                <wp:extent cx="4235450" cy="3181350"/>
                <wp:effectExtent l="0" t="0" r="0" b="0"/>
                <wp:docPr id="4" name="Image 3" descr="C:\Users\FSuszko\AppData\Local\Temp\703d70ac-9f30-4e3d-b734-218fdc0eea21_allChartImages.zip.allChartImages.zip\149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Suszko\AppData\Local\Temp\703d70ac-9f30-4e3d-b734-218fdc0eea21_allChartImages.zip.allChartImages.zip\149824.png"/>
                        <pic:cNvPicPr>
                          <a:picLocks noChangeAspect="1"/>
                        </pic:cNvPicPr>
                        <pic:nvPr/>
                      </pic:nvPicPr>
                      <pic:blipFill rotWithShape="1">
                        <a:blip r:embed="rId14"/>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3.50pt;height:250.50pt;mso-wrap-distance-left:0.00pt;mso-wrap-distance-top:0.00pt;mso-wrap-distance-right:0.00pt;mso-wrap-distance-bottom:0.00pt;z-index:1;" stroked="f">
                <v:imagedata r:id="rId14" o:title=""/>
                <o:lock v:ext="edit" rotation="t"/>
              </v:shape>
            </w:pict>
          </mc:Fallback>
        </mc:AlternateContent>
      </w:r>
      <w:r/>
    </w:p>
    <w:p>
      <w:pPr>
        <w:pBdr/>
        <w:spacing w:line="240" w:lineRule="auto"/>
        <w:ind/>
        <w:rPr/>
      </w:pPr>
      <w:r/>
      <w:r/>
    </w:p>
    <w:sectPr>
      <w:footerReference w:type="default" r:id="rId9"/>
      <w:footnotePr>
        <w:pos w:val="beneathText"/>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10000000000000000"/>
  </w:font>
  <w:font w:name="Noto Serif CJK SC">
    <w:panose1 w:val="020B0603030804020204"/>
  </w:font>
  <w:font w:name="Noto Sans Devanagari">
    <w:panose1 w:val="020B0603030804020204"/>
  </w:font>
  <w:font w:name="Times New Roman">
    <w:panose1 w:val="02020603050405020304"/>
  </w:font>
  <w:font w:name="Liberation Serif">
    <w:panose1 w:val="02020603050405020304"/>
  </w:font>
  <w:font w:name="Calibri Light">
    <w:panose1 w:val="020F0502020204030204"/>
  </w:font>
  <w:font w:name="Courier New">
    <w:panose1 w:val="02070309020205020404"/>
  </w:font>
  <w:font w:name="Trebuchet MS">
    <w:panose1 w:val="020B0603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42488546"/>
      <w:docPartObj>
        <w:docPartGallery w:val="Page Numbers (Bottom of Page)"/>
        <w:docPartUnique w:val="true"/>
      </w:docPartObj>
      <w:rPr>
        <w:rFonts w:ascii="Times New Roman" w:hAnsi="Times New Roman" w:cs="Times New Roman"/>
      </w:rPr>
    </w:sdtPr>
    <w:sdtContent>
      <w:p>
        <w:pPr>
          <w:pStyle w:val="2082"/>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rPr>
          <w:t xml:space="preserve">34</w:t>
        </w:r>
        <w:r>
          <w:rPr>
            <w:rFonts w:ascii="Times New Roman" w:hAnsi="Times New Roman" w:cs="Times New Roman"/>
          </w:rPr>
          <w:fldChar w:fldCharType="end"/>
        </w:r>
        <w:r>
          <w:rPr>
            <w:rFonts w:ascii="Times New Roman" w:hAnsi="Times New Roman" w:cs="Times New Roman"/>
          </w:rPr>
        </w:r>
      </w:p>
    </w:sdtContent>
  </w:sdt>
  <w:p>
    <w:pPr>
      <w:pStyle w:val="2082"/>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2077"/>
        <w:pBdr/>
        <w:spacing/>
        <w:ind/>
        <w:rPr>
          <w:rFonts w:cs="Times New Roman"/>
        </w:rPr>
      </w:pPr>
      <w:r>
        <w:rPr>
          <w:rStyle w:val="2079"/>
          <w:rFonts w:ascii="Times New Roman" w:hAnsi="Times New Roman" w:cs="Times New Roman"/>
          <w:sz w:val="22"/>
        </w:rPr>
        <w:footnoteRef/>
      </w:r>
      <w:hyperlink r:id="rId1" w:tooltip="https://ccfr.bnf.fr/portailccfr/servlet/ViewManager?menu=public_menu_view&amp;record=rnbcd:INSTITUTION:7824&amp;setCache=all_rnbcd.RNBCD_GLOBALE_MULTI&amp;fromList=true&amp;source=all_rnbcd&amp;action=public_search_top&amp;query=RNBCD_GLOBALE" w:history="1">
        <w:r>
          <w:rPr>
            <w:rStyle w:val="2069"/>
            <w:rFonts w:cs="Times New Roman"/>
          </w:rPr>
          <w:t xml:space="preserve">https://ccfr.bnf.fr/portailccfr/servlet/ViewManager?menu=public_menu_view&amp;record=rnbcd:INSTITUTION:7824&amp;setCache=all_rnbcd.RNBCD_GLOBALE_MULTI&amp;fromList=true&amp;source=all_rnbcd&amp;action=public_search_top&amp;query=RNBCD_GLOBALE</w:t>
        </w:r>
      </w:hyperlink>
      <w:r/>
      <w:r>
        <w:rPr>
          <w:rFonts w:cs="Times New Roman"/>
        </w:rPr>
      </w:r>
    </w:p>
  </w:footnote>
  <w:footnote w:id="3">
    <w:p>
      <w:pPr>
        <w:pStyle w:val="2077"/>
        <w:pBdr/>
        <w:spacing/>
        <w:ind/>
        <w:rPr>
          <w:rFonts w:cs="Times New Roman"/>
          <w:i/>
        </w:rPr>
      </w:pPr>
      <w:r>
        <w:rPr>
          <w:rStyle w:val="2079"/>
          <w:rFonts w:cs="Times New Roman"/>
        </w:rPr>
        <w:footnoteRef/>
      </w:r>
      <w:r>
        <w:rPr>
          <w:rFonts w:cs="Times New Roman"/>
        </w:rPr>
        <w:t xml:space="preserve"> </w:t>
      </w:r>
      <w:r>
        <w:rPr>
          <w:rFonts w:cs="Times New Roman"/>
          <w:i/>
        </w:rPr>
        <w:t xml:space="preserve">Ibid.</w:t>
      </w:r>
      <w:r>
        <w:rPr>
          <w:rFonts w:cs="Times New Roman"/>
          <w:i/>
        </w:rPr>
      </w:r>
    </w:p>
  </w:footnote>
  <w:footnote w:id="4">
    <w:p>
      <w:pPr>
        <w:pStyle w:val="2077"/>
        <w:pBdr/>
        <w:spacing/>
        <w:ind/>
        <w:rPr>
          <w:rFonts w:cs="Times New Roman"/>
        </w:rPr>
      </w:pPr>
      <w:r>
        <w:rPr>
          <w:rStyle w:val="2079"/>
          <w:rFonts w:cs="Times New Roman"/>
        </w:rPr>
        <w:footnoteRef/>
      </w:r>
      <w:r>
        <w:rPr>
          <w:rFonts w:cs="Times New Roman"/>
        </w:rPr>
        <w:t xml:space="preserve"> </w:t>
      </w:r>
      <w:hyperlink r:id="rId2" w:tooltip="https://biu-cujas.univ-paris1.fr/histoire-missions-et-partenariats/" w:history="1">
        <w:r>
          <w:rPr>
            <w:rStyle w:val="2069"/>
            <w:rFonts w:cs="Times New Roman"/>
          </w:rPr>
          <w:t xml:space="preserve">https://biu-cujas.univ-paris1.fr/histoire-missions-et-partenariats/</w:t>
        </w:r>
      </w:hyperlink>
      <w:r>
        <w:rPr>
          <w:rFonts w:cs="Times New Roman"/>
        </w:rPr>
        <w:t xml:space="preserve"> </w:t>
      </w:r>
      <w:r>
        <w:rPr>
          <w:rFonts w:cs="Times New Roman"/>
        </w:rPr>
      </w:r>
    </w:p>
  </w:footnote>
  <w:footnote w:id="5">
    <w:p>
      <w:pPr>
        <w:pStyle w:val="2077"/>
        <w:pBdr/>
        <w:spacing/>
        <w:ind/>
        <w:rPr/>
      </w:pPr>
      <w:r>
        <w:rPr>
          <w:rStyle w:val="2079"/>
          <w:rFonts w:cs="Times New Roman"/>
        </w:rPr>
        <w:footnoteRef/>
      </w:r>
      <w:hyperlink r:id="rId3" w:tooltip="https://ccfr.bnf.fr/portailccfr/servlet/ViewManager?menu=public_menu_view&amp;record=rnbcd:INSTITUTION:7824&amp;setCache=all_rnbcd.RNBCD_GLOBALE_MULTI&amp;fromList=true&amp;source=all_rnbcd&amp;action=public_search_top&amp;query=RNBCD_GLOBALE" w:history="1">
        <w:r>
          <w:rPr>
            <w:rStyle w:val="2069"/>
            <w:rFonts w:cs="Times New Roman"/>
          </w:rPr>
          <w:t xml:space="preserve">https://ccfr.bnf.fr/portailccfr/servlet/ViewManager?menu=public_menu_view&amp;record=rnbcd:INSTITUTION:7824&amp;setCache=all_rnbcd.RNBCD_GLOBALE_MULTI&amp;fromList=true&amp;source=all_rnbcd&amp;action=public_search_top&amp;query=RNBCD_GLOBALE</w:t>
        </w:r>
      </w:hyperlink>
      <w:r/>
      <w:r/>
    </w:p>
  </w:footnote>
  <w:footnote w:id="6">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7">
    <w:p>
      <w:pPr>
        <w:pStyle w:val="2077"/>
        <w:pBdr/>
        <w:spacing/>
        <w:ind/>
        <w:rPr>
          <w:rFonts w:cs="Times New Roman"/>
        </w:rPr>
      </w:pPr>
      <w:r>
        <w:rPr>
          <w:rStyle w:val="2079"/>
          <w:rFonts w:cs="Times New Roman"/>
        </w:rPr>
        <w:footnoteRef/>
      </w:r>
      <w:r>
        <w:rPr>
          <w:rFonts w:cs="Times New Roman"/>
        </w:rPr>
        <w:t xml:space="preserve"> Dossier </w:t>
      </w:r>
      <w:r>
        <w:rPr>
          <w:rFonts w:cs="Times New Roman"/>
        </w:rPr>
        <w:t xml:space="preserve">Num</w:t>
      </w:r>
      <w:r>
        <w:rPr>
          <w:rFonts w:cs="Times New Roman"/>
        </w:rPr>
        <w:t xml:space="preserve"> &gt; </w:t>
      </w:r>
      <w:r>
        <w:rPr>
          <w:rFonts w:cs="Times New Roman"/>
        </w:rPr>
        <w:t xml:space="preserve">Num_historique</w:t>
      </w:r>
      <w:r>
        <w:rPr>
          <w:rFonts w:cs="Times New Roman"/>
        </w:rPr>
        <w:t xml:space="preserve"> &gt; 2007 Refonte du programme de numérisation de Cujas.</w:t>
      </w:r>
      <w:r>
        <w:rPr>
          <w:rFonts w:cs="Times New Roman"/>
        </w:rPr>
      </w:r>
    </w:p>
  </w:footnote>
  <w:footnote w:id="8">
    <w:p>
      <w:pPr>
        <w:pStyle w:val="2077"/>
        <w:pBdr/>
        <w:spacing/>
        <w:ind/>
        <w:rPr>
          <w:rFonts w:ascii="Times New Roman" w:hAnsi="Times New Roman" w:cs="Times New Roman"/>
          <w:sz w:val="22"/>
        </w:rPr>
      </w:pPr>
      <w:r>
        <w:rPr>
          <w:rStyle w:val="2079"/>
          <w:rFonts w:cs="Times New Roman"/>
        </w:rPr>
        <w:footnoteRef/>
      </w:r>
      <w:r>
        <w:rPr>
          <w:rFonts w:cs="Times New Roman"/>
        </w:rPr>
        <w:t xml:space="preserve"> Dossier </w:t>
      </w:r>
      <w:r>
        <w:rPr>
          <w:rFonts w:cs="Times New Roman"/>
        </w:rPr>
        <w:t xml:space="preserve">Num</w:t>
      </w:r>
      <w:r>
        <w:rPr>
          <w:rFonts w:cs="Times New Roman"/>
        </w:rPr>
        <w:t xml:space="preserve"> &gt; </w:t>
      </w:r>
      <w:r>
        <w:rPr>
          <w:rFonts w:cs="Times New Roman"/>
        </w:rPr>
        <w:t xml:space="preserve">Num_historique</w:t>
      </w:r>
      <w:r>
        <w:rPr>
          <w:rFonts w:cs="Times New Roman"/>
        </w:rPr>
        <w:t xml:space="preserve"> &gt; 2007 Refonte du programme de numérisation de Cujas.</w:t>
      </w:r>
      <w:r>
        <w:rPr>
          <w:rFonts w:ascii="Times New Roman" w:hAnsi="Times New Roman" w:cs="Times New Roman"/>
          <w:sz w:val="22"/>
        </w:rPr>
      </w:r>
    </w:p>
  </w:footnote>
  <w:footnote w:id="9">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10">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11">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12">
    <w:p>
      <w:pPr>
        <w:pStyle w:val="2077"/>
        <w:pBdr/>
        <w:spacing/>
        <w:ind/>
        <w:rPr>
          <w:rFonts w:cs="Times New Roman"/>
        </w:rPr>
      </w:pPr>
      <w:r>
        <w:rPr>
          <w:rStyle w:val="2079"/>
          <w:rFonts w:cs="Times New Roman"/>
        </w:rPr>
        <w:footnoteRef/>
      </w:r>
      <w:r>
        <w:rPr>
          <w:rFonts w:cs="Times New Roman"/>
        </w:rPr>
        <w:t xml:space="preserve"> Cf. Annexes : Notes de l’entretien avec BL (29/04/2026).</w:t>
      </w:r>
      <w:r>
        <w:rPr>
          <w:rFonts w:cs="Times New Roman"/>
        </w:rPr>
      </w:r>
    </w:p>
  </w:footnote>
  <w:footnote w:id="13">
    <w:p>
      <w:pPr>
        <w:pStyle w:val="2077"/>
        <w:pBdr/>
        <w:spacing/>
        <w:ind/>
        <w:rPr>
          <w:rFonts w:cs="Times New Roman"/>
        </w:rPr>
      </w:pPr>
      <w:r>
        <w:rPr>
          <w:rStyle w:val="2079"/>
          <w:rFonts w:cs="Times New Roman"/>
        </w:rPr>
        <w:footnoteRef/>
      </w:r>
      <w:r>
        <w:rPr>
          <w:rFonts w:cs="Times New Roman"/>
        </w:rPr>
        <w:t xml:space="preserve"> Cf. Annexes : Notes de l’entretien avec AG (28/06/2026).</w:t>
      </w:r>
      <w:r>
        <w:rPr>
          <w:rFonts w:cs="Times New Roman"/>
        </w:rPr>
      </w:r>
    </w:p>
  </w:footnote>
  <w:footnote w:id="14">
    <w:p>
      <w:pPr>
        <w:pStyle w:val="2077"/>
        <w:pBdr/>
        <w:spacing/>
        <w:ind/>
        <w:rPr>
          <w:rFonts w:ascii="Times New Roman" w:hAnsi="Times New Roman" w:cs="Times New Roman"/>
        </w:rPr>
      </w:pPr>
      <w:r>
        <w:rPr>
          <w:rStyle w:val="2079"/>
          <w:rFonts w:cs="Times New Roman"/>
        </w:rPr>
        <w:footnoteRef/>
      </w:r>
      <w:r>
        <w:rPr>
          <w:rFonts w:cs="Times New Roman"/>
        </w:rPr>
        <w:t xml:space="preserve"> Cf. Annexes : Notes de l’entretien avec BL (27/05/2026).</w:t>
      </w:r>
      <w:r>
        <w:rPr>
          <w:rFonts w:ascii="Times New Roman" w:hAnsi="Times New Roman" w:cs="Times New Roman"/>
        </w:rPr>
      </w:r>
    </w:p>
  </w:footnote>
  <w:footnote w:id="15">
    <w:p>
      <w:pPr>
        <w:pStyle w:val="2077"/>
        <w:pBdr/>
        <w:spacing/>
        <w:ind/>
        <w:rPr>
          <w:rFonts w:cs="Times New Roman"/>
        </w:rPr>
      </w:pPr>
      <w:r>
        <w:rPr>
          <w:rStyle w:val="2079"/>
        </w:rPr>
        <w:footnoteRef/>
      </w:r>
      <w:r>
        <w:t xml:space="preserve"> </w:t>
      </w:r>
      <w:r>
        <w:rPr>
          <w:rFonts w:cs="Times New Roman"/>
        </w:rPr>
        <w:t xml:space="preserve">Cf. Annexes : Notes de l’entretien avec LP (17/05/2026).</w:t>
      </w:r>
      <w:r>
        <w:rPr>
          <w:rFonts w:cs="Times New Roman"/>
        </w:rPr>
      </w:r>
    </w:p>
  </w:footnote>
  <w:footnote w:id="16">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17">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18">
    <w:p>
      <w:pPr>
        <w:pStyle w:val="2077"/>
        <w:pBdr/>
        <w:spacing/>
        <w:ind/>
        <w:rPr/>
      </w:pPr>
      <w:r>
        <w:rPr>
          <w:rStyle w:val="2079"/>
          <w:rFonts w:cs="Times New Roman"/>
        </w:rPr>
        <w:footnoteRef/>
      </w:r>
      <w:r>
        <w:rPr>
          <w:rFonts w:cs="Times New Roman"/>
        </w:rPr>
        <w:t xml:space="preserve"> Cf. Annexes : Notes de l’entretien avec SD (22/04/2026).</w:t>
      </w:r>
      <w:r/>
    </w:p>
  </w:footnote>
  <w:footnote w:id="19">
    <w:p>
      <w:pPr>
        <w:pStyle w:val="2077"/>
        <w:pBdr/>
        <w:spacing/>
        <w:ind/>
        <w:rPr>
          <w:rFonts w:cs="Times New Roman"/>
        </w:rPr>
      </w:pPr>
      <w:r>
        <w:rPr>
          <w:rStyle w:val="2079"/>
          <w:rFonts w:cs="Times New Roman"/>
        </w:rPr>
        <w:footnoteRef/>
      </w:r>
      <w:r>
        <w:rPr>
          <w:rFonts w:cs="Times New Roman"/>
        </w:rPr>
        <w:t xml:space="preserve"> Discussion informelle avec CB.</w:t>
      </w:r>
      <w:r>
        <w:rPr>
          <w:rFonts w:cs="Times New Roman"/>
        </w:rPr>
      </w:r>
    </w:p>
  </w:footnote>
  <w:footnote w:id="20">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21">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22">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23">
    <w:p>
      <w:pPr>
        <w:pStyle w:val="2077"/>
        <w:pBdr/>
        <w:spacing/>
        <w:ind/>
        <w:rPr>
          <w:rFonts w:ascii="Times New Roman" w:hAnsi="Times New Roman" w:cs="Times New Roman"/>
        </w:rPr>
      </w:pPr>
      <w:r>
        <w:rPr>
          <w:rStyle w:val="2079"/>
          <w:rFonts w:cs="Times New Roman"/>
        </w:rPr>
        <w:footnoteRef/>
      </w:r>
      <w:r>
        <w:rPr>
          <w:rFonts w:cs="Times New Roman"/>
        </w:rPr>
        <w:t xml:space="preserve"> Cf. Annexes : Notes de l’entretien avec AG (28/06/2026).</w:t>
      </w:r>
      <w:r>
        <w:rPr>
          <w:rFonts w:ascii="Times New Roman" w:hAnsi="Times New Roman" w:cs="Times New Roman"/>
        </w:rPr>
      </w:r>
    </w:p>
  </w:footnote>
  <w:footnote w:id="24">
    <w:p>
      <w:pPr>
        <w:pStyle w:val="2077"/>
        <w:pBdr/>
        <w:spacing/>
        <w:ind/>
        <w:rPr>
          <w:rFonts w:cs="Times New Roman"/>
        </w:rPr>
      </w:pPr>
      <w:r>
        <w:rPr>
          <w:rStyle w:val="2079"/>
          <w:rFonts w:cs="Times New Roman"/>
        </w:rPr>
        <w:footnoteRef/>
      </w:r>
      <w:r>
        <w:rPr>
          <w:rFonts w:cs="Times New Roman"/>
        </w:rPr>
        <w:t xml:space="preserve"> Cf. Annexes : Notes de l’entretien avec DPRE (15/04/2026).</w:t>
      </w:r>
      <w:r>
        <w:rPr>
          <w:rFonts w:cs="Times New Roman"/>
        </w:rPr>
      </w:r>
    </w:p>
  </w:footnote>
  <w:footnote w:id="25">
    <w:p>
      <w:pPr>
        <w:pStyle w:val="2077"/>
        <w:pBdr/>
        <w:spacing/>
        <w:ind/>
        <w:rPr>
          <w:rFonts w:cs="Times New Roman"/>
        </w:rPr>
      </w:pPr>
      <w:r>
        <w:rPr>
          <w:rStyle w:val="2079"/>
          <w:rFonts w:cs="Times New Roman"/>
        </w:rPr>
        <w:footnoteRef/>
      </w:r>
      <w:r>
        <w:rPr>
          <w:rFonts w:cs="Times New Roman"/>
        </w:rPr>
        <w:t xml:space="preserve"> </w:t>
      </w:r>
      <w:r>
        <w:rPr>
          <w:rFonts w:cs="Times New Roman"/>
        </w:rPr>
        <w:t xml:space="preserve">Discussions</w:t>
      </w:r>
      <w:r>
        <w:rPr>
          <w:rFonts w:cs="Times New Roman"/>
        </w:rPr>
        <w:t xml:space="preserve"> informelles avec SD.</w:t>
      </w:r>
      <w:r>
        <w:rPr>
          <w:rFonts w:cs="Times New Roman"/>
        </w:rPr>
      </w:r>
    </w:p>
  </w:footnote>
  <w:footnote w:id="26">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27">
    <w:p>
      <w:pPr>
        <w:pStyle w:val="2077"/>
        <w:pBdr/>
        <w:spacing/>
        <w:ind/>
        <w:rPr>
          <w:rFonts w:cs="Times New Roman"/>
        </w:rPr>
      </w:pPr>
      <w:r>
        <w:rPr>
          <w:rStyle w:val="2079"/>
          <w:rFonts w:cs="Times New Roman"/>
        </w:rPr>
        <w:footnoteRef/>
      </w:r>
      <w:r>
        <w:rPr>
          <w:rFonts w:cs="Times New Roman"/>
        </w:rPr>
        <w:t xml:space="preserve"> Cf. Annexes : Notes de l’entretien avec LP (17/05/2026).</w:t>
      </w:r>
      <w:r>
        <w:rPr>
          <w:rFonts w:cs="Times New Roman"/>
        </w:rPr>
      </w:r>
    </w:p>
  </w:footnote>
  <w:footnote w:id="28">
    <w:p>
      <w:pPr>
        <w:pStyle w:val="2077"/>
        <w:pBdr/>
        <w:spacing/>
        <w:ind/>
        <w:rPr>
          <w:rFonts w:cs="Times New Roman"/>
        </w:rPr>
      </w:pPr>
      <w:r>
        <w:rPr>
          <w:rStyle w:val="2079"/>
          <w:rFonts w:cs="Times New Roman"/>
        </w:rPr>
        <w:footnoteRef/>
      </w:r>
      <w:r>
        <w:rPr>
          <w:rFonts w:cs="Times New Roman"/>
        </w:rPr>
        <w:t xml:space="preserve"> </w:t>
      </w:r>
      <w:r>
        <w:rPr>
          <w:rFonts w:cs="Times New Roman"/>
        </w:rPr>
        <w:t xml:space="preserve">Discussion </w:t>
      </w:r>
      <w:r>
        <w:rPr>
          <w:rFonts w:cs="Times New Roman"/>
        </w:rPr>
        <w:t xml:space="preserve">informelles avec SD (22/04/2026).</w:t>
      </w:r>
      <w:r>
        <w:rPr>
          <w:rFonts w:cs="Times New Roman"/>
        </w:rPr>
      </w:r>
    </w:p>
  </w:footnote>
  <w:footnote w:id="29">
    <w:p>
      <w:pPr>
        <w:pStyle w:val="2077"/>
        <w:pBdr/>
        <w:spacing/>
        <w:ind/>
        <w:rPr/>
      </w:pPr>
      <w:r>
        <w:rPr>
          <w:rStyle w:val="2079"/>
          <w:rFonts w:cs="Times New Roman"/>
        </w:rPr>
        <w:footnoteRef/>
      </w:r>
      <w:r>
        <w:t xml:space="preserve"> </w:t>
      </w:r>
      <w:r>
        <w:t xml:space="preserve">D</w:t>
      </w:r>
      <w:r>
        <w:rPr>
          <w:rFonts w:cs="Times New Roman"/>
        </w:rPr>
        <w:t xml:space="preserve">iscussions informelles avec SD et Notes de l’entretien avec OD (18/05/2026).</w:t>
      </w:r>
      <w:r/>
    </w:p>
  </w:footnote>
  <w:footnote w:id="30">
    <w:p>
      <w:pPr>
        <w:pStyle w:val="2077"/>
        <w:pBdr/>
        <w:spacing/>
        <w:ind/>
        <w:rPr>
          <w:rFonts w:cs="Times New Roman"/>
        </w:rPr>
      </w:pPr>
      <w:r>
        <w:rPr>
          <w:rStyle w:val="2079"/>
          <w:rFonts w:cs="Times New Roman"/>
        </w:rPr>
        <w:footnoteRef/>
      </w:r>
      <w:r>
        <w:rPr>
          <w:rFonts w:cs="Times New Roman"/>
        </w:rPr>
        <w:t xml:space="preserve"> Cf. Annexes : Notes de l’entretien avec FM (01/06/2026) et Notes de l’entretien avec CM (17/06/2026).</w:t>
      </w:r>
      <w:r>
        <w:rPr>
          <w:rFonts w:cs="Times New Roman"/>
        </w:rPr>
      </w:r>
    </w:p>
  </w:footnote>
  <w:footnote w:id="31">
    <w:p>
      <w:pPr>
        <w:pStyle w:val="2077"/>
        <w:pBdr/>
        <w:spacing/>
        <w:ind/>
        <w:rPr>
          <w:rFonts w:cs="Times New Roman"/>
        </w:rPr>
      </w:pPr>
      <w:r>
        <w:rPr>
          <w:rStyle w:val="2079"/>
          <w:rFonts w:cs="Times New Roman"/>
        </w:rPr>
        <w:footnoteRef/>
      </w:r>
      <w:r>
        <w:rPr>
          <w:rFonts w:cs="Times New Roman"/>
        </w:rPr>
        <w:t xml:space="preserve"> Cf. Annexes : Notes de l’entretien avec AG (28/06/2026).</w:t>
      </w:r>
      <w:r>
        <w:rPr>
          <w:rFonts w:cs="Times New Roman"/>
        </w:rPr>
      </w:r>
    </w:p>
  </w:footnote>
  <w:footnote w:id="32">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33">
    <w:p>
      <w:pPr>
        <w:pStyle w:val="2077"/>
        <w:pBdr/>
        <w:spacing/>
        <w:ind/>
        <w:rPr>
          <w:rFonts w:cs="Times New Roman"/>
        </w:rPr>
      </w:pPr>
      <w:r>
        <w:rPr>
          <w:rStyle w:val="2079"/>
          <w:rFonts w:cs="Times New Roman"/>
        </w:rPr>
        <w:footnoteRef/>
      </w:r>
      <w:r>
        <w:rPr>
          <w:rFonts w:cs="Times New Roman"/>
        </w:rPr>
        <w:t xml:space="preserve"> Cf. Annexes : Notes de l’entretien avec LP (17/05/2026).</w:t>
      </w:r>
      <w:r>
        <w:rPr>
          <w:rFonts w:cs="Times New Roman"/>
        </w:rPr>
      </w:r>
    </w:p>
  </w:footnote>
  <w:footnote w:id="34">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w:t>
      </w:r>
      <w:r>
        <w:rPr>
          <w:rFonts w:cs="Times New Roman"/>
          <w:i/>
        </w:rPr>
        <w:t xml:space="preserve">bid</w:t>
      </w:r>
      <w:r>
        <w:rPr>
          <w:rFonts w:cs="Times New Roman"/>
          <w:i/>
        </w:rPr>
        <w:t xml:space="preserve">.</w:t>
      </w:r>
      <w:r>
        <w:rPr>
          <w:rFonts w:cs="Times New Roman"/>
        </w:rPr>
      </w:r>
    </w:p>
  </w:footnote>
  <w:footnote w:id="35">
    <w:p>
      <w:pPr>
        <w:pStyle w:val="2077"/>
        <w:pBdr/>
        <w:spacing/>
        <w:ind/>
        <w:rPr>
          <w:rFonts w:ascii="Times New Roman" w:hAnsi="Times New Roman" w:cs="Times New Roman"/>
          <w:sz w:val="22"/>
        </w:rPr>
      </w:pPr>
      <w:r>
        <w:rPr>
          <w:rStyle w:val="2079"/>
          <w:rFonts w:cs="Times New Roman"/>
        </w:rPr>
        <w:footnoteRef/>
      </w:r>
      <w:r>
        <w:rPr>
          <w:rFonts w:cs="Times New Roman"/>
        </w:rPr>
        <w:t xml:space="preserve"> Cf. Annexes : Notes de l’entretien avec OD (18/05/2026).</w:t>
      </w:r>
      <w:r>
        <w:rPr>
          <w:rFonts w:ascii="Times New Roman" w:hAnsi="Times New Roman" w:cs="Times New Roman"/>
          <w:sz w:val="22"/>
        </w:rPr>
      </w:r>
    </w:p>
  </w:footnote>
  <w:footnote w:id="36">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37">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38">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39">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40">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41">
    <w:p>
      <w:pPr>
        <w:pStyle w:val="2077"/>
        <w:pBdr/>
        <w:spacing/>
        <w:ind/>
        <w:rPr/>
      </w:pPr>
      <w:r>
        <w:rPr>
          <w:rStyle w:val="2079"/>
          <w:rFonts w:cs="Times New Roman"/>
        </w:rPr>
        <w:footnoteRef/>
      </w:r>
      <w:r>
        <w:t xml:space="preserve"> </w:t>
      </w:r>
      <w:r>
        <w:rPr>
          <w:rFonts w:cs="Times New Roman"/>
        </w:rPr>
        <w:t xml:space="preserve">Cf. Annexes : Notes de l’entretien avec LP (17/05/2026).</w:t>
      </w:r>
      <w:r/>
    </w:p>
  </w:footnote>
  <w:footnote w:id="42">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43">
    <w:p>
      <w:pPr>
        <w:pStyle w:val="2077"/>
        <w:pBdr/>
        <w:spacing/>
        <w:ind/>
        <w:rPr>
          <w:rFonts w:cs="Times New Roman"/>
        </w:rPr>
      </w:pPr>
      <w:r>
        <w:rPr>
          <w:rStyle w:val="2079"/>
          <w:rFonts w:cs="Times New Roman"/>
        </w:rPr>
        <w:footnoteRef/>
      </w:r>
      <w:r>
        <w:rPr>
          <w:rFonts w:cs="Times New Roman"/>
        </w:rPr>
        <w:t xml:space="preserve"> Questionnaire sur </w:t>
      </w:r>
      <w:r>
        <w:rPr>
          <w:rFonts w:cs="Times New Roman"/>
        </w:rPr>
        <w:t xml:space="preserve">LimeSurvey</w:t>
      </w:r>
      <w:r>
        <w:rPr>
          <w:rFonts w:cs="Times New Roman"/>
        </w:rPr>
        <w:t xml:space="preserve"> datant du 14/04/2026 jusqu’au 03/07/2026, intitulé La refonte de la bibliothèque numérique.</w:t>
      </w:r>
      <w:r>
        <w:rPr>
          <w:rFonts w:cs="Times New Roman"/>
        </w:rPr>
      </w:r>
    </w:p>
  </w:footnote>
  <w:footnote w:id="44">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r>
    </w:p>
  </w:footnote>
  <w:footnote w:id="45">
    <w:p>
      <w:pPr>
        <w:pStyle w:val="2077"/>
        <w:pBdr/>
        <w:spacing/>
        <w:ind/>
        <w:rPr>
          <w:rFonts w:ascii="Times New Roman" w:hAnsi="Times New Roman" w:cs="Times New Roman"/>
          <w:sz w:val="22"/>
        </w:rPr>
      </w:pPr>
      <w:r>
        <w:rPr>
          <w:rStyle w:val="2079"/>
          <w:rFonts w:cs="Times New Roman"/>
        </w:rPr>
        <w:footnoteRef/>
      </w:r>
      <w:r>
        <w:rPr>
          <w:rFonts w:cs="Times New Roman"/>
        </w:rPr>
        <w:t xml:space="preserve"> Cf. Annexes : Notes de l’entretien avec OD (18/05/2026).</w:t>
      </w:r>
      <w:r>
        <w:rPr>
          <w:rFonts w:ascii="Times New Roman" w:hAnsi="Times New Roman" w:cs="Times New Roman"/>
          <w:sz w:val="22"/>
        </w:rPr>
      </w:r>
    </w:p>
  </w:footnote>
  <w:footnote w:id="46">
    <w:p>
      <w:pPr>
        <w:pStyle w:val="2077"/>
        <w:pBdr/>
        <w:spacing/>
        <w:ind/>
        <w:rPr/>
      </w:pPr>
      <w:r>
        <w:rPr>
          <w:rStyle w:val="2079"/>
          <w:rFonts w:ascii="Times New Roman" w:hAnsi="Times New Roman" w:cs="Times New Roman"/>
          <w:sz w:val="22"/>
        </w:rPr>
        <w:footnoteRef/>
      </w:r>
      <w:r>
        <w:rPr>
          <w:sz w:val="22"/>
        </w:rPr>
        <w:t xml:space="preserve"> </w:t>
      </w:r>
      <w:r>
        <w:rPr>
          <w:rFonts w:cs="Times New Roman"/>
          <w:i/>
        </w:rPr>
        <w:t xml:space="preserve">Ibid</w:t>
      </w:r>
      <w:r>
        <w:rPr>
          <w:rFonts w:cs="Times New Roman"/>
        </w:rPr>
        <w:t xml:space="preserve">.</w:t>
      </w:r>
      <w:r/>
    </w:p>
  </w:footnote>
  <w:footnote w:id="47">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48">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49">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50">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51">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52">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53">
    <w:p>
      <w:pPr>
        <w:pStyle w:val="2077"/>
        <w:pBdr/>
        <w:spacing/>
        <w:ind/>
        <w:rPr>
          <w:rFonts w:cs="Times New Roman"/>
        </w:rPr>
      </w:pPr>
      <w:r>
        <w:rPr>
          <w:rStyle w:val="2079"/>
          <w:rFonts w:cs="Times New Roman"/>
        </w:rPr>
        <w:footnoteRef/>
      </w:r>
      <w:r>
        <w:t xml:space="preserve"> </w:t>
      </w:r>
      <w:r>
        <w:rPr>
          <w:rFonts w:cs="Times New Roman"/>
        </w:rPr>
        <w:t xml:space="preserve">Cf. Annexes : Notes de l’entretien avec GC (27/04/2026).</w:t>
      </w:r>
      <w:r>
        <w:rPr>
          <w:rFonts w:cs="Times New Roman"/>
        </w:rPr>
      </w:r>
    </w:p>
  </w:footnote>
  <w:footnote w:id="54">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55">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56">
    <w:p>
      <w:pPr>
        <w:pStyle w:val="2077"/>
        <w:pBdr/>
        <w:spacing/>
        <w:ind/>
        <w:rPr/>
      </w:pPr>
      <w:r>
        <w:rPr>
          <w:rStyle w:val="2079"/>
          <w:rFonts w:cs="Times New Roman"/>
        </w:rPr>
        <w:footnoteRef/>
      </w:r>
      <w:r>
        <w:rPr>
          <w:rFonts w:cs="Times New Roman"/>
        </w:rPr>
        <w:t xml:space="preserve"> Cf. Annexes : Analyse et souhait pour la bibliothèque numérique par CB (15/05/2026).</w:t>
      </w:r>
      <w:r/>
    </w:p>
  </w:footnote>
  <w:footnote w:id="57">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58">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59">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60">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61">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62">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63">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64">
    <w:p>
      <w:pPr>
        <w:pStyle w:val="2077"/>
        <w:pBdr/>
        <w:spacing/>
        <w:ind/>
        <w:rPr/>
      </w:pPr>
      <w:r>
        <w:rPr>
          <w:rStyle w:val="2079"/>
        </w:rPr>
        <w:footnoteRef/>
      </w:r>
      <w:r>
        <w:t xml:space="preserve"> </w:t>
      </w:r>
      <w:r>
        <w:t xml:space="preserve">Cf. Annexes : Notes de l’entretien avec FM (</w:t>
      </w:r>
      <w:r>
        <w:rPr>
          <w:rFonts w:cs="Times New Roman"/>
        </w:rPr>
        <w:t xml:space="preserve">01/06/2026</w:t>
      </w:r>
      <w:r>
        <w:rPr>
          <w:rFonts w:cs="Times New Roman"/>
        </w:rPr>
        <w:t xml:space="preserve">).</w:t>
      </w:r>
      <w:r/>
    </w:p>
  </w:footnote>
  <w:footnote w:id="65">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66">
    <w:p>
      <w:pPr>
        <w:pStyle w:val="2077"/>
        <w:pBdr/>
        <w:spacing/>
        <w:ind/>
        <w:rPr/>
      </w:pPr>
      <w:r>
        <w:rPr>
          <w:rStyle w:val="2079"/>
        </w:rPr>
        <w:footnoteRef/>
      </w:r>
      <w:r>
        <w:t xml:space="preserve"> Cf. Annexes : Notes de l’entretien avec LP (</w:t>
      </w:r>
      <w:r>
        <w:rPr>
          <w:rFonts w:cs="Times New Roman"/>
        </w:rPr>
        <w:t xml:space="preserve">17/05/2026)</w:t>
      </w:r>
      <w:r>
        <w:rPr>
          <w:rFonts w:cs="Times New Roman"/>
        </w:rPr>
        <w:t xml:space="preserve">.</w:t>
      </w:r>
      <w:r/>
    </w:p>
  </w:footnote>
  <w:footnote w:id="67">
    <w:p>
      <w:pPr>
        <w:pStyle w:val="2077"/>
        <w:pBdr/>
        <w:spacing/>
        <w:ind/>
        <w:rPr/>
      </w:pPr>
      <w:r>
        <w:rPr>
          <w:rStyle w:val="2079"/>
        </w:rPr>
        <w:footnoteRef/>
      </w:r>
      <w:r>
        <w:t xml:space="preserve"> Cf. Annexes : Notes de l’entretien avec OD (</w:t>
      </w:r>
      <w:r>
        <w:rPr>
          <w:rFonts w:cs="Times New Roman"/>
        </w:rPr>
        <w:t xml:space="preserve">18/05/2026).</w:t>
      </w:r>
      <w:r/>
    </w:p>
  </w:footnote>
  <w:footnote w:id="68">
    <w:p>
      <w:pPr>
        <w:pStyle w:val="2077"/>
        <w:pBdr/>
        <w:spacing/>
        <w:ind/>
        <w:rPr/>
      </w:pPr>
      <w:r>
        <w:rPr>
          <w:rStyle w:val="2079"/>
        </w:rPr>
        <w:footnoteRef/>
      </w:r>
      <w:r>
        <w:t xml:space="preserve"> </w:t>
      </w:r>
      <w:r>
        <w:t xml:space="preserve">Cf. Annexes : Notes de l’entretien avec FM (</w:t>
      </w:r>
      <w:r>
        <w:rPr>
          <w:rFonts w:cs="Times New Roman"/>
        </w:rPr>
        <w:t xml:space="preserve">01/06/2026</w:t>
      </w:r>
      <w:r>
        <w:rPr>
          <w:rFonts w:cs="Times New Roman"/>
        </w:rPr>
        <w:t xml:space="preserve">).</w:t>
      </w:r>
      <w:r/>
    </w:p>
  </w:footnote>
  <w:footnote w:id="69">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70">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r>
    </w:p>
  </w:footnote>
  <w:footnote w:id="71">
    <w:p>
      <w:pPr>
        <w:pStyle w:val="2077"/>
        <w:pBdr/>
        <w:spacing/>
        <w:ind/>
        <w:rPr>
          <w:rFonts w:cs="Times New Roman"/>
        </w:rPr>
      </w:pPr>
      <w:r>
        <w:rPr>
          <w:rStyle w:val="2079"/>
          <w:rFonts w:cs="Times New Roman"/>
        </w:rPr>
        <w:footnoteRef/>
      </w:r>
      <w:r>
        <w:rPr>
          <w:rFonts w:cs="Times New Roman"/>
        </w:rPr>
        <w:t xml:space="preserve"> Aller voir dans Dossier </w:t>
      </w:r>
      <w:r>
        <w:rPr>
          <w:rFonts w:cs="Times New Roman"/>
        </w:rPr>
        <w:t xml:space="preserve">Num</w:t>
      </w:r>
      <w:r>
        <w:rPr>
          <w:rFonts w:cs="Times New Roman"/>
        </w:rPr>
        <w:t xml:space="preserve"> &gt; </w:t>
      </w:r>
      <w:r>
        <w:rPr>
          <w:rFonts w:cs="Times New Roman"/>
        </w:rPr>
        <w:t xml:space="preserve">Num_Procedures</w:t>
      </w:r>
      <w:r>
        <w:rPr>
          <w:rFonts w:cs="Times New Roman"/>
        </w:rPr>
        <w:t xml:space="preserve"> &gt; 07-Indexation &gt; 2012_Num_Indexation_methode_FH ou 2013_Num_indexation_manuel_FH.</w:t>
      </w:r>
      <w:r>
        <w:rPr>
          <w:rFonts w:cs="Times New Roman"/>
        </w:rPr>
      </w:r>
    </w:p>
  </w:footnote>
  <w:footnote w:id="72">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73">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74">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75">
    <w:p>
      <w:pPr>
        <w:pStyle w:val="2077"/>
        <w:pBdr/>
        <w:spacing/>
        <w:ind/>
        <w:rPr>
          <w:rFonts w:cs="Times New Roman"/>
        </w:rPr>
      </w:pPr>
      <w:r>
        <w:rPr>
          <w:rStyle w:val="2079"/>
          <w:rFonts w:cs="Times New Roman"/>
        </w:rPr>
        <w:footnoteRef/>
      </w:r>
      <w:r>
        <w:rPr>
          <w:rFonts w:cs="Times New Roman"/>
        </w:rPr>
        <w:t xml:space="preserve"> Cf. Annexes : Notes de l’entretien avec LP (17/05/2026).</w:t>
      </w:r>
      <w:r>
        <w:rPr>
          <w:rFonts w:cs="Times New Roman"/>
        </w:rPr>
      </w:r>
    </w:p>
  </w:footnote>
  <w:footnote w:id="76">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77">
    <w:p>
      <w:pPr>
        <w:pStyle w:val="2077"/>
        <w:pBdr/>
        <w:spacing/>
        <w:ind/>
        <w:rPr>
          <w:rFonts w:cs="Times New Roman"/>
        </w:rPr>
      </w:pPr>
      <w:r>
        <w:rPr>
          <w:rStyle w:val="2079"/>
          <w:rFonts w:cs="Times New Roman"/>
        </w:rPr>
        <w:footnoteRef/>
      </w:r>
      <w:r>
        <w:rPr>
          <w:rFonts w:cs="Times New Roman"/>
        </w:rPr>
        <w:t xml:space="preserve"> Discussion informelle avec CB.</w:t>
      </w:r>
      <w:r>
        <w:rPr>
          <w:rFonts w:cs="Times New Roman"/>
        </w:rPr>
      </w:r>
    </w:p>
  </w:footnote>
  <w:footnote w:id="78">
    <w:p>
      <w:pPr>
        <w:pStyle w:val="2077"/>
        <w:pBdr/>
        <w:spacing/>
        <w:ind/>
        <w:rPr>
          <w:rFonts w:cs="Times New Roman"/>
        </w:rPr>
      </w:pPr>
      <w:r>
        <w:rPr>
          <w:rStyle w:val="2079"/>
          <w:rFonts w:cs="Times New Roman"/>
        </w:rPr>
        <w:footnoteRef/>
      </w:r>
      <w:r>
        <w:rPr>
          <w:rFonts w:cs="Times New Roman"/>
        </w:rPr>
        <w:t xml:space="preserve"> Discussion informelle avec SD.</w:t>
      </w:r>
      <w:r>
        <w:rPr>
          <w:rFonts w:cs="Times New Roman"/>
        </w:rPr>
      </w:r>
    </w:p>
  </w:footnote>
  <w:footnote w:id="79">
    <w:p>
      <w:pPr>
        <w:pStyle w:val="2077"/>
        <w:pBdr/>
        <w:spacing/>
        <w:ind/>
        <w:rPr>
          <w:rFonts w:cs="Times New Roman"/>
        </w:rPr>
      </w:pPr>
      <w:r>
        <w:rPr>
          <w:rStyle w:val="2079"/>
          <w:rFonts w:cs="Times New Roman"/>
        </w:rPr>
        <w:footnoteRef/>
      </w:r>
      <w:r>
        <w:t xml:space="preserve"> </w:t>
      </w:r>
      <w:r>
        <w:rPr>
          <w:rFonts w:cs="Times New Roman"/>
        </w:rPr>
        <w:t xml:space="preserve">Discussion informelle avec CB.</w:t>
      </w:r>
      <w:r>
        <w:rPr>
          <w:rFonts w:cs="Times New Roman"/>
        </w:rPr>
      </w:r>
    </w:p>
  </w:footnote>
  <w:footnote w:id="80">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81">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82">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83">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84">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85">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86">
    <w:p>
      <w:pPr>
        <w:pStyle w:val="2077"/>
        <w:pBdr/>
        <w:spacing/>
        <w:ind/>
        <w:rPr>
          <w:rFonts w:cs="Times New Roman"/>
        </w:rPr>
      </w:pPr>
      <w:r>
        <w:rPr>
          <w:rStyle w:val="2079"/>
          <w:rFonts w:cs="Times New Roman"/>
        </w:rPr>
        <w:footnoteRef/>
      </w:r>
      <w:r>
        <w:rPr>
          <w:rFonts w:cs="Times New Roman"/>
        </w:rPr>
        <w:t xml:space="preserve"> Discussion informelle avec le DPCN.</w:t>
      </w:r>
      <w:r>
        <w:rPr>
          <w:rFonts w:cs="Times New Roman"/>
        </w:rPr>
      </w:r>
    </w:p>
  </w:footnote>
  <w:footnote w:id="87">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88">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89">
    <w:p>
      <w:pPr>
        <w:pStyle w:val="2077"/>
        <w:pBdr/>
        <w:spacing/>
        <w:ind/>
        <w:rPr>
          <w:rFonts w:cs="Times New Roman"/>
        </w:rPr>
      </w:pPr>
      <w:r>
        <w:rPr>
          <w:rStyle w:val="2079"/>
          <w:rFonts w:cs="Times New Roman"/>
        </w:rPr>
        <w:footnoteRef/>
      </w:r>
      <w:r>
        <w:rPr>
          <w:rFonts w:cs="Times New Roman"/>
        </w:rPr>
        <w:t xml:space="preserve"> Cf. Annexes : Notes de l’entretien avec OD (18/05/2026).</w:t>
      </w:r>
      <w:r>
        <w:rPr>
          <w:rFonts w:cs="Times New Roman"/>
        </w:rPr>
      </w:r>
    </w:p>
  </w:footnote>
  <w:footnote w:id="90">
    <w:p>
      <w:pPr>
        <w:pStyle w:val="2077"/>
        <w:pBdr/>
        <w:spacing/>
        <w:ind/>
        <w:rPr>
          <w:rFonts w:ascii="Times New Roman" w:hAnsi="Times New Roman" w:cs="Times New Roman"/>
          <w:sz w:val="22"/>
        </w:rPr>
      </w:pPr>
      <w:r>
        <w:rPr>
          <w:rStyle w:val="2079"/>
          <w:rFonts w:cs="Times New Roman"/>
        </w:rPr>
        <w:footnoteRef/>
      </w:r>
      <w:r>
        <w:rPr>
          <w:rFonts w:cs="Times New Roman"/>
        </w:rPr>
        <w:t xml:space="preserve"> Cf. Annexes : Notes de l’entretien avec FM (01/06/2026).</w:t>
      </w:r>
      <w:r>
        <w:rPr>
          <w:rFonts w:ascii="Times New Roman" w:hAnsi="Times New Roman" w:cs="Times New Roman"/>
          <w:sz w:val="22"/>
        </w:rPr>
      </w:r>
    </w:p>
  </w:footnote>
  <w:footnote w:id="91">
    <w:p>
      <w:pPr>
        <w:pStyle w:val="2077"/>
        <w:pBdr/>
        <w:spacing/>
        <w:ind/>
        <w:rPr>
          <w:rFonts w:cs="Times New Roman"/>
        </w:rPr>
      </w:pPr>
      <w:r>
        <w:rPr>
          <w:rStyle w:val="2079"/>
          <w:rFonts w:cs="Times New Roman"/>
        </w:rPr>
        <w:footnoteRef/>
      </w:r>
      <w:r>
        <w:rPr>
          <w:rFonts w:cs="Times New Roman"/>
        </w:rPr>
        <w:t xml:space="preserve"> Cf. Annexes : Notes de l’entretien avec LP (17/06/2026).</w:t>
      </w:r>
      <w:r>
        <w:rPr>
          <w:rFonts w:cs="Times New Roman"/>
        </w:rPr>
      </w:r>
    </w:p>
  </w:footnote>
  <w:footnote w:id="92">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93">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94">
    <w:p>
      <w:pPr>
        <w:pStyle w:val="2077"/>
        <w:pBdr/>
        <w:spacing/>
        <w:ind/>
        <w:rPr>
          <w:rFonts w:cs="Times New Roman"/>
        </w:rPr>
      </w:pPr>
      <w:r>
        <w:rPr>
          <w:rStyle w:val="2079"/>
          <w:rFonts w:cs="Times New Roman"/>
        </w:rPr>
        <w:footnoteRef/>
      </w:r>
      <w:r>
        <w:t xml:space="preserve"> </w:t>
      </w:r>
      <w:r>
        <w:rPr>
          <w:rFonts w:cs="Times New Roman"/>
        </w:rPr>
        <w:t xml:space="preserve">Cf. Annexes : Notes de l’entretien avec FM (01/06/2026).</w:t>
      </w:r>
      <w:r>
        <w:rPr>
          <w:rFonts w:cs="Times New Roman"/>
        </w:rPr>
      </w:r>
    </w:p>
  </w:footnote>
  <w:footnote w:id="95">
    <w:p>
      <w:pPr>
        <w:pStyle w:val="2077"/>
        <w:pBdr/>
        <w:spacing/>
        <w:ind/>
        <w:rPr>
          <w:rFonts w:cs="Times New Roman"/>
        </w:rPr>
      </w:pPr>
      <w:r>
        <w:rPr>
          <w:rStyle w:val="2079"/>
          <w:rFonts w:cs="Times New Roman"/>
        </w:rPr>
        <w:footnoteRef/>
      </w:r>
      <w:r>
        <w:rPr>
          <w:rFonts w:cs="Times New Roman"/>
        </w:rPr>
        <w:t xml:space="preserve"> Enquête de satisfaction sous </w:t>
      </w:r>
      <w:r>
        <w:rPr>
          <w:rFonts w:cs="Times New Roman"/>
        </w:rPr>
        <w:t xml:space="preserve">LimeSurvey</w:t>
      </w:r>
      <w:r>
        <w:rPr>
          <w:rFonts w:cs="Times New Roman"/>
        </w:rPr>
        <w:t xml:space="preserve"> ouverte du 14 avril au 03 juillet 2026 sur les sites de la bibliothèque numérique et de la bibliothèque Cujas.</w:t>
      </w:r>
      <w:r>
        <w:t xml:space="preserve">  </w:t>
      </w:r>
      <w:r>
        <w:rPr>
          <w:rFonts w:cs="Times New Roman"/>
        </w:rPr>
      </w:r>
    </w:p>
  </w:footnote>
  <w:footnote w:id="96">
    <w:p>
      <w:pPr>
        <w:pStyle w:val="2077"/>
        <w:pBdr/>
        <w:spacing/>
        <w:ind/>
        <w:rPr>
          <w:rFonts w:cs="Times New Roman"/>
        </w:rPr>
      </w:pPr>
      <w:r>
        <w:rPr>
          <w:rStyle w:val="2079"/>
          <w:rFonts w:cs="Times New Roman"/>
        </w:rPr>
        <w:footnoteRef/>
      </w:r>
      <w:r>
        <w:rPr>
          <w:rFonts w:cs="Times New Roman"/>
        </w:rPr>
        <w:t xml:space="preserve"> Cf. Annexes : Notes de l’entretien avec FM (01/06/2026).</w:t>
      </w:r>
      <w:r>
        <w:rPr>
          <w:rFonts w:cs="Times New Roman"/>
        </w:rPr>
      </w:r>
    </w:p>
  </w:footnote>
  <w:footnote w:id="97">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98">
    <w:p>
      <w:pPr>
        <w:pStyle w:val="2077"/>
        <w:pBdr/>
        <w:spacing/>
        <w:ind/>
        <w:rPr>
          <w:rFonts w:cs="Times New Roman"/>
        </w:rPr>
      </w:pPr>
      <w:r>
        <w:rPr>
          <w:rStyle w:val="2079"/>
          <w:rFonts w:cs="Times New Roman"/>
        </w:rPr>
        <w:footnoteRef/>
      </w:r>
      <w:r>
        <w:rPr>
          <w:rFonts w:cs="Times New Roman"/>
        </w:rPr>
        <w:t xml:space="preserve"> Cf. Annexes : Notes de l’entretien avec GC (27/04/2026).</w:t>
      </w:r>
      <w:r>
        <w:rPr>
          <w:rFonts w:cs="Times New Roman"/>
        </w:rPr>
      </w:r>
    </w:p>
  </w:footnote>
  <w:footnote w:id="99">
    <w:p>
      <w:pPr>
        <w:pStyle w:val="2077"/>
        <w:pBdr/>
        <w:spacing/>
        <w:ind/>
        <w:rPr>
          <w:rFonts w:ascii="Times New Roman" w:hAnsi="Times New Roman" w:cs="Times New Roman"/>
        </w:rPr>
      </w:pPr>
      <w:r>
        <w:rPr>
          <w:rStyle w:val="2079"/>
          <w:rFonts w:cs="Times New Roman"/>
        </w:rPr>
        <w:footnoteRef/>
      </w:r>
      <w:r>
        <w:rPr>
          <w:rFonts w:cs="Times New Roman"/>
        </w:rPr>
        <w:t xml:space="preserve"> Cf. Annexes : Notes de l’entretien avec OD (18/05/2026).</w:t>
      </w:r>
      <w:r>
        <w:rPr>
          <w:rFonts w:ascii="Times New Roman" w:hAnsi="Times New Roman" w:cs="Times New Roman"/>
        </w:rPr>
      </w:r>
    </w:p>
  </w:footnote>
  <w:footnote w:id="100">
    <w:p>
      <w:pPr>
        <w:pStyle w:val="2077"/>
        <w:pBdr/>
        <w:spacing/>
        <w:ind/>
        <w:rPr>
          <w:rFonts w:cs="Times New Roman"/>
        </w:rPr>
      </w:pPr>
      <w:r>
        <w:rPr>
          <w:rStyle w:val="2079"/>
          <w:rFonts w:cs="Times New Roman"/>
        </w:rPr>
        <w:footnoteRef/>
      </w:r>
      <w:r>
        <w:rPr>
          <w:rFonts w:cs="Times New Roman"/>
        </w:rPr>
        <w:t xml:space="preserve">Cf. Annexes : Notes de l’état de l’existant de la bibliothèque numérique actuelle et du prototype Codex par FS (16/06/2026).</w:t>
      </w:r>
      <w:r>
        <w:rPr>
          <w:rFonts w:cs="Times New Roman"/>
        </w:rPr>
      </w:r>
    </w:p>
  </w:footnote>
  <w:footnote w:id="101">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102">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t xml:space="preserve">.</w:t>
      </w:r>
      <w:r>
        <w:rPr>
          <w:rFonts w:cs="Times New Roman"/>
        </w:rPr>
      </w:r>
    </w:p>
  </w:footnote>
  <w:footnote w:id="103">
    <w:p>
      <w:pPr>
        <w:pStyle w:val="2077"/>
        <w:pBdr/>
        <w:spacing/>
        <w:ind/>
        <w:rPr>
          <w:rFonts w:cs="Times New Roman"/>
        </w:rPr>
      </w:pPr>
      <w:r>
        <w:rPr>
          <w:rStyle w:val="2079"/>
          <w:rFonts w:cs="Times New Roman"/>
        </w:rPr>
        <w:footnoteRef/>
      </w:r>
      <w:r>
        <w:rPr>
          <w:rFonts w:cs="Times New Roman"/>
        </w:rPr>
        <w:t xml:space="preserve"> Enquête de satisfaction sous LimeSurvey ouverte du 14 avril au 03 juillet 2026 sur les sites de la bibliothèque numérique et de la bibliothèque Cujas.</w:t>
      </w:r>
      <w:r>
        <w:rPr>
          <w:rFonts w:cs="Times New Roman"/>
        </w:rPr>
      </w:r>
    </w:p>
  </w:footnote>
  <w:footnote w:id="104">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105">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106">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107">
    <w:p>
      <w:pPr>
        <w:pStyle w:val="2077"/>
        <w:pBdr/>
        <w:spacing/>
        <w:ind/>
        <w:rPr>
          <w:rFonts w:ascii="Times New Roman" w:hAnsi="Times New Roman" w:cs="Times New Roman"/>
          <w:sz w:val="22"/>
        </w:rPr>
      </w:pPr>
      <w:r>
        <w:rPr>
          <w:rStyle w:val="2079"/>
          <w:rFonts w:cs="Times New Roman"/>
        </w:rPr>
        <w:footnoteRef/>
      </w:r>
      <w:r>
        <w:rPr>
          <w:rFonts w:cs="Times New Roman"/>
        </w:rPr>
        <w:t xml:space="preserve"> Cf. Annexes : Notes de l’entretien avec CM (17/06/2026).</w:t>
      </w:r>
      <w:r>
        <w:rPr>
          <w:rFonts w:ascii="Times New Roman" w:hAnsi="Times New Roman" w:cs="Times New Roman"/>
          <w:sz w:val="22"/>
        </w:rPr>
      </w:r>
    </w:p>
  </w:footnote>
  <w:footnote w:id="108">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109">
    <w:p>
      <w:pPr>
        <w:pStyle w:val="2077"/>
        <w:pBdr/>
        <w:spacing/>
        <w:ind/>
        <w:rPr>
          <w:rFonts w:cs="Times New Roman"/>
        </w:rPr>
      </w:pPr>
      <w:r>
        <w:rPr>
          <w:rStyle w:val="2079"/>
          <w:rFonts w:cs="Times New Roman"/>
        </w:rPr>
        <w:footnoteRef/>
      </w:r>
      <w:r>
        <w:rPr>
          <w:rFonts w:cs="Times New Roman"/>
        </w:rPr>
        <w:t xml:space="preserve"> Cf. Annexes : Notes de l’entretien avec SD (22/04/2026).</w:t>
      </w:r>
      <w:r>
        <w:rPr>
          <w:rFonts w:cs="Times New Roman"/>
        </w:rPr>
      </w:r>
    </w:p>
  </w:footnote>
  <w:footnote w:id="110">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111">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112">
    <w:p>
      <w:pPr>
        <w:pStyle w:val="2077"/>
        <w:pBdr/>
        <w:spacing/>
        <w:ind/>
        <w:rPr>
          <w:rFonts w:cs="Times New Roman"/>
        </w:rPr>
      </w:pPr>
      <w:r>
        <w:rPr>
          <w:rStyle w:val="2079"/>
          <w:rFonts w:cs="Times New Roman"/>
        </w:rPr>
        <w:footnoteRef/>
      </w:r>
      <w:r>
        <w:rPr>
          <w:rFonts w:cs="Times New Roman"/>
        </w:rPr>
        <w:t xml:space="preserve"> Cf. Annexes : Notes de l’état de l’existant de la bibliothèque numérique actuelle et du prototype Codex par FS (16/06/2026).</w:t>
      </w:r>
      <w:r>
        <w:rPr>
          <w:rFonts w:cs="Times New Roman"/>
        </w:rPr>
      </w:r>
    </w:p>
  </w:footnote>
  <w:footnote w:id="113">
    <w:p>
      <w:pPr>
        <w:pStyle w:val="2077"/>
        <w:pBdr/>
        <w:spacing/>
        <w:ind/>
        <w:rPr>
          <w:rFonts w:cs="Times New Roman"/>
        </w:rPr>
      </w:pPr>
      <w:r>
        <w:rPr>
          <w:rStyle w:val="2079"/>
          <w:rFonts w:cs="Times New Roman"/>
        </w:rPr>
        <w:footnoteRef/>
      </w:r>
      <w:r>
        <w:rPr>
          <w:rFonts w:cs="Times New Roman"/>
        </w:rPr>
        <w:t xml:space="preserve"> Cf. Annexes : Analyse et souhait pour la bibliothèque numérique par CB (15/05/2026).</w:t>
      </w:r>
      <w:r>
        <w:rPr>
          <w:rFonts w:cs="Times New Roman"/>
        </w:rPr>
      </w:r>
    </w:p>
  </w:footnote>
  <w:footnote w:id="114">
    <w:p>
      <w:pPr>
        <w:pStyle w:val="2077"/>
        <w:pBdr/>
        <w:spacing/>
        <w:ind/>
        <w:rPr>
          <w:rFonts w:cs="Times New Roman"/>
          <w:i/>
        </w:rPr>
      </w:pPr>
      <w:r>
        <w:rPr>
          <w:rStyle w:val="2079"/>
          <w:rFonts w:cs="Times New Roman"/>
        </w:rPr>
        <w:footnoteRef/>
      </w:r>
      <w:r>
        <w:rPr>
          <w:rFonts w:cs="Times New Roman"/>
        </w:rPr>
        <w:t xml:space="preserve"> </w:t>
      </w:r>
      <w:r>
        <w:rPr>
          <w:rFonts w:cs="Times New Roman"/>
          <w:i/>
        </w:rPr>
        <w:t xml:space="preserve">Ibid.</w:t>
      </w:r>
      <w:r>
        <w:rPr>
          <w:rFonts w:cs="Times New Roman"/>
          <w:i/>
        </w:rPr>
      </w:r>
    </w:p>
  </w:footnote>
  <w:footnote w:id="115">
    <w:p>
      <w:pPr>
        <w:pStyle w:val="2077"/>
        <w:pBdr/>
        <w:spacing/>
        <w:ind/>
        <w:rPr>
          <w:rFonts w:cs="Times New Roman"/>
        </w:rPr>
      </w:pPr>
      <w:r>
        <w:rPr>
          <w:rStyle w:val="2079"/>
          <w:rFonts w:cs="Times New Roman"/>
        </w:rPr>
        <w:footnoteRef/>
      </w:r>
      <w:r>
        <w:rPr>
          <w:rFonts w:cs="Times New Roman"/>
        </w:rPr>
        <w:t xml:space="preserve"> </w:t>
      </w:r>
      <w:r>
        <w:rPr>
          <w:rFonts w:cs="Times New Roman"/>
          <w:i/>
        </w:rPr>
        <w:t xml:space="preserve">Ibid.</w:t>
      </w:r>
      <w:r>
        <w:rPr>
          <w:rFonts w:cs="Times New Roman"/>
        </w:rPr>
      </w:r>
    </w:p>
  </w:footnote>
  <w:footnote w:id="116">
    <w:p>
      <w:pPr>
        <w:pStyle w:val="2077"/>
        <w:pBdr/>
        <w:spacing/>
        <w:ind/>
        <w:rPr>
          <w:rFonts w:cs="Times New Roman"/>
          <w:i/>
        </w:rPr>
      </w:pPr>
      <w:r>
        <w:rPr>
          <w:rStyle w:val="2079"/>
          <w:rFonts w:cs="Times New Roman"/>
        </w:rPr>
        <w:footnoteRef/>
      </w:r>
      <w:r>
        <w:rPr>
          <w:rFonts w:cs="Times New Roman"/>
        </w:rPr>
        <w:t xml:space="preserve"> </w:t>
      </w:r>
      <w:r>
        <w:rPr>
          <w:rFonts w:cs="Times New Roman"/>
          <w:i/>
        </w:rPr>
        <w:t xml:space="preserve">Ibid.</w:t>
      </w:r>
      <w:r>
        <w:rPr>
          <w:rFonts w:cs="Times New Roman"/>
          <w:i/>
        </w:rPr>
      </w:r>
    </w:p>
  </w:footnote>
  <w:footnote w:id="117">
    <w:p>
      <w:pPr>
        <w:pStyle w:val="2077"/>
        <w:pBdr/>
        <w:spacing/>
        <w:ind/>
        <w:rPr/>
      </w:pPr>
      <w:r>
        <w:rPr>
          <w:rStyle w:val="2079"/>
          <w:rFonts w:cs="Times New Roman"/>
        </w:rPr>
        <w:footnoteRef/>
      </w:r>
      <w:r>
        <w:t xml:space="preserve"> </w:t>
      </w:r>
      <w:r>
        <w:rPr>
          <w:rFonts w:cs="Times New Roman"/>
        </w:rPr>
        <w:t xml:space="preserve">Cf. Annexes : Notes de l’entretien avec DPRE (15/04/2026).</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B7A9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CDB53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D291A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E5E67E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4">
    <w:nsid w:val="1AD648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D8C2C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0C432AC"/>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919"/>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7">
    <w:nsid w:val="20CF52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536424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54D31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6D337F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ABA5634"/>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778"/>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2">
    <w:nsid w:val="2D3B5F1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D9329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E787A4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2F7E26A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nsid w:val="2FD0003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nsid w:val="2FD70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206498F"/>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778"/>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9">
    <w:nsid w:val="32674EDA"/>
    <w:lvl w:ilvl="0">
      <w:isLgl w:val="false"/>
      <w:lvlJc w:val="left"/>
      <w:lvlText w:val="-"/>
      <w:numFmt w:val="bullet"/>
      <w:pPr>
        <w:pBdr/>
        <w:spacing/>
        <w:ind w:hanging="360" w:left="720"/>
      </w:pPr>
      <w:rPr>
        <w:rFonts w:hint="default" w:ascii="Trebuchet MS" w:hAnsi="Trebuchet MS"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31F7AEB"/>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432" w:left="1152"/>
      </w:pPr>
      <w:rPr/>
      <w:start w:val="1"/>
      <w:suff w:val="tab"/>
    </w:lvl>
    <w:lvl w:ilvl="2">
      <w:isLgl w:val="false"/>
      <w:lvlJc w:val="left"/>
      <w:lvlText w:val="%1.%2.%3."/>
      <w:numFmt w:val="decimal"/>
      <w:pPr>
        <w:pBdr/>
        <w:spacing/>
        <w:ind w:hanging="504" w:left="1584"/>
      </w:pPr>
      <w:rPr/>
      <w:start w:val="1"/>
      <w:suff w:val="tab"/>
    </w:lvl>
    <w:lvl w:ilvl="3">
      <w:isLgl w:val="false"/>
      <w:lvlJc w:val="left"/>
      <w:lvlText w:val="%1.%2.%3.%4."/>
      <w:numFmt w:val="decimal"/>
      <w:pPr>
        <w:pBdr/>
        <w:spacing/>
        <w:ind w:hanging="648" w:left="2088"/>
      </w:pPr>
      <w:rPr/>
      <w:start w:val="1"/>
      <w:suff w:val="tab"/>
    </w:lvl>
    <w:lvl w:ilvl="4">
      <w:isLgl w:val="false"/>
      <w:lvlJc w:val="left"/>
      <w:lvlText w:val="%1.%2.%3.%4.%5."/>
      <w:numFmt w:val="decimal"/>
      <w:pPr>
        <w:pBdr/>
        <w:spacing/>
        <w:ind w:hanging="792" w:left="2592"/>
      </w:pPr>
      <w:rPr/>
      <w:start w:val="1"/>
      <w:suff w:val="tab"/>
    </w:lvl>
    <w:lvl w:ilvl="5">
      <w:isLgl w:val="false"/>
      <w:lvlJc w:val="left"/>
      <w:lvlText w:val="%1.%2.%3.%4.%5.%6."/>
      <w:numFmt w:val="decimal"/>
      <w:pPr>
        <w:pBdr/>
        <w:spacing/>
        <w:ind w:hanging="936" w:left="3096"/>
      </w:pPr>
      <w:rPr/>
      <w:start w:val="1"/>
      <w:suff w:val="tab"/>
    </w:lvl>
    <w:lvl w:ilvl="6">
      <w:isLgl w:val="false"/>
      <w:lvlJc w:val="left"/>
      <w:lvlText w:val="%1.%2.%3.%4.%5.%6.%7."/>
      <w:numFmt w:val="decimal"/>
      <w:pPr>
        <w:pBdr/>
        <w:spacing/>
        <w:ind w:hanging="1080" w:left="3600"/>
      </w:pPr>
      <w:rPr/>
      <w:start w:val="1"/>
      <w:suff w:val="tab"/>
    </w:lvl>
    <w:lvl w:ilvl="7">
      <w:isLgl w:val="false"/>
      <w:lvlJc w:val="left"/>
      <w:lvlText w:val="%1.%2.%3.%4.%5.%6.%7.%8."/>
      <w:numFmt w:val="decimal"/>
      <w:pPr>
        <w:pBdr/>
        <w:spacing/>
        <w:ind w:hanging="1224" w:left="4104"/>
      </w:pPr>
      <w:rPr/>
      <w:start w:val="1"/>
      <w:suff w:val="tab"/>
    </w:lvl>
    <w:lvl w:ilvl="8">
      <w:isLgl w:val="false"/>
      <w:lvlJc w:val="left"/>
      <w:lvlText w:val="%1.%2.%3.%4.%5.%6.%7.%8.%9."/>
      <w:numFmt w:val="decimal"/>
      <w:pPr>
        <w:pBdr/>
        <w:spacing/>
        <w:ind w:hanging="1440" w:left="4680"/>
      </w:pPr>
      <w:rPr/>
      <w:start w:val="1"/>
      <w:suff w:val="tab"/>
    </w:lvl>
  </w:abstractNum>
  <w:abstractNum w:abstractNumId="21">
    <w:nsid w:val="3C4D15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CD63150"/>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0DB48C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2CF3AC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5">
    <w:nsid w:val="4E3E72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50800877"/>
    <w:lvl w:ilvl="0">
      <w:isLgl w:val="false"/>
      <w:lvlJc w:val="left"/>
      <w:lvlText w:val="-"/>
      <w:numFmt w:val="bullet"/>
      <w:pPr>
        <w:pBdr/>
        <w:spacing/>
        <w:ind w:hanging="360" w:left="720"/>
      </w:pPr>
      <w:rPr>
        <w:rFonts w:hint="default" w:ascii="Trebuchet MS" w:hAnsi="Trebuchet MS"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234640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3D30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AF76E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9D6F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1">
    <w:nsid w:val="609C0F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6843195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3">
    <w:nsid w:val="68D2088C"/>
    <w:lvl w:ilvl="0">
      <w:isLgl w:val="false"/>
      <w:lvlJc w:val="left"/>
      <w:lvlText w:val="-"/>
      <w:numFmt w:val="bullet"/>
      <w:pPr>
        <w:pBdr/>
        <w:spacing/>
        <w:ind w:hanging="360" w:left="720"/>
      </w:pPr>
      <w:rPr>
        <w:rFonts w:hint="default" w:ascii="Trebuchet MS" w:hAnsi="Trebuchet MS"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AC2658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6C4325F1"/>
    <w:lvl w:ilvl="0">
      <w:isLgl w:val="false"/>
      <w:lvlJc w:val="left"/>
      <w:lvlText w:val="%1."/>
      <w:numFmt w:val="decimal"/>
      <w:pPr>
        <w:pBdr/>
        <w:spacing/>
        <w:ind w:hanging="360" w:left="1080"/>
      </w:pPr>
      <w:rPr>
        <w:rFonts w:hint="default"/>
      </w:rPr>
      <w:start w:val="1"/>
      <w:suff w:val="tab"/>
    </w:lvl>
    <w:lvl w:ilvl="1">
      <w:isLgl w:val="true"/>
      <w:lvlJc w:val="left"/>
      <w:lvlText w:val="%1.%2."/>
      <w:numFmt w:val="decimal"/>
      <w:pPr>
        <w:pBdr/>
        <w:spacing/>
        <w:ind w:hanging="360" w:left="1919"/>
      </w:pPr>
      <w:rPr>
        <w:rFonts w:hint="default"/>
        <w:color w:val="auto"/>
      </w:rPr>
      <w:start w:val="1"/>
      <w:suff w:val="tab"/>
    </w:lvl>
    <w:lvl w:ilvl="2">
      <w:isLgl w:val="true"/>
      <w:lvlJc w:val="left"/>
      <w:lvlText w:val="%1.%2.%3."/>
      <w:numFmt w:val="decimal"/>
      <w:pPr>
        <w:pBdr/>
        <w:spacing/>
        <w:ind w:hanging="720" w:left="3413"/>
      </w:pPr>
      <w:rPr>
        <w:rFonts w:hint="default"/>
        <w:color w:val="auto"/>
      </w:rPr>
      <w:start w:val="1"/>
      <w:suff w:val="tab"/>
    </w:lvl>
    <w:lvl w:ilvl="3">
      <w:isLgl w:val="true"/>
      <w:lvlJc w:val="left"/>
      <w:lvlText w:val="%1.%2.%3.%4."/>
      <w:numFmt w:val="decimal"/>
      <w:pPr>
        <w:pBdr/>
        <w:spacing/>
        <w:ind w:hanging="720" w:left="144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080" w:left="1800"/>
      </w:pPr>
      <w:rPr>
        <w:rFonts w:hint="default"/>
      </w:rPr>
      <w:start w:val="1"/>
      <w:suff w:val="tab"/>
    </w:lvl>
    <w:lvl w:ilvl="6">
      <w:isLgl w:val="true"/>
      <w:lvlJc w:val="left"/>
      <w:lvlText w:val="%1.%2.%3.%4.%5.%6.%7."/>
      <w:numFmt w:val="decimal"/>
      <w:pPr>
        <w:pBdr/>
        <w:spacing/>
        <w:ind w:hanging="1440" w:left="2160"/>
      </w:pPr>
      <w:rPr>
        <w:rFonts w:hint="default"/>
      </w:rPr>
      <w:start w:val="1"/>
      <w:suff w:val="tab"/>
    </w:lvl>
    <w:lvl w:ilvl="7">
      <w:isLgl w:val="true"/>
      <w:lvlJc w:val="left"/>
      <w:lvlText w:val="%1.%2.%3.%4.%5.%6.%7.%8."/>
      <w:numFmt w:val="decimal"/>
      <w:pPr>
        <w:pBdr/>
        <w:spacing/>
        <w:ind w:hanging="1440" w:left="2160"/>
      </w:pPr>
      <w:rPr>
        <w:rFonts w:hint="default"/>
      </w:rPr>
      <w:start w:val="1"/>
      <w:suff w:val="tab"/>
    </w:lvl>
    <w:lvl w:ilvl="8">
      <w:isLgl w:val="true"/>
      <w:lvlJc w:val="left"/>
      <w:lvlText w:val="%1.%2.%3.%4.%5.%6.%7.%8.%9."/>
      <w:numFmt w:val="decimal"/>
      <w:pPr>
        <w:pBdr/>
        <w:spacing/>
        <w:ind w:hanging="1800" w:left="2520"/>
      </w:pPr>
      <w:rPr>
        <w:rFonts w:hint="default"/>
      </w:rPr>
      <w:start w:val="1"/>
      <w:suff w:val="tab"/>
    </w:lvl>
  </w:abstractNum>
  <w:abstractNum w:abstractNumId="36">
    <w:nsid w:val="6F450819"/>
    <w:lvl w:ilvl="0">
      <w:isLgl w:val="false"/>
      <w:lvlJc w:val="left"/>
      <w:lvlText w:val="%1"/>
      <w:numFmt w:val="decimal"/>
      <w:pPr>
        <w:pBdr/>
        <w:spacing/>
        <w:ind w:hanging="370" w:left="370"/>
      </w:pPr>
      <w:rPr>
        <w:rFonts w:hint="default"/>
      </w:rPr>
      <w:start w:val="1"/>
      <w:suff w:val="tab"/>
    </w:lvl>
    <w:lvl w:ilvl="1">
      <w:isLgl w:val="false"/>
      <w:lvlJc w:val="left"/>
      <w:lvlText w:val="%1.%2"/>
      <w:numFmt w:val="decimal"/>
      <w:pPr>
        <w:pBdr/>
        <w:spacing/>
        <w:ind w:hanging="720" w:left="108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800" w:left="396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37">
    <w:nsid w:val="74D024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75E111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A4903DE"/>
    <w:lvl w:ilvl="0">
      <w:isLgl w:val="false"/>
      <w:lvlJc w:val="left"/>
      <w:lvlText w:val="-"/>
      <w:numFmt w:val="bullet"/>
      <w:pPr>
        <w:pBdr/>
        <w:spacing/>
        <w:ind w:hanging="360" w:left="1080"/>
      </w:pPr>
      <w:rPr>
        <w:rFonts w:hint="default" w:ascii="Trebuchet MS" w:hAnsi="Trebuchet MS" w:eastAsiaTheme="minorHAnsi" w:cstheme="minorBidi"/>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0">
    <w:nsid w:val="7BE2692A"/>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919"/>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1">
    <w:nsid w:val="7E5B31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8"/>
  </w:num>
  <w:num w:numId="2">
    <w:abstractNumId w:val="7"/>
  </w:num>
  <w:num w:numId="3">
    <w:abstractNumId w:val="35"/>
  </w:num>
  <w:num w:numId="4">
    <w:abstractNumId w:val="9"/>
  </w:num>
  <w:num w:numId="5">
    <w:abstractNumId w:val="31"/>
  </w:num>
  <w:num w:numId="6">
    <w:abstractNumId w:val="13"/>
  </w:num>
  <w:num w:numId="7">
    <w:abstractNumId w:val="4"/>
  </w:num>
  <w:num w:numId="8">
    <w:abstractNumId w:val="5"/>
  </w:num>
  <w:num w:numId="9">
    <w:abstractNumId w:val="38"/>
  </w:num>
  <w:num w:numId="10">
    <w:abstractNumId w:val="6"/>
  </w:num>
  <w:num w:numId="11">
    <w:abstractNumId w:val="11"/>
  </w:num>
  <w:num w:numId="12">
    <w:abstractNumId w:val="25"/>
  </w:num>
  <w:num w:numId="13">
    <w:abstractNumId w:val="21"/>
  </w:num>
  <w:num w:numId="14">
    <w:abstractNumId w:val="2"/>
  </w:num>
  <w:num w:numId="15">
    <w:abstractNumId w:val="34"/>
  </w:num>
  <w:num w:numId="16">
    <w:abstractNumId w:val="22"/>
  </w:num>
  <w:num w:numId="17">
    <w:abstractNumId w:val="8"/>
  </w:num>
  <w:num w:numId="18">
    <w:abstractNumId w:val="1"/>
  </w:num>
  <w:num w:numId="19">
    <w:abstractNumId w:val="29"/>
  </w:num>
  <w:num w:numId="20">
    <w:abstractNumId w:val="10"/>
  </w:num>
  <w:num w:numId="21">
    <w:abstractNumId w:val="17"/>
  </w:num>
  <w:num w:numId="22">
    <w:abstractNumId w:val="12"/>
  </w:num>
  <w:num w:numId="23">
    <w:abstractNumId w:val="24"/>
  </w:num>
  <w:num w:numId="24">
    <w:abstractNumId w:val="20"/>
  </w:num>
  <w:num w:numId="25">
    <w:abstractNumId w:val="36"/>
  </w:num>
  <w:num w:numId="26">
    <w:abstractNumId w:val="16"/>
  </w:num>
  <w:num w:numId="27">
    <w:abstractNumId w:val="14"/>
  </w:num>
  <w:num w:numId="28">
    <w:abstractNumId w:val="0"/>
  </w:num>
  <w:num w:numId="29">
    <w:abstractNumId w:val="3"/>
  </w:num>
  <w:num w:numId="30">
    <w:abstractNumId w:val="30"/>
  </w:num>
  <w:num w:numId="31">
    <w:abstractNumId w:val="15"/>
  </w:num>
  <w:num w:numId="32">
    <w:abstractNumId w:val="32"/>
  </w:num>
  <w:num w:numId="33">
    <w:abstractNumId w:val="37"/>
  </w:num>
  <w:num w:numId="34">
    <w:abstractNumId w:val="40"/>
  </w:num>
  <w:num w:numId="35">
    <w:abstractNumId w:val="18"/>
  </w:num>
  <w:num w:numId="36">
    <w:abstractNumId w:val="41"/>
  </w:num>
  <w:num w:numId="37">
    <w:abstractNumId w:val="23"/>
  </w:num>
  <w:num w:numId="38">
    <w:abstractNumId w:val="39"/>
  </w:num>
  <w:num w:numId="39">
    <w:abstractNumId w:val="33"/>
  </w:num>
  <w:num w:numId="40">
    <w:abstractNumId w:val="26"/>
  </w:num>
  <w:num w:numId="41">
    <w:abstractNumId w:val="19"/>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beneathText"/>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20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20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20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20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20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20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20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20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20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20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20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20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20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20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20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20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20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20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20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20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20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20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20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20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20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20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20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20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20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20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20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20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20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20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20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20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20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20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20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20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20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20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20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20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20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20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20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20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20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20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20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20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20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20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20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20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20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20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20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20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20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20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20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20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20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20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20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20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20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20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20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20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20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20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20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20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20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20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20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20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20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20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20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20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20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20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20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20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20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20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20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20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20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20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20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20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20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20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20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20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20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20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20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20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20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20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20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2056"/>
    <w:next w:val="205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2056"/>
    <w:next w:val="205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2056"/>
    <w:next w:val="205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2056"/>
    <w:next w:val="205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2062"/>
    <w:link w:val="2057"/>
    <w:uiPriority w:val="9"/>
    <w:pPr>
      <w:pBdr/>
      <w:spacing/>
      <w:ind/>
    </w:pPr>
    <w:rPr>
      <w:rFonts w:ascii="Arial" w:hAnsi="Arial" w:eastAsia="Arial" w:cs="Arial"/>
      <w:color w:val="0f4761" w:themeColor="accent1" w:themeShade="BF"/>
      <w:sz w:val="40"/>
      <w:szCs w:val="40"/>
    </w:rPr>
  </w:style>
  <w:style w:type="character" w:styleId="151">
    <w:name w:val="Heading 2 Char"/>
    <w:basedOn w:val="2062"/>
    <w:link w:val="2058"/>
    <w:uiPriority w:val="9"/>
    <w:pPr>
      <w:pBdr/>
      <w:spacing/>
      <w:ind/>
    </w:pPr>
    <w:rPr>
      <w:rFonts w:ascii="Arial" w:hAnsi="Arial" w:eastAsia="Arial" w:cs="Arial"/>
      <w:color w:val="0f4761" w:themeColor="accent1" w:themeShade="BF"/>
      <w:sz w:val="32"/>
      <w:szCs w:val="32"/>
    </w:rPr>
  </w:style>
  <w:style w:type="character" w:styleId="152">
    <w:name w:val="Heading 3 Char"/>
    <w:basedOn w:val="2062"/>
    <w:link w:val="2059"/>
    <w:uiPriority w:val="9"/>
    <w:pPr>
      <w:pBdr/>
      <w:spacing/>
      <w:ind/>
    </w:pPr>
    <w:rPr>
      <w:rFonts w:ascii="Arial" w:hAnsi="Arial" w:eastAsia="Arial" w:cs="Arial"/>
      <w:color w:val="0f4761" w:themeColor="accent1" w:themeShade="BF"/>
      <w:sz w:val="28"/>
      <w:szCs w:val="28"/>
    </w:rPr>
  </w:style>
  <w:style w:type="character" w:styleId="153">
    <w:name w:val="Heading 4 Char"/>
    <w:basedOn w:val="2062"/>
    <w:link w:val="2060"/>
    <w:uiPriority w:val="9"/>
    <w:pPr>
      <w:pBdr/>
      <w:spacing/>
      <w:ind/>
    </w:pPr>
    <w:rPr>
      <w:rFonts w:ascii="Arial" w:hAnsi="Arial" w:eastAsia="Arial" w:cs="Arial"/>
      <w:i/>
      <w:iCs/>
      <w:color w:val="0f4761" w:themeColor="accent1" w:themeShade="BF"/>
    </w:rPr>
  </w:style>
  <w:style w:type="character" w:styleId="154">
    <w:name w:val="Heading 5 Char"/>
    <w:basedOn w:val="2062"/>
    <w:link w:val="2061"/>
    <w:uiPriority w:val="9"/>
    <w:pPr>
      <w:pBdr/>
      <w:spacing/>
      <w:ind/>
    </w:pPr>
    <w:rPr>
      <w:rFonts w:ascii="Arial" w:hAnsi="Arial" w:eastAsia="Arial" w:cs="Arial"/>
      <w:color w:val="0f4761" w:themeColor="accent1" w:themeShade="BF"/>
    </w:rPr>
  </w:style>
  <w:style w:type="character" w:styleId="155">
    <w:name w:val="Heading 6 Char"/>
    <w:basedOn w:val="2062"/>
    <w:link w:val="144"/>
    <w:uiPriority w:val="9"/>
    <w:pPr>
      <w:pBdr/>
      <w:spacing/>
      <w:ind/>
    </w:pPr>
    <w:rPr>
      <w:rFonts w:ascii="Arial" w:hAnsi="Arial" w:eastAsia="Arial" w:cs="Arial"/>
      <w:i/>
      <w:iCs/>
      <w:color w:val="595959" w:themeColor="text1" w:themeTint="A6"/>
    </w:rPr>
  </w:style>
  <w:style w:type="character" w:styleId="156">
    <w:name w:val="Heading 7 Char"/>
    <w:basedOn w:val="2062"/>
    <w:link w:val="145"/>
    <w:uiPriority w:val="9"/>
    <w:pPr>
      <w:pBdr/>
      <w:spacing/>
      <w:ind/>
    </w:pPr>
    <w:rPr>
      <w:rFonts w:ascii="Arial" w:hAnsi="Arial" w:eastAsia="Arial" w:cs="Arial"/>
      <w:color w:val="595959" w:themeColor="text1" w:themeTint="A6"/>
    </w:rPr>
  </w:style>
  <w:style w:type="character" w:styleId="157">
    <w:name w:val="Heading 8 Char"/>
    <w:basedOn w:val="2062"/>
    <w:link w:val="146"/>
    <w:uiPriority w:val="9"/>
    <w:pPr>
      <w:pBdr/>
      <w:spacing/>
      <w:ind/>
    </w:pPr>
    <w:rPr>
      <w:rFonts w:ascii="Arial" w:hAnsi="Arial" w:eastAsia="Arial" w:cs="Arial"/>
      <w:i/>
      <w:iCs/>
      <w:color w:val="272727" w:themeColor="text1" w:themeTint="D8"/>
    </w:rPr>
  </w:style>
  <w:style w:type="character" w:styleId="158">
    <w:name w:val="Heading 9 Char"/>
    <w:basedOn w:val="2062"/>
    <w:link w:val="147"/>
    <w:uiPriority w:val="9"/>
    <w:pPr>
      <w:pBdr/>
      <w:spacing/>
      <w:ind/>
    </w:pPr>
    <w:rPr>
      <w:rFonts w:ascii="Arial" w:hAnsi="Arial" w:eastAsia="Arial" w:cs="Arial"/>
      <w:i/>
      <w:iCs/>
      <w:color w:val="272727" w:themeColor="text1" w:themeTint="D8"/>
    </w:rPr>
  </w:style>
  <w:style w:type="character" w:styleId="160">
    <w:name w:val="Title Char"/>
    <w:basedOn w:val="2062"/>
    <w:link w:val="2090"/>
    <w:uiPriority w:val="10"/>
    <w:pPr>
      <w:pBdr/>
      <w:spacing/>
      <w:ind/>
    </w:pPr>
    <w:rPr>
      <w:rFonts w:ascii="Arial" w:hAnsi="Arial" w:eastAsia="Arial" w:cs="Arial"/>
      <w:spacing w:val="-10"/>
      <w:sz w:val="56"/>
      <w:szCs w:val="56"/>
    </w:rPr>
  </w:style>
  <w:style w:type="paragraph" w:styleId="161">
    <w:name w:val="Subtitle"/>
    <w:basedOn w:val="2056"/>
    <w:next w:val="2056"/>
    <w:link w:val="162"/>
    <w:uiPriority w:val="11"/>
    <w:qFormat/>
    <w:pPr>
      <w:numPr>
        <w:ilvl w:val="1"/>
      </w:numPr>
      <w:pBdr/>
      <w:spacing/>
      <w:ind/>
    </w:pPr>
    <w:rPr>
      <w:color w:val="595959" w:themeColor="text1" w:themeTint="A6"/>
      <w:spacing w:val="15"/>
      <w:sz w:val="28"/>
      <w:szCs w:val="28"/>
    </w:rPr>
  </w:style>
  <w:style w:type="character" w:styleId="162">
    <w:name w:val="Subtitle Char"/>
    <w:basedOn w:val="2062"/>
    <w:link w:val="161"/>
    <w:uiPriority w:val="11"/>
    <w:pPr>
      <w:pBdr/>
      <w:spacing/>
      <w:ind/>
    </w:pPr>
    <w:rPr>
      <w:color w:val="595959" w:themeColor="text1" w:themeTint="A6"/>
      <w:spacing w:val="15"/>
      <w:sz w:val="28"/>
      <w:szCs w:val="28"/>
    </w:rPr>
  </w:style>
  <w:style w:type="paragraph" w:styleId="163">
    <w:name w:val="Quote"/>
    <w:basedOn w:val="2056"/>
    <w:next w:val="2056"/>
    <w:link w:val="164"/>
    <w:uiPriority w:val="29"/>
    <w:qFormat/>
    <w:pPr>
      <w:pBdr/>
      <w:spacing w:before="160"/>
      <w:ind/>
      <w:jc w:val="center"/>
    </w:pPr>
    <w:rPr>
      <w:i/>
      <w:iCs/>
      <w:color w:val="404040" w:themeColor="text1" w:themeTint="BF"/>
    </w:rPr>
  </w:style>
  <w:style w:type="character" w:styleId="164">
    <w:name w:val="Quote Char"/>
    <w:basedOn w:val="2062"/>
    <w:link w:val="163"/>
    <w:uiPriority w:val="29"/>
    <w:pPr>
      <w:pBdr/>
      <w:spacing/>
      <w:ind/>
    </w:pPr>
    <w:rPr>
      <w:i/>
      <w:iCs/>
      <w:color w:val="404040" w:themeColor="text1" w:themeTint="BF"/>
    </w:rPr>
  </w:style>
  <w:style w:type="character" w:styleId="166">
    <w:name w:val="Intense Emphasis"/>
    <w:basedOn w:val="2062"/>
    <w:uiPriority w:val="21"/>
    <w:qFormat/>
    <w:pPr>
      <w:pBdr/>
      <w:spacing/>
      <w:ind/>
    </w:pPr>
    <w:rPr>
      <w:i/>
      <w:iCs/>
      <w:color w:val="0f4761" w:themeColor="accent1" w:themeShade="BF"/>
    </w:rPr>
  </w:style>
  <w:style w:type="paragraph" w:styleId="167">
    <w:name w:val="Intense Quote"/>
    <w:basedOn w:val="2056"/>
    <w:next w:val="20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2062"/>
    <w:link w:val="167"/>
    <w:uiPriority w:val="30"/>
    <w:pPr>
      <w:pBdr/>
      <w:spacing/>
      <w:ind/>
    </w:pPr>
    <w:rPr>
      <w:i/>
      <w:iCs/>
      <w:color w:val="0f4761" w:themeColor="accent1" w:themeShade="BF"/>
    </w:rPr>
  </w:style>
  <w:style w:type="character" w:styleId="169">
    <w:name w:val="Intense Reference"/>
    <w:basedOn w:val="2062"/>
    <w:uiPriority w:val="32"/>
    <w:qFormat/>
    <w:pPr>
      <w:pBdr/>
      <w:spacing/>
      <w:ind/>
    </w:pPr>
    <w:rPr>
      <w:b/>
      <w:bCs/>
      <w:smallCaps/>
      <w:color w:val="0f4761" w:themeColor="accent1" w:themeShade="BF"/>
      <w:spacing w:val="5"/>
    </w:rPr>
  </w:style>
  <w:style w:type="paragraph" w:styleId="170">
    <w:name w:val="No Spacing"/>
    <w:basedOn w:val="2056"/>
    <w:uiPriority w:val="1"/>
    <w:qFormat/>
    <w:pPr>
      <w:pBdr/>
      <w:spacing w:after="0" w:line="240" w:lineRule="auto"/>
      <w:ind/>
    </w:pPr>
  </w:style>
  <w:style w:type="character" w:styleId="171">
    <w:name w:val="Subtle Emphasis"/>
    <w:basedOn w:val="2062"/>
    <w:uiPriority w:val="19"/>
    <w:qFormat/>
    <w:pPr>
      <w:pBdr/>
      <w:spacing/>
      <w:ind/>
    </w:pPr>
    <w:rPr>
      <w:i/>
      <w:iCs/>
      <w:color w:val="404040" w:themeColor="text1" w:themeTint="BF"/>
    </w:rPr>
  </w:style>
  <w:style w:type="character" w:styleId="172">
    <w:name w:val="Emphasis"/>
    <w:basedOn w:val="2062"/>
    <w:uiPriority w:val="20"/>
    <w:qFormat/>
    <w:pPr>
      <w:pBdr/>
      <w:spacing/>
      <w:ind/>
    </w:pPr>
    <w:rPr>
      <w:i/>
      <w:iCs/>
    </w:rPr>
  </w:style>
  <w:style w:type="character" w:styleId="174">
    <w:name w:val="Subtle Reference"/>
    <w:basedOn w:val="2062"/>
    <w:uiPriority w:val="31"/>
    <w:qFormat/>
    <w:pPr>
      <w:pBdr/>
      <w:spacing/>
      <w:ind/>
    </w:pPr>
    <w:rPr>
      <w:smallCaps/>
      <w:color w:val="5a5a5a" w:themeColor="text1" w:themeTint="A5"/>
    </w:rPr>
  </w:style>
  <w:style w:type="character" w:styleId="175">
    <w:name w:val="Book Title"/>
    <w:basedOn w:val="2062"/>
    <w:uiPriority w:val="33"/>
    <w:qFormat/>
    <w:pPr>
      <w:pBdr/>
      <w:spacing/>
      <w:ind/>
    </w:pPr>
    <w:rPr>
      <w:b/>
      <w:bCs/>
      <w:i/>
      <w:iCs/>
      <w:spacing w:val="5"/>
    </w:rPr>
  </w:style>
  <w:style w:type="character" w:styleId="177">
    <w:name w:val="Header Char"/>
    <w:basedOn w:val="2062"/>
    <w:link w:val="2080"/>
    <w:uiPriority w:val="99"/>
    <w:pPr>
      <w:pBdr/>
      <w:spacing/>
      <w:ind/>
    </w:pPr>
  </w:style>
  <w:style w:type="character" w:styleId="179">
    <w:name w:val="Footer Char"/>
    <w:basedOn w:val="2062"/>
    <w:link w:val="2082"/>
    <w:uiPriority w:val="99"/>
    <w:pPr>
      <w:pBdr/>
      <w:spacing/>
      <w:ind/>
    </w:pPr>
  </w:style>
  <w:style w:type="paragraph" w:styleId="180">
    <w:name w:val="Caption"/>
    <w:basedOn w:val="2056"/>
    <w:next w:val="2056"/>
    <w:uiPriority w:val="35"/>
    <w:unhideWhenUsed/>
    <w:qFormat/>
    <w:pPr>
      <w:pBdr/>
      <w:spacing w:after="200" w:line="240" w:lineRule="auto"/>
      <w:ind/>
    </w:pPr>
    <w:rPr>
      <w:i/>
      <w:iCs/>
      <w:color w:val="0e2841" w:themeColor="text2"/>
      <w:sz w:val="18"/>
      <w:szCs w:val="18"/>
    </w:rPr>
  </w:style>
  <w:style w:type="character" w:styleId="182">
    <w:name w:val="Footnote Text Char"/>
    <w:basedOn w:val="2062"/>
    <w:link w:val="2077"/>
    <w:uiPriority w:val="99"/>
    <w:semiHidden/>
    <w:pPr>
      <w:pBdr/>
      <w:spacing/>
      <w:ind/>
    </w:pPr>
    <w:rPr>
      <w:sz w:val="20"/>
      <w:szCs w:val="20"/>
    </w:rPr>
  </w:style>
  <w:style w:type="paragraph" w:styleId="184">
    <w:name w:val="endnote text"/>
    <w:basedOn w:val="2056"/>
    <w:link w:val="185"/>
    <w:uiPriority w:val="99"/>
    <w:semiHidden/>
    <w:unhideWhenUsed/>
    <w:pPr>
      <w:pBdr/>
      <w:spacing w:after="0" w:line="240" w:lineRule="auto"/>
      <w:ind/>
    </w:pPr>
    <w:rPr>
      <w:sz w:val="20"/>
      <w:szCs w:val="20"/>
    </w:rPr>
  </w:style>
  <w:style w:type="character" w:styleId="185">
    <w:name w:val="Endnote Text Char"/>
    <w:basedOn w:val="2062"/>
    <w:link w:val="184"/>
    <w:uiPriority w:val="99"/>
    <w:semiHidden/>
    <w:pPr>
      <w:pBdr/>
      <w:spacing/>
      <w:ind/>
    </w:pPr>
    <w:rPr>
      <w:sz w:val="20"/>
      <w:szCs w:val="20"/>
    </w:rPr>
  </w:style>
  <w:style w:type="character" w:styleId="186">
    <w:name w:val="endnote reference"/>
    <w:basedOn w:val="2062"/>
    <w:uiPriority w:val="99"/>
    <w:semiHidden/>
    <w:unhideWhenUsed/>
    <w:pPr>
      <w:pBdr/>
      <w:spacing/>
      <w:ind/>
    </w:pPr>
    <w:rPr>
      <w:vertAlign w:val="superscript"/>
    </w:rPr>
  </w:style>
  <w:style w:type="character" w:styleId="188">
    <w:name w:val="FollowedHyperlink"/>
    <w:basedOn w:val="2062"/>
    <w:uiPriority w:val="99"/>
    <w:semiHidden/>
    <w:unhideWhenUsed/>
    <w:pPr>
      <w:pBdr/>
      <w:spacing/>
      <w:ind/>
    </w:pPr>
    <w:rPr>
      <w:color w:val="954f72" w:themeColor="followedHyperlink"/>
      <w:u w:val="single"/>
    </w:rPr>
  </w:style>
  <w:style w:type="paragraph" w:styleId="192">
    <w:name w:val="toc 4"/>
    <w:basedOn w:val="2056"/>
    <w:next w:val="2056"/>
    <w:uiPriority w:val="39"/>
    <w:unhideWhenUsed/>
    <w:pPr>
      <w:pBdr/>
      <w:spacing w:after="100"/>
      <w:ind w:left="660"/>
    </w:pPr>
  </w:style>
  <w:style w:type="paragraph" w:styleId="193">
    <w:name w:val="toc 5"/>
    <w:basedOn w:val="2056"/>
    <w:next w:val="2056"/>
    <w:uiPriority w:val="39"/>
    <w:unhideWhenUsed/>
    <w:pPr>
      <w:pBdr/>
      <w:spacing w:after="100"/>
      <w:ind w:left="880"/>
    </w:pPr>
  </w:style>
  <w:style w:type="paragraph" w:styleId="194">
    <w:name w:val="toc 6"/>
    <w:basedOn w:val="2056"/>
    <w:next w:val="2056"/>
    <w:uiPriority w:val="39"/>
    <w:unhideWhenUsed/>
    <w:pPr>
      <w:pBdr/>
      <w:spacing w:after="100"/>
      <w:ind w:left="1100"/>
    </w:pPr>
  </w:style>
  <w:style w:type="paragraph" w:styleId="195">
    <w:name w:val="toc 7"/>
    <w:basedOn w:val="2056"/>
    <w:next w:val="2056"/>
    <w:uiPriority w:val="39"/>
    <w:unhideWhenUsed/>
    <w:pPr>
      <w:pBdr/>
      <w:spacing w:after="100"/>
      <w:ind w:left="1320"/>
    </w:pPr>
  </w:style>
  <w:style w:type="paragraph" w:styleId="196">
    <w:name w:val="toc 8"/>
    <w:basedOn w:val="2056"/>
    <w:next w:val="2056"/>
    <w:uiPriority w:val="39"/>
    <w:unhideWhenUsed/>
    <w:pPr>
      <w:pBdr/>
      <w:spacing w:after="100"/>
      <w:ind w:left="1540"/>
    </w:pPr>
  </w:style>
  <w:style w:type="paragraph" w:styleId="197">
    <w:name w:val="toc 9"/>
    <w:basedOn w:val="2056"/>
    <w:next w:val="2056"/>
    <w:uiPriority w:val="39"/>
    <w:unhideWhenUsed/>
    <w:pPr>
      <w:pBdr/>
      <w:spacing w:after="100"/>
      <w:ind w:left="1760"/>
    </w:pPr>
  </w:style>
  <w:style w:type="character" w:styleId="198">
    <w:name w:val="Placeholder Text"/>
    <w:basedOn w:val="2062"/>
    <w:uiPriority w:val="99"/>
    <w:semiHidden/>
    <w:pPr>
      <w:pBdr/>
      <w:spacing/>
      <w:ind/>
    </w:pPr>
    <w:rPr>
      <w:color w:val="666666"/>
    </w:rPr>
  </w:style>
  <w:style w:type="paragraph" w:styleId="209">
    <w:name w:val="table of figures"/>
    <w:basedOn w:val="2056"/>
    <w:next w:val="2056"/>
    <w:uiPriority w:val="99"/>
    <w:unhideWhenUsed/>
    <w:pPr>
      <w:pBdr/>
      <w:spacing w:after="0" w:afterAutospacing="0"/>
      <w:ind/>
    </w:pPr>
  </w:style>
  <w:style w:type="paragraph" w:styleId="2056" w:default="1">
    <w:name w:val="Normal"/>
    <w:qFormat/>
    <w:pPr>
      <w:pBdr/>
      <w:spacing/>
      <w:ind/>
      <w:jc w:val="both"/>
    </w:pPr>
    <w:rPr>
      <w:rFonts w:ascii="Trebuchet MS" w:hAnsi="Trebuchet MS"/>
      <w:sz w:val="24"/>
    </w:rPr>
  </w:style>
  <w:style w:type="paragraph" w:styleId="2057">
    <w:name w:val="Heading 1"/>
    <w:basedOn w:val="2056"/>
    <w:next w:val="2056"/>
    <w:link w:val="2065"/>
    <w:uiPriority w:val="9"/>
    <w:qFormat/>
    <w:pPr>
      <w:keepNext w:val="true"/>
      <w:keepLines w:val="true"/>
      <w:pBdr/>
      <w:spacing w:after="0" w:before="240"/>
      <w:ind/>
      <w:outlineLvl w:val="0"/>
    </w:pPr>
    <w:rPr>
      <w:rFonts w:eastAsiaTheme="majorEastAsia" w:cstheme="majorBidi"/>
      <w:b/>
      <w:color w:val="82003c"/>
      <w:sz w:val="28"/>
      <w:szCs w:val="32"/>
    </w:rPr>
  </w:style>
  <w:style w:type="paragraph" w:styleId="2058">
    <w:name w:val="Heading 2"/>
    <w:basedOn w:val="2056"/>
    <w:next w:val="2056"/>
    <w:link w:val="2070"/>
    <w:uiPriority w:val="9"/>
    <w:unhideWhenUsed/>
    <w:qFormat/>
    <w:pPr>
      <w:keepNext w:val="true"/>
      <w:keepLines w:val="true"/>
      <w:pBdr/>
      <w:spacing w:after="0" w:before="40"/>
      <w:ind/>
      <w:outlineLvl w:val="1"/>
    </w:pPr>
    <w:rPr>
      <w:rFonts w:eastAsiaTheme="majorEastAsia" w:cstheme="majorBidi"/>
      <w:b/>
      <w:color w:val="82003c"/>
      <w:szCs w:val="26"/>
      <w:u w:val="single"/>
    </w:rPr>
  </w:style>
  <w:style w:type="paragraph" w:styleId="2059">
    <w:name w:val="Heading 3"/>
    <w:basedOn w:val="2056"/>
    <w:next w:val="2056"/>
    <w:link w:val="2071"/>
    <w:uiPriority w:val="9"/>
    <w:unhideWhenUsed/>
    <w:qFormat/>
    <w:pPr>
      <w:keepNext w:val="true"/>
      <w:keepLines w:val="true"/>
      <w:pBdr/>
      <w:spacing w:after="0" w:before="40"/>
      <w:ind/>
      <w:outlineLvl w:val="2"/>
    </w:pPr>
    <w:rPr>
      <w:rFonts w:eastAsiaTheme="majorEastAsia" w:cstheme="majorBidi"/>
      <w:b/>
      <w:szCs w:val="24"/>
    </w:rPr>
  </w:style>
  <w:style w:type="paragraph" w:styleId="2060">
    <w:name w:val="Heading 4"/>
    <w:basedOn w:val="2056"/>
    <w:next w:val="2056"/>
    <w:link w:val="2072"/>
    <w:uiPriority w:val="9"/>
    <w:unhideWhenUsed/>
    <w:qFormat/>
    <w:pPr>
      <w:keepNext w:val="true"/>
      <w:keepLines w:val="true"/>
      <w:pBdr/>
      <w:spacing w:after="0" w:before="40"/>
      <w:ind/>
      <w:outlineLvl w:val="3"/>
    </w:pPr>
    <w:rPr>
      <w:rFonts w:asciiTheme="majorHAnsi" w:hAnsiTheme="majorHAnsi" w:eastAsiaTheme="majorEastAsia" w:cstheme="majorBidi"/>
      <w:i/>
      <w:iCs/>
      <w:color w:val="2e74b5" w:themeColor="accent1" w:themeShade="BF"/>
    </w:rPr>
  </w:style>
  <w:style w:type="paragraph" w:styleId="2061">
    <w:name w:val="Heading 5"/>
    <w:basedOn w:val="2056"/>
    <w:next w:val="2056"/>
    <w:link w:val="2073"/>
    <w:uiPriority w:val="9"/>
    <w:unhideWhenUsed/>
    <w:qFormat/>
    <w:pPr>
      <w:keepNext w:val="true"/>
      <w:keepLines w:val="true"/>
      <w:pBdr/>
      <w:spacing w:after="0" w:before="40"/>
      <w:ind/>
      <w:outlineLvl w:val="4"/>
    </w:pPr>
    <w:rPr>
      <w:rFonts w:asciiTheme="majorHAnsi" w:hAnsiTheme="majorHAnsi" w:eastAsiaTheme="majorEastAsia" w:cstheme="majorBidi"/>
      <w:color w:val="2e74b5" w:themeColor="accent1" w:themeShade="BF"/>
    </w:rPr>
  </w:style>
  <w:style w:type="character" w:styleId="2062" w:default="1">
    <w:name w:val="Default Paragraph Font"/>
    <w:uiPriority w:val="1"/>
    <w:semiHidden/>
    <w:unhideWhenUsed/>
    <w:pPr>
      <w:pBdr/>
      <w:spacing/>
      <w:ind/>
    </w:pPr>
  </w:style>
  <w:style w:type="table" w:styleId="20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64" w:default="1">
    <w:name w:val="No List"/>
    <w:uiPriority w:val="99"/>
    <w:semiHidden/>
    <w:unhideWhenUsed/>
    <w:pPr>
      <w:pBdr/>
      <w:spacing/>
      <w:ind/>
    </w:pPr>
  </w:style>
  <w:style w:type="character" w:styleId="2065" w:customStyle="1">
    <w:name w:val="Titre 1 Car"/>
    <w:basedOn w:val="2062"/>
    <w:link w:val="2057"/>
    <w:uiPriority w:val="9"/>
    <w:pPr>
      <w:pBdr/>
      <w:spacing/>
      <w:ind/>
    </w:pPr>
    <w:rPr>
      <w:rFonts w:ascii="Trebuchet MS" w:hAnsi="Trebuchet MS" w:eastAsiaTheme="majorEastAsia" w:cstheme="majorBidi"/>
      <w:b/>
      <w:color w:val="82003c"/>
      <w:sz w:val="28"/>
      <w:szCs w:val="32"/>
    </w:rPr>
  </w:style>
  <w:style w:type="paragraph" w:styleId="2066">
    <w:name w:val="List Paragraph"/>
    <w:basedOn w:val="2056"/>
    <w:uiPriority w:val="34"/>
    <w:qFormat/>
    <w:pPr>
      <w:pBdr/>
      <w:spacing/>
      <w:ind w:left="720"/>
      <w:contextualSpacing w:val="true"/>
    </w:pPr>
    <w:rPr>
      <w:rFonts w:ascii="Calibri Light" w:hAnsi="Calibri Light"/>
    </w:rPr>
  </w:style>
  <w:style w:type="paragraph" w:styleId="2067">
    <w:name w:val="TOC Heading"/>
    <w:basedOn w:val="2057"/>
    <w:next w:val="2056"/>
    <w:uiPriority w:val="39"/>
    <w:unhideWhenUsed/>
    <w:qFormat/>
    <w:pPr>
      <w:pBdr/>
      <w:spacing/>
      <w:ind/>
      <w:outlineLvl w:val="9"/>
    </w:pPr>
    <w:rPr>
      <w:lang w:eastAsia="fr-FR"/>
    </w:rPr>
  </w:style>
  <w:style w:type="paragraph" w:styleId="2068">
    <w:name w:val="toc 1"/>
    <w:basedOn w:val="2056"/>
    <w:next w:val="2056"/>
    <w:uiPriority w:val="39"/>
    <w:unhideWhenUsed/>
    <w:pPr>
      <w:pBdr/>
      <w:spacing w:after="100"/>
      <w:ind/>
    </w:pPr>
  </w:style>
  <w:style w:type="character" w:styleId="2069">
    <w:name w:val="Hyperlink"/>
    <w:basedOn w:val="2062"/>
    <w:uiPriority w:val="99"/>
    <w:unhideWhenUsed/>
    <w:pPr>
      <w:pBdr/>
      <w:spacing/>
      <w:ind/>
    </w:pPr>
    <w:rPr>
      <w:color w:val="0563c1" w:themeColor="hyperlink"/>
      <w:u w:val="single"/>
    </w:rPr>
  </w:style>
  <w:style w:type="character" w:styleId="2070" w:customStyle="1">
    <w:name w:val="Titre 2 Car"/>
    <w:basedOn w:val="2062"/>
    <w:link w:val="2058"/>
    <w:uiPriority w:val="9"/>
    <w:pPr>
      <w:pBdr/>
      <w:spacing/>
      <w:ind/>
    </w:pPr>
    <w:rPr>
      <w:rFonts w:ascii="Trebuchet MS" w:hAnsi="Trebuchet MS" w:eastAsiaTheme="majorEastAsia" w:cstheme="majorBidi"/>
      <w:b/>
      <w:color w:val="82003c"/>
      <w:sz w:val="24"/>
      <w:szCs w:val="26"/>
      <w:u w:val="single"/>
    </w:rPr>
  </w:style>
  <w:style w:type="character" w:styleId="2071" w:customStyle="1">
    <w:name w:val="Titre 3 Car"/>
    <w:basedOn w:val="2062"/>
    <w:link w:val="2059"/>
    <w:uiPriority w:val="9"/>
    <w:pPr>
      <w:pBdr/>
      <w:spacing/>
      <w:ind/>
    </w:pPr>
    <w:rPr>
      <w:rFonts w:ascii="Trebuchet MS" w:hAnsi="Trebuchet MS" w:eastAsiaTheme="majorEastAsia" w:cstheme="majorBidi"/>
      <w:b/>
      <w:sz w:val="24"/>
      <w:szCs w:val="24"/>
    </w:rPr>
  </w:style>
  <w:style w:type="character" w:styleId="2072" w:customStyle="1">
    <w:name w:val="Titre 4 Car"/>
    <w:basedOn w:val="2062"/>
    <w:link w:val="2060"/>
    <w:uiPriority w:val="9"/>
    <w:pPr>
      <w:pBdr/>
      <w:spacing/>
      <w:ind/>
    </w:pPr>
    <w:rPr>
      <w:rFonts w:asciiTheme="majorHAnsi" w:hAnsiTheme="majorHAnsi" w:eastAsiaTheme="majorEastAsia" w:cstheme="majorBidi"/>
      <w:i/>
      <w:iCs/>
      <w:color w:val="2e74b5" w:themeColor="accent1" w:themeShade="BF"/>
    </w:rPr>
  </w:style>
  <w:style w:type="character" w:styleId="2073" w:customStyle="1">
    <w:name w:val="Titre 5 Car"/>
    <w:basedOn w:val="2062"/>
    <w:link w:val="2061"/>
    <w:uiPriority w:val="9"/>
    <w:pPr>
      <w:pBdr/>
      <w:spacing/>
      <w:ind/>
    </w:pPr>
    <w:rPr>
      <w:rFonts w:asciiTheme="majorHAnsi" w:hAnsiTheme="majorHAnsi" w:eastAsiaTheme="majorEastAsia" w:cstheme="majorBidi"/>
      <w:color w:val="2e74b5" w:themeColor="accent1" w:themeShade="BF"/>
    </w:rPr>
  </w:style>
  <w:style w:type="paragraph" w:styleId="2074">
    <w:name w:val="toc 2"/>
    <w:basedOn w:val="2056"/>
    <w:next w:val="2056"/>
    <w:uiPriority w:val="39"/>
    <w:unhideWhenUsed/>
    <w:pPr>
      <w:pBdr/>
      <w:spacing w:after="100"/>
      <w:ind w:left="220"/>
    </w:pPr>
  </w:style>
  <w:style w:type="paragraph" w:styleId="2075">
    <w:name w:val="toc 3"/>
    <w:basedOn w:val="2056"/>
    <w:next w:val="2056"/>
    <w:uiPriority w:val="39"/>
    <w:unhideWhenUsed/>
    <w:pPr>
      <w:pBdr/>
      <w:spacing w:after="100"/>
      <w:ind w:left="440"/>
    </w:pPr>
  </w:style>
  <w:style w:type="table" w:styleId="2076">
    <w:name w:val="Table Grid"/>
    <w:basedOn w:val="206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77">
    <w:name w:val="footnote text"/>
    <w:basedOn w:val="2056"/>
    <w:link w:val="2078"/>
    <w:uiPriority w:val="99"/>
    <w:semiHidden/>
    <w:unhideWhenUsed/>
    <w:pPr>
      <w:pBdr/>
      <w:spacing w:after="0" w:line="240" w:lineRule="auto"/>
      <w:ind/>
    </w:pPr>
    <w:rPr>
      <w:sz w:val="20"/>
      <w:szCs w:val="20"/>
    </w:rPr>
  </w:style>
  <w:style w:type="character" w:styleId="2078" w:customStyle="1">
    <w:name w:val="Note de bas de page Car"/>
    <w:basedOn w:val="2062"/>
    <w:link w:val="2077"/>
    <w:uiPriority w:val="99"/>
    <w:semiHidden/>
    <w:pPr>
      <w:pBdr/>
      <w:spacing/>
      <w:ind/>
    </w:pPr>
    <w:rPr>
      <w:sz w:val="20"/>
      <w:szCs w:val="20"/>
    </w:rPr>
  </w:style>
  <w:style w:type="character" w:styleId="2079">
    <w:name w:val="footnote reference"/>
    <w:basedOn w:val="2062"/>
    <w:uiPriority w:val="99"/>
    <w:semiHidden/>
    <w:unhideWhenUsed/>
    <w:pPr>
      <w:pBdr/>
      <w:spacing/>
      <w:ind/>
    </w:pPr>
    <w:rPr>
      <w:vertAlign w:val="superscript"/>
    </w:rPr>
  </w:style>
  <w:style w:type="paragraph" w:styleId="2080">
    <w:name w:val="Header"/>
    <w:basedOn w:val="2056"/>
    <w:link w:val="2081"/>
    <w:uiPriority w:val="99"/>
    <w:unhideWhenUsed/>
    <w:pPr>
      <w:pBdr/>
      <w:tabs>
        <w:tab w:val="center" w:leader="none" w:pos="4536"/>
        <w:tab w:val="right" w:leader="none" w:pos="9072"/>
      </w:tabs>
      <w:spacing w:after="0" w:line="240" w:lineRule="auto"/>
      <w:ind/>
    </w:pPr>
  </w:style>
  <w:style w:type="character" w:styleId="2081" w:customStyle="1">
    <w:name w:val="En-tête Car"/>
    <w:basedOn w:val="2062"/>
    <w:link w:val="2080"/>
    <w:uiPriority w:val="99"/>
    <w:pPr>
      <w:pBdr/>
      <w:spacing/>
      <w:ind/>
    </w:pPr>
  </w:style>
  <w:style w:type="paragraph" w:styleId="2082">
    <w:name w:val="Footer"/>
    <w:basedOn w:val="2056"/>
    <w:link w:val="2083"/>
    <w:uiPriority w:val="99"/>
    <w:unhideWhenUsed/>
    <w:pPr>
      <w:pBdr/>
      <w:tabs>
        <w:tab w:val="center" w:leader="none" w:pos="4536"/>
        <w:tab w:val="right" w:leader="none" w:pos="9072"/>
      </w:tabs>
      <w:spacing w:after="0" w:line="240" w:lineRule="auto"/>
      <w:ind/>
    </w:pPr>
  </w:style>
  <w:style w:type="character" w:styleId="2083" w:customStyle="1">
    <w:name w:val="Pied de page Car"/>
    <w:basedOn w:val="2062"/>
    <w:link w:val="2082"/>
    <w:uiPriority w:val="99"/>
    <w:pPr>
      <w:pBdr/>
      <w:spacing/>
      <w:ind/>
    </w:pPr>
  </w:style>
  <w:style w:type="paragraph" w:styleId="2084">
    <w:name w:val="annotation text"/>
    <w:basedOn w:val="2056"/>
    <w:link w:val="2085"/>
    <w:uiPriority w:val="99"/>
    <w:semiHidden/>
    <w:unhideWhenUsed/>
    <w:pPr>
      <w:pBdr/>
      <w:spacing w:line="240" w:lineRule="auto"/>
      <w:ind/>
    </w:pPr>
    <w:rPr>
      <w:sz w:val="20"/>
      <w:szCs w:val="20"/>
    </w:rPr>
  </w:style>
  <w:style w:type="character" w:styleId="2085" w:customStyle="1">
    <w:name w:val="Commentaire Car"/>
    <w:basedOn w:val="2062"/>
    <w:link w:val="2084"/>
    <w:uiPriority w:val="99"/>
    <w:semiHidden/>
    <w:pPr>
      <w:pBdr/>
      <w:spacing/>
      <w:ind/>
    </w:pPr>
    <w:rPr>
      <w:sz w:val="20"/>
      <w:szCs w:val="20"/>
    </w:rPr>
  </w:style>
  <w:style w:type="paragraph" w:styleId="2086">
    <w:name w:val="Normal (Web)"/>
    <w:basedOn w:val="2056"/>
    <w:uiPriority w:val="99"/>
    <w:unhideWhenUsed/>
    <w:pPr>
      <w:pBdr/>
      <w:spacing w:after="100" w:afterAutospacing="1" w:before="100" w:beforeAutospacing="1" w:line="240" w:lineRule="auto"/>
      <w:ind/>
    </w:pPr>
    <w:rPr>
      <w:rFonts w:ascii="Times New Roman" w:hAnsi="Times New Roman" w:eastAsia="Times New Roman" w:cs="Times New Roman"/>
      <w:szCs w:val="24"/>
      <w:lang w:eastAsia="fr-FR"/>
    </w:rPr>
  </w:style>
  <w:style w:type="character" w:styleId="2087" w:customStyle="1">
    <w:name w:val="ng-star-inserted"/>
    <w:basedOn w:val="2062"/>
    <w:pPr>
      <w:pBdr/>
      <w:spacing/>
      <w:ind/>
    </w:pPr>
  </w:style>
  <w:style w:type="character" w:styleId="2088">
    <w:name w:val="Strong"/>
    <w:basedOn w:val="2062"/>
    <w:uiPriority w:val="22"/>
    <w:qFormat/>
    <w:pPr>
      <w:pBdr/>
      <w:spacing/>
      <w:ind/>
    </w:pPr>
    <w:rPr>
      <w:b/>
      <w:bCs/>
    </w:rPr>
  </w:style>
  <w:style w:type="paragraph" w:styleId="2089" w:customStyle="1">
    <w:name w:val="Standard"/>
    <w:pPr>
      <w:pBdr/>
      <w:spacing w:after="0" w:line="240" w:lineRule="auto"/>
      <w:ind/>
    </w:pPr>
    <w:rPr>
      <w:rFonts w:ascii="Liberation Serif" w:hAnsi="Liberation Serif" w:eastAsia="Noto Serif CJK SC" w:cs="Noto Sans Devanagari"/>
      <w:sz w:val="24"/>
      <w:szCs w:val="24"/>
      <w:lang w:val="en-GB" w:eastAsia="zh-CN" w:bidi="hi-IN"/>
    </w:rPr>
  </w:style>
  <w:style w:type="paragraph" w:styleId="2090">
    <w:name w:val="Title"/>
    <w:basedOn w:val="2056"/>
    <w:next w:val="2056"/>
    <w:link w:val="2091"/>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2091" w:customStyle="1">
    <w:name w:val="Titre Car"/>
    <w:basedOn w:val="2062"/>
    <w:link w:val="2090"/>
    <w:uiPriority w:val="10"/>
    <w:pPr>
      <w:pBdr/>
      <w:spacing/>
      <w:ind/>
    </w:pPr>
    <w:rPr>
      <w:rFonts w:asciiTheme="majorHAnsi" w:hAnsiTheme="majorHAnsi" w:eastAsiaTheme="majorEastAsia" w:cstheme="majorBidi"/>
      <w:spacing w:val="-10"/>
      <w:sz w:val="56"/>
      <w:szCs w:val="5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ccfr.bnf.fr/portailccfr/servlet/ViewManager?menu=public_menu_view&amp;record=rnbcd:INSTITUTION:7824&amp;setCache=all_rnbcd.RNBCD_GLOBALE_MULTI&amp;fromList=true&amp;source=all_rnbcd&amp;action=public_search_top&amp;query=RNBCD_GLOBALE" TargetMode="External"/><Relationship Id="rId2" Type="http://schemas.openxmlformats.org/officeDocument/2006/relationships/hyperlink" Target="https://biu-cujas.univ-paris1.fr/histoire-missions-et-partenariats/" TargetMode="External"/><Relationship Id="rId3" Type="http://schemas.openxmlformats.org/officeDocument/2006/relationships/hyperlink" Target="https://ccfr.bnf.fr/portailccfr/servlet/ViewManager?menu=public_menu_view&amp;record=rnbcd:INSTITUTION:7824&amp;setCache=all_rnbcd.RNBCD_GLOBALE_MULTI&amp;fromList=true&amp;source=all_rnbcd&amp;action=public_search_top&amp;query=RNBCD_GLOBALE" TargetMode="External"/></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649AD-76BA-4C39-91F7-1F6936BCC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21</cp:revision>
  <dcterms:created xsi:type="dcterms:W3CDTF">2026-07-08T14:28:00Z</dcterms:created>
  <dcterms:modified xsi:type="dcterms:W3CDTF">2026-07-30T21:12:57Z</dcterms:modified>
</cp:coreProperties>
</file>