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AE83D" w14:textId="77777777" w:rsidR="00F0709D" w:rsidRDefault="00F0709D">
      <w:pPr>
        <w:spacing w:before="200"/>
      </w:pPr>
    </w:p>
    <w:p w14:paraId="4DAC66AB" w14:textId="77777777" w:rsidR="00F0709D" w:rsidRDefault="004D2338">
      <w:pPr>
        <w:spacing w:after="40"/>
        <w:jc w:val="center"/>
      </w:pPr>
      <w:r>
        <w:rPr>
          <w:b/>
          <w:bCs/>
          <w:color w:val="1A2E4A"/>
          <w:sz w:val="26"/>
          <w:szCs w:val="26"/>
        </w:rPr>
        <w:t>CROSSBORDER HEALTH ANALYTICS INC.</w:t>
      </w:r>
    </w:p>
    <w:p w14:paraId="69EB875C" w14:textId="77777777" w:rsidR="00F0709D" w:rsidRDefault="004D2338">
      <w:pPr>
        <w:spacing w:after="60"/>
        <w:jc w:val="center"/>
      </w:pPr>
      <w:r>
        <w:rPr>
          <w:b/>
          <w:bCs/>
          <w:color w:val="000000"/>
          <w:sz w:val="40"/>
          <w:szCs w:val="40"/>
        </w:rPr>
        <w:t>HIPAA Security Rule Gap Assessment</w:t>
      </w:r>
    </w:p>
    <w:p w14:paraId="0BB4BB14" w14:textId="77777777" w:rsidR="00F0709D" w:rsidRDefault="004D2338">
      <w:pPr>
        <w:spacing w:after="40"/>
        <w:jc w:val="center"/>
      </w:pPr>
      <w:r>
        <w:rPr>
          <w:i/>
          <w:iCs/>
          <w:color w:val="555555"/>
          <w:sz w:val="22"/>
          <w:szCs w:val="22"/>
        </w:rPr>
        <w:t>Business Associate Readiness Review   |   MidWest Health System BAA</w:t>
      </w:r>
    </w:p>
    <w:p w14:paraId="2F799BE6" w14:textId="77777777" w:rsidR="00F0709D" w:rsidRDefault="004D2338">
      <w:pPr>
        <w:pBdr>
          <w:bottom w:val="single" w:sz="6" w:space="4" w:color="1A2E4A"/>
        </w:pBdr>
        <w:spacing w:after="280"/>
        <w:jc w:val="center"/>
      </w:pPr>
      <w:r>
        <w:rPr>
          <w:b/>
          <w:bCs/>
          <w:color w:val="1A2E4A"/>
        </w:rPr>
        <w:t>CONFIDENTIAL   |   CEO, CTO, CISO, CLO, Privacy Officer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F0709D" w14:paraId="00436480" w14:textId="77777777">
        <w:tblPrEx>
          <w:tblCellMar>
            <w:top w:w="0" w:type="dxa"/>
            <w:bottom w:w="0" w:type="dxa"/>
          </w:tblCellMar>
        </w:tblPrEx>
        <w:tc>
          <w:tcPr>
            <w:tcW w:w="28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675E91C8" w14:textId="77777777" w:rsidR="00F0709D" w:rsidRDefault="004D2338">
            <w:pPr>
              <w:jc w:val="center"/>
            </w:pPr>
            <w:r>
              <w:rPr>
                <w:b/>
                <w:bCs/>
                <w:color w:val="FFFFFF"/>
                <w:sz w:val="18"/>
                <w:szCs w:val="18"/>
              </w:rPr>
              <w:t>Assessment Detail</w:t>
            </w:r>
          </w:p>
        </w:tc>
        <w:tc>
          <w:tcPr>
            <w:tcW w:w="64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20B8D95" w14:textId="77777777" w:rsidR="00F0709D" w:rsidRDefault="004D2338">
            <w:pPr>
              <w:jc w:val="center"/>
            </w:pPr>
            <w:r>
              <w:rPr>
                <w:b/>
                <w:bCs/>
                <w:color w:val="FFFFFF"/>
                <w:sz w:val="18"/>
                <w:szCs w:val="18"/>
              </w:rPr>
              <w:t>Information</w:t>
            </w:r>
          </w:p>
        </w:tc>
      </w:tr>
      <w:tr w:rsidR="00F0709D" w14:paraId="1181B624"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34732E09" w14:textId="77777777" w:rsidR="00F0709D" w:rsidRDefault="004D2338">
            <w:r>
              <w:rPr>
                <w:b/>
                <w:bCs/>
                <w:color w:val="222222"/>
                <w:sz w:val="19"/>
                <w:szCs w:val="19"/>
              </w:rPr>
              <w:t>Assessor</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1B9D734" w14:textId="77777777" w:rsidR="00F0709D" w:rsidRDefault="004D2338">
            <w:r>
              <w:rPr>
                <w:color w:val="222222"/>
                <w:sz w:val="19"/>
                <w:szCs w:val="19"/>
              </w:rPr>
              <w:t>Edem Messiga, ISO 27001 Certified Lead Auditor   |   Privacy and Security Office</w:t>
            </w:r>
          </w:p>
        </w:tc>
      </w:tr>
      <w:tr w:rsidR="00F0709D" w14:paraId="3078F84D"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38354B29" w14:textId="77777777" w:rsidR="00F0709D" w:rsidRDefault="004D2338">
            <w:r>
              <w:rPr>
                <w:b/>
                <w:bCs/>
                <w:color w:val="222222"/>
                <w:sz w:val="19"/>
                <w:szCs w:val="19"/>
              </w:rPr>
              <w:t>Organization</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6F9133B1" w14:textId="77777777" w:rsidR="00F0709D" w:rsidRDefault="004D2338">
            <w:r>
              <w:rPr>
                <w:color w:val="222222"/>
                <w:sz w:val="19"/>
                <w:szCs w:val="19"/>
              </w:rPr>
              <w:t>CrossBorder Health Analytics Inc.   |   Toronto, Canada (federally incorporated)</w:t>
            </w:r>
          </w:p>
        </w:tc>
      </w:tr>
      <w:tr w:rsidR="00F0709D" w14:paraId="630D9DBC"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BDA6423" w14:textId="77777777" w:rsidR="00F0709D" w:rsidRDefault="004D2338">
            <w:r>
              <w:rPr>
                <w:b/>
                <w:bCs/>
                <w:color w:val="222222"/>
                <w:sz w:val="19"/>
                <w:szCs w:val="19"/>
              </w:rPr>
              <w:t>HIPAA Role</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4405519" w14:textId="77777777" w:rsidR="00F0709D" w:rsidRDefault="004D2338">
            <w:r>
              <w:rPr>
                <w:color w:val="222222"/>
                <w:sz w:val="19"/>
                <w:szCs w:val="19"/>
              </w:rPr>
              <w:t>Business Associate   |   Creates, receives, maintains, and transmits ePHI on behalf of covered entity clients</w:t>
            </w:r>
          </w:p>
        </w:tc>
      </w:tr>
      <w:tr w:rsidR="00F0709D" w14:paraId="70F92805"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C6926AA" w14:textId="77777777" w:rsidR="00F0709D" w:rsidRDefault="004D2338">
            <w:r>
              <w:rPr>
                <w:b/>
                <w:bCs/>
                <w:color w:val="222222"/>
                <w:sz w:val="19"/>
                <w:szCs w:val="19"/>
              </w:rPr>
              <w:t>ePHI in Scope</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8FD1AC8" w14:textId="77777777" w:rsidR="00F0709D" w:rsidRDefault="004D2338">
            <w:r>
              <w:rPr>
                <w:color w:val="222222"/>
                <w:sz w:val="19"/>
                <w:szCs w:val="19"/>
              </w:rPr>
              <w:t>2.4M patient records from MidWest Health System (14 hospitals, Illinois)   |   Claims, labs, diagnoses, medications</w:t>
            </w:r>
          </w:p>
        </w:tc>
      </w:tr>
      <w:tr w:rsidR="00F0709D" w14:paraId="4BFA7CC5"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1813EF4" w14:textId="77777777" w:rsidR="00F0709D" w:rsidRDefault="004D2338">
            <w:r>
              <w:rPr>
                <w:b/>
                <w:bCs/>
                <w:color w:val="222222"/>
                <w:sz w:val="19"/>
                <w:szCs w:val="19"/>
              </w:rPr>
              <w:t>US Client</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658E949" w14:textId="77777777" w:rsidR="00F0709D" w:rsidRDefault="004D2338">
            <w:r>
              <w:rPr>
                <w:color w:val="222222"/>
                <w:sz w:val="19"/>
                <w:szCs w:val="19"/>
              </w:rPr>
              <w:t>MidWest Health System   |   Requires HIPAA Security Rule compliance and executed BAA before contract execution</w:t>
            </w:r>
          </w:p>
        </w:tc>
      </w:tr>
      <w:tr w:rsidR="00F0709D" w14:paraId="3CCE3079"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3917718" w14:textId="77777777" w:rsidR="00F0709D" w:rsidRDefault="004D2338">
            <w:r>
              <w:rPr>
                <w:b/>
                <w:bCs/>
                <w:color w:val="222222"/>
                <w:sz w:val="19"/>
                <w:szCs w:val="19"/>
              </w:rPr>
              <w:t>Regulatory Framework</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5E92B247" w14:textId="77777777" w:rsidR="00F0709D" w:rsidRDefault="004D2338">
            <w:r>
              <w:rPr>
                <w:color w:val="222222"/>
                <w:sz w:val="19"/>
                <w:szCs w:val="19"/>
              </w:rPr>
              <w:t>HIPAA Security Rule (45 CFR Part 164, Subpart C)   |   HITECH Act (2009)   |   HHS OCR enforcement guidance</w:t>
            </w:r>
          </w:p>
        </w:tc>
      </w:tr>
      <w:tr w:rsidR="00F0709D" w14:paraId="5CDD89B0"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4D267443" w14:textId="77777777" w:rsidR="00F0709D" w:rsidRDefault="004D2338">
            <w:r>
              <w:rPr>
                <w:b/>
                <w:bCs/>
                <w:color w:val="222222"/>
                <w:sz w:val="19"/>
                <w:szCs w:val="19"/>
              </w:rPr>
              <w:t>Dual Compliance</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5747142B" w14:textId="77777777" w:rsidR="00F0709D" w:rsidRDefault="004D2338">
            <w:r>
              <w:rPr>
                <w:color w:val="222222"/>
                <w:sz w:val="19"/>
                <w:szCs w:val="19"/>
              </w:rPr>
              <w:t>Canadian entity: HIPAA for US clients   |   PIPEDA and Ontario PHIPA for Canadian operations</w:t>
            </w:r>
          </w:p>
        </w:tc>
      </w:tr>
      <w:tr w:rsidR="00F0709D" w14:paraId="06E3194C"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39F81D7F" w14:textId="77777777" w:rsidR="00F0709D" w:rsidRDefault="004D2338">
            <w:r>
              <w:rPr>
                <w:b/>
                <w:bCs/>
                <w:color w:val="222222"/>
                <w:sz w:val="19"/>
                <w:szCs w:val="19"/>
              </w:rPr>
              <w:t>Assessment Type</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E9074F0" w14:textId="77777777" w:rsidR="00F0709D" w:rsidRDefault="004D2338">
            <w:r>
              <w:rPr>
                <w:color w:val="222222"/>
                <w:sz w:val="19"/>
                <w:szCs w:val="19"/>
              </w:rPr>
              <w:t>Internal HIPAA Security Rule Gap Assessment (pre-BAA execution)</w:t>
            </w:r>
          </w:p>
        </w:tc>
      </w:tr>
      <w:tr w:rsidR="00F0709D" w14:paraId="3B5C88C4"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14E20B2" w14:textId="77777777" w:rsidR="00F0709D" w:rsidRDefault="004D2338">
            <w:r>
              <w:rPr>
                <w:b/>
                <w:bCs/>
                <w:color w:val="222222"/>
                <w:sz w:val="19"/>
                <w:szCs w:val="19"/>
              </w:rPr>
              <w:t>Assessment Period</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3D492D52" w14:textId="77777777" w:rsidR="00F0709D" w:rsidRDefault="004D2338">
            <w:r>
              <w:rPr>
                <w:color w:val="222222"/>
                <w:sz w:val="19"/>
                <w:szCs w:val="19"/>
              </w:rPr>
              <w:t>01 May 2026 to 23 May 2026 (15 business days)</w:t>
            </w:r>
          </w:p>
        </w:tc>
      </w:tr>
      <w:tr w:rsidR="00F0709D" w14:paraId="1B573398"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7F7A935" w14:textId="77777777" w:rsidR="00F0709D" w:rsidRDefault="004D2338">
            <w:r>
              <w:rPr>
                <w:b/>
                <w:bCs/>
                <w:color w:val="222222"/>
                <w:sz w:val="19"/>
                <w:szCs w:val="19"/>
              </w:rPr>
              <w:t>BAA Execution Target</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23234693" w14:textId="77777777" w:rsidR="00F0709D" w:rsidRDefault="004D2338">
            <w:r>
              <w:rPr>
                <w:color w:val="222222"/>
                <w:sz w:val="19"/>
                <w:szCs w:val="19"/>
              </w:rPr>
              <w:t>July 31, 2026</w:t>
            </w:r>
          </w:p>
        </w:tc>
      </w:tr>
      <w:tr w:rsidR="00F0709D" w14:paraId="0BE49CFE" w14:textId="77777777">
        <w:tblPrEx>
          <w:tblCellMar>
            <w:top w:w="0" w:type="dxa"/>
            <w:bottom w:w="0" w:type="dxa"/>
          </w:tblCellMar>
        </w:tblPrEx>
        <w:tc>
          <w:tcPr>
            <w:tcW w:w="2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B631EEA" w14:textId="77777777" w:rsidR="00F0709D" w:rsidRDefault="004D2338">
            <w:r>
              <w:rPr>
                <w:b/>
                <w:bCs/>
                <w:color w:val="222222"/>
                <w:sz w:val="19"/>
                <w:szCs w:val="19"/>
              </w:rPr>
              <w:t>Report Date</w:t>
            </w:r>
          </w:p>
        </w:tc>
        <w:tc>
          <w:tcPr>
            <w:tcW w:w="6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24A5E8E7" w14:textId="77777777" w:rsidR="00F0709D" w:rsidRDefault="004D2338">
            <w:r>
              <w:rPr>
                <w:color w:val="222222"/>
                <w:sz w:val="19"/>
                <w:szCs w:val="19"/>
              </w:rPr>
              <w:t>May 25, 2026</w:t>
            </w:r>
          </w:p>
        </w:tc>
      </w:tr>
    </w:tbl>
    <w:p w14:paraId="5C678327" w14:textId="77777777" w:rsidR="00F0709D" w:rsidRDefault="004D2338">
      <w:r>
        <w:br w:type="page"/>
      </w:r>
    </w:p>
    <w:p w14:paraId="0A1F68EE" w14:textId="77777777" w:rsidR="00F0709D" w:rsidRDefault="004D2338">
      <w:pPr>
        <w:pBdr>
          <w:bottom w:val="single" w:sz="10" w:space="3" w:color="1A2E4A"/>
        </w:pBdr>
        <w:spacing w:before="320" w:after="80"/>
      </w:pPr>
      <w:r>
        <w:rPr>
          <w:b/>
          <w:bCs/>
          <w:color w:val="1A2E4A"/>
          <w:sz w:val="26"/>
          <w:szCs w:val="26"/>
        </w:rPr>
        <w:lastRenderedPageBreak/>
        <w:t>1. EXECUTIVE SUMMARY</w:t>
      </w:r>
    </w:p>
    <w:p w14:paraId="72092C4E" w14:textId="77777777" w:rsidR="00F0709D" w:rsidRDefault="004D2338">
      <w:pPr>
        <w:spacing w:before="60" w:after="120"/>
      </w:pPr>
      <w:r>
        <w:rPr>
          <w:color w:val="222222"/>
        </w:rPr>
        <w:t xml:space="preserve">This report documents the findings of an internal HIPAA Security Rule gap assessment conducted at CrossBorder Health Analytics Inc., a Toronto-based health data analytics company that handles electronic protected health information (ePHI) on behalf of US hospital and health plan clients. The assessment was initiated to prepare for executing a Business Associate Agreement (BAA) with CrossBorder's first major US client, MidWest Health System, a 14-hospital network in Illinois, with a target execution date of </w:t>
      </w:r>
      <w:r>
        <w:rPr>
          <w:color w:val="222222"/>
        </w:rPr>
        <w:t>July 31, 2026.</w:t>
      </w:r>
    </w:p>
    <w:p w14:paraId="64F58EDD" w14:textId="77777777" w:rsidR="00F0709D" w:rsidRDefault="004D2338">
      <w:pPr>
        <w:spacing w:before="60" w:after="120"/>
      </w:pPr>
      <w:r>
        <w:rPr>
          <w:color w:val="222222"/>
        </w:rPr>
        <w:t>Twenty-eight controls were assessed across all five HIPAA Security Rule safeguard domains: Administrative (45 CFR §164.308), Physical (45 CFR §164.310), Technical (45 CFR §164.312), Organizational (45 CFR §164.314), and Policies and Documentation (45 CFR §164.316). CrossBorder is not ready for BAA execution in its current state. The most pressing gaps are the absence of an ePHI-scoped risk analysis, no HIPAA breach notification procedure, three subcontractor vendors handling ePHI without executed BAAs, no M</w:t>
      </w:r>
      <w:r>
        <w:rPr>
          <w:color w:val="222222"/>
        </w:rPr>
        <w:t>FA on production server SSH access, and nine developer laptops with ePHI access that are not enrolled in MDM.</w:t>
      </w:r>
    </w:p>
    <w:p w14:paraId="3B76AF18" w14:textId="77777777" w:rsidR="00F0709D" w:rsidRDefault="004D2338">
      <w:pPr>
        <w:pBdr>
          <w:left w:val="single" w:sz="16" w:space="8" w:color="C62828"/>
        </w:pBdr>
        <w:spacing w:before="60" w:after="100"/>
        <w:ind w:left="200"/>
      </w:pPr>
      <w:r>
        <w:rPr>
          <w:b/>
          <w:bCs/>
          <w:color w:val="C62828"/>
          <w:sz w:val="18"/>
          <w:szCs w:val="18"/>
        </w:rPr>
        <w:t>BAA EXECUTION IS CURRENTLY BLOCKED. Fourteen of 17 remediation actions are prerequisites to BAA execution. CrossBorder began receiving ePHI in March 2026 under a pilot agreement. HIPAA obligations are already active. Any breach of those 2.4M patient records from that date onward triggers mandatory HITECH notification requirements, which CrossBorder currently has no procedure to fulfill.</w:t>
      </w:r>
    </w:p>
    <w:p w14:paraId="5327FA65" w14:textId="77777777" w:rsidR="00F0709D" w:rsidRDefault="00F0709D">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5"/>
        <w:gridCol w:w="1458"/>
        <w:gridCol w:w="1459"/>
        <w:gridCol w:w="1459"/>
        <w:gridCol w:w="1459"/>
      </w:tblGrid>
      <w:tr w:rsidR="00F0709D" w14:paraId="71BD5616" w14:textId="77777777">
        <w:tblPrEx>
          <w:tblCellMar>
            <w:top w:w="0" w:type="dxa"/>
            <w:bottom w:w="0" w:type="dxa"/>
          </w:tblCellMar>
        </w:tblPrEx>
        <w:tc>
          <w:tcPr>
            <w:tcW w:w="30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FBDC3E4" w14:textId="77777777" w:rsidR="00F0709D" w:rsidRDefault="004D2338">
            <w:pPr>
              <w:jc w:val="center"/>
            </w:pPr>
            <w:r>
              <w:rPr>
                <w:b/>
                <w:bCs/>
                <w:color w:val="FFFFFF"/>
                <w:sz w:val="18"/>
                <w:szCs w:val="18"/>
              </w:rPr>
              <w:t>Safeguard Domain</w:t>
            </w:r>
          </w:p>
        </w:tc>
        <w:tc>
          <w:tcPr>
            <w:tcW w:w="13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6E10DB71" w14:textId="77777777" w:rsidR="00F0709D" w:rsidRDefault="004D2338">
            <w:pPr>
              <w:jc w:val="center"/>
            </w:pPr>
            <w:r>
              <w:rPr>
                <w:b/>
                <w:bCs/>
                <w:color w:val="FFFFFF"/>
                <w:sz w:val="18"/>
                <w:szCs w:val="18"/>
              </w:rPr>
              <w:t>Controls</w:t>
            </w:r>
          </w:p>
        </w:tc>
        <w:tc>
          <w:tcPr>
            <w:tcW w:w="13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17BF612F" w14:textId="77777777" w:rsidR="00F0709D" w:rsidRDefault="004D2338">
            <w:pPr>
              <w:jc w:val="center"/>
            </w:pPr>
            <w:r>
              <w:rPr>
                <w:b/>
                <w:bCs/>
                <w:color w:val="FFFFFF"/>
                <w:sz w:val="18"/>
                <w:szCs w:val="18"/>
              </w:rPr>
              <w:t>Compliant</w:t>
            </w:r>
          </w:p>
        </w:tc>
        <w:tc>
          <w:tcPr>
            <w:tcW w:w="13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2400078A" w14:textId="77777777" w:rsidR="00F0709D" w:rsidRDefault="004D2338">
            <w:pPr>
              <w:jc w:val="center"/>
            </w:pPr>
            <w:r>
              <w:rPr>
                <w:b/>
                <w:bCs/>
                <w:color w:val="FFFFFF"/>
                <w:sz w:val="18"/>
                <w:szCs w:val="18"/>
              </w:rPr>
              <w:t>Gap or Partial</w:t>
            </w:r>
          </w:p>
        </w:tc>
        <w:tc>
          <w:tcPr>
            <w:tcW w:w="13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02E0D34" w14:textId="77777777" w:rsidR="00F0709D" w:rsidRDefault="004D2338">
            <w:pPr>
              <w:jc w:val="center"/>
            </w:pPr>
            <w:r>
              <w:rPr>
                <w:b/>
                <w:bCs/>
                <w:color w:val="FFFFFF"/>
                <w:sz w:val="18"/>
                <w:szCs w:val="18"/>
              </w:rPr>
              <w:t>Critical Gaps</w:t>
            </w:r>
          </w:p>
        </w:tc>
      </w:tr>
      <w:tr w:rsidR="00F0709D" w14:paraId="4F5B8FC1" w14:textId="77777777">
        <w:tblPrEx>
          <w:tblCellMar>
            <w:top w:w="0" w:type="dxa"/>
            <w:bottom w:w="0" w:type="dxa"/>
          </w:tblCellMar>
        </w:tblPrEx>
        <w:tc>
          <w:tcPr>
            <w:tcW w:w="30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079C6DCD" w14:textId="77777777" w:rsidR="00F0709D" w:rsidRDefault="004D2338">
            <w:r>
              <w:rPr>
                <w:color w:val="222222"/>
                <w:sz w:val="19"/>
                <w:szCs w:val="19"/>
              </w:rPr>
              <w:t>Administrative Safeguards (§164.308)</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172D02DA" w14:textId="77777777" w:rsidR="00F0709D" w:rsidRDefault="004D2338">
            <w:pPr>
              <w:jc w:val="center"/>
            </w:pPr>
            <w:r>
              <w:rPr>
                <w:color w:val="222222"/>
                <w:sz w:val="19"/>
                <w:szCs w:val="19"/>
              </w:rPr>
              <w:t>10</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34D33392" w14:textId="77777777" w:rsidR="00F0709D" w:rsidRDefault="004D2338">
            <w:pPr>
              <w:jc w:val="center"/>
            </w:pPr>
            <w:r>
              <w:rPr>
                <w:color w:val="222222"/>
                <w:sz w:val="19"/>
                <w:szCs w:val="19"/>
              </w:rPr>
              <w:t>3</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256E41BB" w14:textId="77777777" w:rsidR="00F0709D" w:rsidRDefault="004D2338">
            <w:pPr>
              <w:jc w:val="center"/>
            </w:pPr>
            <w:r>
              <w:rPr>
                <w:color w:val="222222"/>
                <w:sz w:val="19"/>
                <w:szCs w:val="19"/>
              </w:rPr>
              <w:t>7</w:t>
            </w:r>
          </w:p>
        </w:tc>
        <w:tc>
          <w:tcPr>
            <w:tcW w:w="13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11DC66AC" w14:textId="77777777" w:rsidR="00F0709D" w:rsidRDefault="004D2338">
            <w:pPr>
              <w:jc w:val="center"/>
            </w:pPr>
            <w:r>
              <w:rPr>
                <w:color w:val="222222"/>
                <w:sz w:val="19"/>
                <w:szCs w:val="19"/>
              </w:rPr>
              <w:t>3</w:t>
            </w:r>
          </w:p>
        </w:tc>
      </w:tr>
      <w:tr w:rsidR="00F0709D" w14:paraId="75773F7B" w14:textId="77777777">
        <w:tblPrEx>
          <w:tblCellMar>
            <w:top w:w="0" w:type="dxa"/>
            <w:bottom w:w="0" w:type="dxa"/>
          </w:tblCellMar>
        </w:tblPrEx>
        <w:tc>
          <w:tcPr>
            <w:tcW w:w="30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6A6AC98" w14:textId="77777777" w:rsidR="00F0709D" w:rsidRDefault="004D2338">
            <w:r>
              <w:rPr>
                <w:color w:val="222222"/>
                <w:sz w:val="19"/>
                <w:szCs w:val="19"/>
              </w:rPr>
              <w:t>Physical Safeguards (§164.310)</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337EFA7" w14:textId="77777777" w:rsidR="00F0709D" w:rsidRDefault="004D2338">
            <w:pPr>
              <w:jc w:val="center"/>
            </w:pPr>
            <w:r>
              <w:rPr>
                <w:color w:val="222222"/>
                <w:sz w:val="19"/>
                <w:szCs w:val="19"/>
              </w:rPr>
              <w:t>6</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53F1A87E" w14:textId="77777777" w:rsidR="00F0709D" w:rsidRDefault="004D2338">
            <w:pPr>
              <w:jc w:val="center"/>
            </w:pPr>
            <w:r>
              <w:rPr>
                <w:color w:val="222222"/>
                <w:sz w:val="19"/>
                <w:szCs w:val="19"/>
              </w:rPr>
              <w:t>3</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8D9C6E8" w14:textId="77777777" w:rsidR="00F0709D" w:rsidRDefault="004D2338">
            <w:pPr>
              <w:jc w:val="center"/>
            </w:pPr>
            <w:r>
              <w:rPr>
                <w:color w:val="222222"/>
                <w:sz w:val="19"/>
                <w:szCs w:val="19"/>
              </w:rPr>
              <w:t>3</w:t>
            </w:r>
          </w:p>
        </w:tc>
        <w:tc>
          <w:tcPr>
            <w:tcW w:w="13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55B0AA04" w14:textId="77777777" w:rsidR="00F0709D" w:rsidRDefault="004D2338">
            <w:pPr>
              <w:jc w:val="center"/>
            </w:pPr>
            <w:r>
              <w:rPr>
                <w:color w:val="222222"/>
                <w:sz w:val="19"/>
                <w:szCs w:val="19"/>
              </w:rPr>
              <w:t>1</w:t>
            </w:r>
          </w:p>
        </w:tc>
      </w:tr>
      <w:tr w:rsidR="00F0709D" w14:paraId="67550042" w14:textId="77777777">
        <w:tblPrEx>
          <w:tblCellMar>
            <w:top w:w="0" w:type="dxa"/>
            <w:bottom w:w="0" w:type="dxa"/>
          </w:tblCellMar>
        </w:tblPrEx>
        <w:tc>
          <w:tcPr>
            <w:tcW w:w="30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ACB3E54" w14:textId="77777777" w:rsidR="00F0709D" w:rsidRDefault="004D2338">
            <w:r>
              <w:rPr>
                <w:color w:val="222222"/>
                <w:sz w:val="19"/>
                <w:szCs w:val="19"/>
              </w:rPr>
              <w:t>Technical Safeguards (§164.312)</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6223050A" w14:textId="77777777" w:rsidR="00F0709D" w:rsidRDefault="004D2338">
            <w:pPr>
              <w:jc w:val="center"/>
            </w:pPr>
            <w:r>
              <w:rPr>
                <w:color w:val="222222"/>
                <w:sz w:val="19"/>
                <w:szCs w:val="19"/>
              </w:rPr>
              <w:t>9</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4853974" w14:textId="77777777" w:rsidR="00F0709D" w:rsidRDefault="004D2338">
            <w:pPr>
              <w:jc w:val="center"/>
            </w:pPr>
            <w:r>
              <w:rPr>
                <w:color w:val="222222"/>
                <w:sz w:val="19"/>
                <w:szCs w:val="19"/>
              </w:rPr>
              <w:t>3</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35FA1BC4" w14:textId="77777777" w:rsidR="00F0709D" w:rsidRDefault="004D2338">
            <w:pPr>
              <w:jc w:val="center"/>
            </w:pPr>
            <w:r>
              <w:rPr>
                <w:color w:val="222222"/>
                <w:sz w:val="19"/>
                <w:szCs w:val="19"/>
              </w:rPr>
              <w:t>6</w:t>
            </w:r>
          </w:p>
        </w:tc>
        <w:tc>
          <w:tcPr>
            <w:tcW w:w="13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5707F529" w14:textId="77777777" w:rsidR="00F0709D" w:rsidRDefault="004D2338">
            <w:pPr>
              <w:jc w:val="center"/>
            </w:pPr>
            <w:r>
              <w:rPr>
                <w:color w:val="222222"/>
                <w:sz w:val="19"/>
                <w:szCs w:val="19"/>
              </w:rPr>
              <w:t>2</w:t>
            </w:r>
          </w:p>
        </w:tc>
      </w:tr>
      <w:tr w:rsidR="00F0709D" w14:paraId="5D2BC26D" w14:textId="77777777">
        <w:tblPrEx>
          <w:tblCellMar>
            <w:top w:w="0" w:type="dxa"/>
            <w:bottom w:w="0" w:type="dxa"/>
          </w:tblCellMar>
        </w:tblPrEx>
        <w:tc>
          <w:tcPr>
            <w:tcW w:w="30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2F7C010" w14:textId="77777777" w:rsidR="00F0709D" w:rsidRDefault="004D2338">
            <w:r>
              <w:rPr>
                <w:color w:val="222222"/>
                <w:sz w:val="19"/>
                <w:szCs w:val="19"/>
              </w:rPr>
              <w:t>Organizational Requirements (§164.314)</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359008B8" w14:textId="77777777" w:rsidR="00F0709D" w:rsidRDefault="004D2338">
            <w:pPr>
              <w:jc w:val="center"/>
            </w:pPr>
            <w:r>
              <w:rPr>
                <w:color w:val="222222"/>
                <w:sz w:val="19"/>
                <w:szCs w:val="19"/>
              </w:rPr>
              <w:t>3</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1AB4BB0" w14:textId="77777777" w:rsidR="00F0709D" w:rsidRDefault="004D2338">
            <w:pPr>
              <w:jc w:val="center"/>
            </w:pPr>
            <w:r>
              <w:rPr>
                <w:color w:val="222222"/>
                <w:sz w:val="19"/>
                <w:szCs w:val="19"/>
              </w:rPr>
              <w:t>1</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53839EC4" w14:textId="77777777" w:rsidR="00F0709D" w:rsidRDefault="004D2338">
            <w:pPr>
              <w:jc w:val="center"/>
            </w:pPr>
            <w:r>
              <w:rPr>
                <w:color w:val="222222"/>
                <w:sz w:val="19"/>
                <w:szCs w:val="19"/>
              </w:rPr>
              <w:t>2</w:t>
            </w:r>
          </w:p>
        </w:tc>
        <w:tc>
          <w:tcPr>
            <w:tcW w:w="13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7B6E9A8B" w14:textId="77777777" w:rsidR="00F0709D" w:rsidRDefault="004D2338">
            <w:pPr>
              <w:jc w:val="center"/>
            </w:pPr>
            <w:r>
              <w:rPr>
                <w:color w:val="222222"/>
                <w:sz w:val="19"/>
                <w:szCs w:val="19"/>
              </w:rPr>
              <w:t>2</w:t>
            </w:r>
          </w:p>
        </w:tc>
      </w:tr>
      <w:tr w:rsidR="00F0709D" w14:paraId="5396A708" w14:textId="77777777">
        <w:tblPrEx>
          <w:tblCellMar>
            <w:top w:w="0" w:type="dxa"/>
            <w:bottom w:w="0" w:type="dxa"/>
          </w:tblCellMar>
        </w:tblPrEx>
        <w:tc>
          <w:tcPr>
            <w:tcW w:w="30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2CEBA38" w14:textId="77777777" w:rsidR="00F0709D" w:rsidRDefault="004D2338">
            <w:r>
              <w:rPr>
                <w:color w:val="222222"/>
                <w:sz w:val="19"/>
                <w:szCs w:val="19"/>
              </w:rPr>
              <w:t>Policies and Documentation (§164.316)</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FCAE263" w14:textId="77777777" w:rsidR="00F0709D" w:rsidRDefault="004D2338">
            <w:pPr>
              <w:jc w:val="center"/>
            </w:pPr>
            <w:r>
              <w:rPr>
                <w:color w:val="222222"/>
                <w:sz w:val="19"/>
                <w:szCs w:val="19"/>
              </w:rPr>
              <w:t>4</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255BED79" w14:textId="77777777" w:rsidR="00F0709D" w:rsidRDefault="004D2338">
            <w:pPr>
              <w:jc w:val="center"/>
            </w:pPr>
            <w:r>
              <w:rPr>
                <w:color w:val="222222"/>
                <w:sz w:val="19"/>
                <w:szCs w:val="19"/>
              </w:rPr>
              <w:t>0</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52B1F806" w14:textId="77777777" w:rsidR="00F0709D" w:rsidRDefault="004D2338">
            <w:pPr>
              <w:jc w:val="center"/>
            </w:pPr>
            <w:r>
              <w:rPr>
                <w:color w:val="222222"/>
                <w:sz w:val="19"/>
                <w:szCs w:val="19"/>
              </w:rPr>
              <w:t>4</w:t>
            </w:r>
          </w:p>
        </w:tc>
        <w:tc>
          <w:tcPr>
            <w:tcW w:w="13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1084D972" w14:textId="77777777" w:rsidR="00F0709D" w:rsidRDefault="004D2338">
            <w:pPr>
              <w:jc w:val="center"/>
            </w:pPr>
            <w:r>
              <w:rPr>
                <w:color w:val="222222"/>
                <w:sz w:val="19"/>
                <w:szCs w:val="19"/>
              </w:rPr>
              <w:t>0</w:t>
            </w:r>
          </w:p>
        </w:tc>
      </w:tr>
      <w:tr w:rsidR="00F0709D" w14:paraId="71B61A22" w14:textId="77777777">
        <w:tblPrEx>
          <w:tblCellMar>
            <w:top w:w="0" w:type="dxa"/>
            <w:bottom w:w="0" w:type="dxa"/>
          </w:tblCellMar>
        </w:tblPrEx>
        <w:tc>
          <w:tcPr>
            <w:tcW w:w="3000" w:type="dxa"/>
            <w:tcBorders>
              <w:top w:val="single" w:sz="4" w:space="0" w:color="B0C4D8"/>
              <w:left w:val="single" w:sz="4" w:space="0" w:color="B0C4D8"/>
              <w:bottom w:val="single" w:sz="4" w:space="0" w:color="B0C4D8"/>
              <w:right w:val="single" w:sz="4" w:space="0" w:color="B0C4D8"/>
            </w:tcBorders>
            <w:shd w:val="clear" w:color="auto" w:fill="1A2E4A"/>
            <w:tcMar>
              <w:top w:w="60" w:type="dxa"/>
              <w:left w:w="100" w:type="dxa"/>
              <w:bottom w:w="60" w:type="dxa"/>
              <w:right w:w="100" w:type="dxa"/>
            </w:tcMar>
            <w:vAlign w:val="center"/>
          </w:tcPr>
          <w:p w14:paraId="5592B5B9" w14:textId="77777777" w:rsidR="00F0709D" w:rsidRDefault="004D2338">
            <w:r>
              <w:rPr>
                <w:b/>
                <w:bCs/>
                <w:color w:val="222222"/>
                <w:sz w:val="19"/>
                <w:szCs w:val="19"/>
              </w:rPr>
              <w:t>TOTALS</w:t>
            </w:r>
          </w:p>
        </w:tc>
        <w:tc>
          <w:tcPr>
            <w:tcW w:w="1300" w:type="dxa"/>
            <w:tcBorders>
              <w:top w:val="single" w:sz="4" w:space="0" w:color="B0C4D8"/>
              <w:left w:val="single" w:sz="4" w:space="0" w:color="B0C4D8"/>
              <w:bottom w:val="single" w:sz="4" w:space="0" w:color="B0C4D8"/>
              <w:right w:val="single" w:sz="4" w:space="0" w:color="B0C4D8"/>
            </w:tcBorders>
            <w:shd w:val="clear" w:color="auto" w:fill="1A2E4A"/>
            <w:tcMar>
              <w:top w:w="60" w:type="dxa"/>
              <w:left w:w="100" w:type="dxa"/>
              <w:bottom w:w="60" w:type="dxa"/>
              <w:right w:w="100" w:type="dxa"/>
            </w:tcMar>
            <w:vAlign w:val="center"/>
          </w:tcPr>
          <w:p w14:paraId="78524F8C" w14:textId="77777777" w:rsidR="00F0709D" w:rsidRDefault="004D2338">
            <w:pPr>
              <w:jc w:val="center"/>
            </w:pPr>
            <w:r>
              <w:rPr>
                <w:b/>
                <w:bCs/>
                <w:color w:val="222222"/>
                <w:sz w:val="19"/>
                <w:szCs w:val="19"/>
              </w:rPr>
              <w:t>32</w:t>
            </w:r>
          </w:p>
        </w:tc>
        <w:tc>
          <w:tcPr>
            <w:tcW w:w="1300" w:type="dxa"/>
            <w:tcBorders>
              <w:top w:val="single" w:sz="4" w:space="0" w:color="B0C4D8"/>
              <w:left w:val="single" w:sz="4" w:space="0" w:color="B0C4D8"/>
              <w:bottom w:val="single" w:sz="4" w:space="0" w:color="B0C4D8"/>
              <w:right w:val="single" w:sz="4" w:space="0" w:color="B0C4D8"/>
            </w:tcBorders>
            <w:shd w:val="clear" w:color="auto" w:fill="1A2E4A"/>
            <w:tcMar>
              <w:top w:w="60" w:type="dxa"/>
              <w:left w:w="100" w:type="dxa"/>
              <w:bottom w:w="60" w:type="dxa"/>
              <w:right w:w="100" w:type="dxa"/>
            </w:tcMar>
            <w:vAlign w:val="center"/>
          </w:tcPr>
          <w:p w14:paraId="08C2A9CB" w14:textId="77777777" w:rsidR="00F0709D" w:rsidRDefault="004D2338">
            <w:pPr>
              <w:jc w:val="center"/>
            </w:pPr>
            <w:r>
              <w:rPr>
                <w:b/>
                <w:bCs/>
                <w:color w:val="222222"/>
                <w:sz w:val="19"/>
                <w:szCs w:val="19"/>
              </w:rPr>
              <w:t>10</w:t>
            </w:r>
          </w:p>
        </w:tc>
        <w:tc>
          <w:tcPr>
            <w:tcW w:w="1300" w:type="dxa"/>
            <w:tcBorders>
              <w:top w:val="single" w:sz="4" w:space="0" w:color="B0C4D8"/>
              <w:left w:val="single" w:sz="4" w:space="0" w:color="B0C4D8"/>
              <w:bottom w:val="single" w:sz="4" w:space="0" w:color="B0C4D8"/>
              <w:right w:val="single" w:sz="4" w:space="0" w:color="B0C4D8"/>
            </w:tcBorders>
            <w:shd w:val="clear" w:color="auto" w:fill="1A2E4A"/>
            <w:tcMar>
              <w:top w:w="60" w:type="dxa"/>
              <w:left w:w="100" w:type="dxa"/>
              <w:bottom w:w="60" w:type="dxa"/>
              <w:right w:w="100" w:type="dxa"/>
            </w:tcMar>
            <w:vAlign w:val="center"/>
          </w:tcPr>
          <w:p w14:paraId="2EF89502" w14:textId="77777777" w:rsidR="00F0709D" w:rsidRDefault="004D2338">
            <w:pPr>
              <w:jc w:val="center"/>
            </w:pPr>
            <w:r>
              <w:rPr>
                <w:b/>
                <w:bCs/>
                <w:color w:val="222222"/>
                <w:sz w:val="19"/>
                <w:szCs w:val="19"/>
              </w:rPr>
              <w:t>22</w:t>
            </w:r>
          </w:p>
        </w:tc>
        <w:tc>
          <w:tcPr>
            <w:tcW w:w="1300" w:type="dxa"/>
            <w:tcBorders>
              <w:top w:val="single" w:sz="4" w:space="0" w:color="B0C4D8"/>
              <w:left w:val="single" w:sz="4" w:space="0" w:color="B0C4D8"/>
              <w:bottom w:val="single" w:sz="4" w:space="0" w:color="B0C4D8"/>
              <w:right w:val="single" w:sz="4" w:space="0" w:color="B0C4D8"/>
            </w:tcBorders>
            <w:shd w:val="clear" w:color="auto" w:fill="1A2E4A"/>
            <w:tcMar>
              <w:top w:w="60" w:type="dxa"/>
              <w:left w:w="100" w:type="dxa"/>
              <w:bottom w:w="60" w:type="dxa"/>
              <w:right w:w="100" w:type="dxa"/>
            </w:tcMar>
            <w:vAlign w:val="center"/>
          </w:tcPr>
          <w:p w14:paraId="1179336A" w14:textId="77777777" w:rsidR="00F0709D" w:rsidRDefault="004D2338">
            <w:pPr>
              <w:jc w:val="center"/>
            </w:pPr>
            <w:r>
              <w:rPr>
                <w:b/>
                <w:bCs/>
                <w:color w:val="222222"/>
                <w:sz w:val="19"/>
                <w:szCs w:val="19"/>
              </w:rPr>
              <w:t>8</w:t>
            </w:r>
          </w:p>
        </w:tc>
      </w:tr>
    </w:tbl>
    <w:p w14:paraId="72158621" w14:textId="77777777" w:rsidR="00F0709D" w:rsidRDefault="00F0709D">
      <w:pPr>
        <w:spacing w:before="80"/>
      </w:pPr>
    </w:p>
    <w:p w14:paraId="3EC7A2E3" w14:textId="77777777" w:rsidR="00F0709D" w:rsidRDefault="004D2338">
      <w:pPr>
        <w:pBdr>
          <w:left w:val="single" w:sz="12" w:space="8" w:color="243D60"/>
        </w:pBdr>
        <w:spacing w:before="60" w:after="100"/>
        <w:ind w:left="200"/>
      </w:pPr>
      <w:r>
        <w:rPr>
          <w:i/>
          <w:iCs/>
          <w:color w:val="243D60"/>
          <w:sz w:val="18"/>
          <w:szCs w:val="18"/>
        </w:rPr>
        <w:t>Auditor's note: CrossBorder received US ePHI in March 2026 without first completing a HIPAA Security Rule assessment. This pattern is common among Canadian health tech companies entering the US market. HIPAA obligations attach the moment ePHI is received, not when a BAA is signed. The findings here are not pre-contract preparation items. They are active compliance gaps.</w:t>
      </w:r>
    </w:p>
    <w:p w14:paraId="0BC0C4E5" w14:textId="77777777" w:rsidR="00F0709D" w:rsidRDefault="004D2338">
      <w:r>
        <w:br w:type="page"/>
      </w:r>
    </w:p>
    <w:p w14:paraId="7D4E4447" w14:textId="77777777" w:rsidR="00F0709D" w:rsidRDefault="004D2338">
      <w:pPr>
        <w:pBdr>
          <w:bottom w:val="single" w:sz="10" w:space="3" w:color="1A2E4A"/>
        </w:pBdr>
        <w:spacing w:before="320" w:after="80"/>
      </w:pPr>
      <w:r>
        <w:rPr>
          <w:b/>
          <w:bCs/>
          <w:color w:val="1A2E4A"/>
          <w:sz w:val="26"/>
          <w:szCs w:val="26"/>
        </w:rPr>
        <w:lastRenderedPageBreak/>
        <w:t>2. HIPAA BUSINESS ASSOCIATE OBLIGATIONS   |   CANADIAN COMPANY CONTEXT</w:t>
      </w:r>
    </w:p>
    <w:p w14:paraId="3E9E55BF" w14:textId="77777777" w:rsidR="00F0709D" w:rsidRDefault="004D2338">
      <w:pPr>
        <w:spacing w:before="220" w:after="60"/>
      </w:pPr>
      <w:r>
        <w:rPr>
          <w:b/>
          <w:bCs/>
          <w:color w:val="1A2E4A"/>
          <w:sz w:val="22"/>
          <w:szCs w:val="22"/>
        </w:rPr>
        <w:t>2.1 How HIPAA Applies to a Canadian Entity</w:t>
      </w:r>
    </w:p>
    <w:p w14:paraId="5B4C6743" w14:textId="77777777" w:rsidR="00F0709D" w:rsidRDefault="004D2338">
      <w:pPr>
        <w:spacing w:before="60" w:after="120"/>
      </w:pPr>
      <w:r>
        <w:rPr>
          <w:color w:val="222222"/>
        </w:rPr>
        <w:t>Canadian health technology companies often assume HIPAA applies only to US-incorporated organizations. It does not. HIPAA obligations follow the ePHI, not the corporate address. Any entity that creates, receives, maintains, or transmits ePHI on behalf of a US covered entity is a Business Associate under 45 CFR §164.103, regardless of where it is incorporated. CrossBorder receives US patient data from MidWest Health System and processes it on MidWest's behalf. That makes CrossBorder a Business Associate subj</w:t>
      </w:r>
      <w:r>
        <w:rPr>
          <w:color w:val="222222"/>
        </w:rPr>
        <w:t>ect to the full HIPAA Security Rule.</w:t>
      </w:r>
    </w:p>
    <w:p w14:paraId="1D225E3E" w14:textId="77777777" w:rsidR="00F0709D" w:rsidRDefault="004D2338">
      <w:pPr>
        <w:spacing w:before="60" w:after="120"/>
      </w:pPr>
      <w:r>
        <w:rPr>
          <w:color w:val="222222"/>
        </w:rPr>
        <w:t>The practical consequence is a dual compliance obligation. CrossBorder must meet HIPAA Security Rule requirements for its US ePHI, and PIPEDA and Ontario PHIPA requirements for its Canadian health data operations. These frameworks overlap more than most practitioners expect. A strong HIPAA compliance program also advances ISO 27001, SOC 2, and Canadian health privacy compliance at the same time.</w:t>
      </w:r>
    </w:p>
    <w:p w14:paraId="4A862F63" w14:textId="77777777" w:rsidR="00F0709D" w:rsidRDefault="00F0709D">
      <w:pPr>
        <w:spacing w:before="60"/>
      </w:pPr>
    </w:p>
    <w:p w14:paraId="18D4D204" w14:textId="77777777" w:rsidR="00F0709D" w:rsidRDefault="004D2338">
      <w:pPr>
        <w:spacing w:before="220" w:after="60"/>
      </w:pPr>
      <w:r>
        <w:rPr>
          <w:b/>
          <w:bCs/>
          <w:color w:val="1A2E4A"/>
          <w:sz w:val="22"/>
          <w:szCs w:val="22"/>
        </w:rPr>
        <w:t>2.2 Key HIPAA Security Rule Concepts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400"/>
      </w:tblGrid>
      <w:tr w:rsidR="00F0709D" w14:paraId="52B302C8" w14:textId="77777777">
        <w:tblPrEx>
          <w:tblCellMar>
            <w:top w:w="0" w:type="dxa"/>
            <w:bottom w:w="0" w:type="dxa"/>
          </w:tblCellMar>
        </w:tblPrEx>
        <w:tc>
          <w:tcPr>
            <w:tcW w:w="24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789B041" w14:textId="77777777" w:rsidR="00F0709D" w:rsidRDefault="004D2338">
            <w:pPr>
              <w:jc w:val="center"/>
            </w:pPr>
            <w:r>
              <w:rPr>
                <w:b/>
                <w:bCs/>
                <w:color w:val="FFFFFF"/>
                <w:sz w:val="18"/>
                <w:szCs w:val="18"/>
              </w:rPr>
              <w:t>Concept</w:t>
            </w:r>
          </w:p>
        </w:tc>
        <w:tc>
          <w:tcPr>
            <w:tcW w:w="34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83B8E6C" w14:textId="77777777" w:rsidR="00F0709D" w:rsidRDefault="004D2338">
            <w:pPr>
              <w:jc w:val="center"/>
            </w:pPr>
            <w:r>
              <w:rPr>
                <w:b/>
                <w:bCs/>
                <w:color w:val="FFFFFF"/>
                <w:sz w:val="18"/>
                <w:szCs w:val="18"/>
              </w:rPr>
              <w:t>HIPAA Requirement</w:t>
            </w:r>
          </w:p>
        </w:tc>
        <w:tc>
          <w:tcPr>
            <w:tcW w:w="34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5FD392C9" w14:textId="77777777" w:rsidR="00F0709D" w:rsidRDefault="004D2338">
            <w:pPr>
              <w:jc w:val="center"/>
            </w:pPr>
            <w:r>
              <w:rPr>
                <w:b/>
                <w:bCs/>
                <w:color w:val="FFFFFF"/>
                <w:sz w:val="18"/>
                <w:szCs w:val="18"/>
              </w:rPr>
              <w:t>CrossBorder Current State</w:t>
            </w:r>
          </w:p>
        </w:tc>
      </w:tr>
      <w:tr w:rsidR="00F0709D" w14:paraId="0D7F5104"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387EA3B9" w14:textId="77777777" w:rsidR="00F0709D" w:rsidRDefault="004D2338">
            <w:r>
              <w:rPr>
                <w:b/>
                <w:bCs/>
                <w:color w:val="222222"/>
                <w:sz w:val="19"/>
                <w:szCs w:val="19"/>
              </w:rPr>
              <w:t>Required vs Addressable</w:t>
            </w:r>
          </w:p>
        </w:tc>
        <w:tc>
          <w:tcPr>
            <w:tcW w:w="3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D5BCDB7" w14:textId="77777777" w:rsidR="00F0709D" w:rsidRDefault="004D2338">
            <w:r>
              <w:rPr>
                <w:color w:val="222222"/>
                <w:sz w:val="19"/>
                <w:szCs w:val="19"/>
              </w:rPr>
              <w:t>Required: must implement. Addressable: must implement or document an equivalent alternative with written justification.</w:t>
            </w:r>
          </w:p>
        </w:tc>
        <w:tc>
          <w:tcPr>
            <w:tcW w:w="3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5EFD9B1" w14:textId="77777777" w:rsidR="00F0709D" w:rsidRDefault="004D2338">
            <w:r>
              <w:rPr>
                <w:color w:val="222222"/>
                <w:sz w:val="19"/>
                <w:szCs w:val="19"/>
              </w:rPr>
              <w:t>CrossBorder has not implemented several Required specifications. These cannot be replaced with alternatives.</w:t>
            </w:r>
          </w:p>
        </w:tc>
      </w:tr>
      <w:tr w:rsidR="00F0709D" w14:paraId="0F1572A3"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6853C7B7" w14:textId="77777777" w:rsidR="00F0709D" w:rsidRDefault="004D2338">
            <w:r>
              <w:rPr>
                <w:b/>
                <w:bCs/>
                <w:color w:val="222222"/>
                <w:sz w:val="19"/>
                <w:szCs w:val="19"/>
              </w:rPr>
              <w:t>ePHI Scope</w:t>
            </w:r>
          </w:p>
        </w:tc>
        <w:tc>
          <w:tcPr>
            <w:tcW w:w="3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1219956" w14:textId="77777777" w:rsidR="00F0709D" w:rsidRDefault="004D2338">
            <w:r>
              <w:rPr>
                <w:color w:val="222222"/>
                <w:sz w:val="19"/>
                <w:szCs w:val="19"/>
              </w:rPr>
              <w:t>All individually identifiable health information in electronic form, including claims, lab results, diagnoses, and medications.</w:t>
            </w:r>
          </w:p>
        </w:tc>
        <w:tc>
          <w:tcPr>
            <w:tcW w:w="3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31045AA0" w14:textId="77777777" w:rsidR="00F0709D" w:rsidRDefault="004D2338">
            <w:r>
              <w:rPr>
                <w:color w:val="222222"/>
                <w:sz w:val="19"/>
                <w:szCs w:val="19"/>
              </w:rPr>
              <w:t>2.4M patient records in CrossBorder systems since March 2026. Full Security Rule applies.</w:t>
            </w:r>
          </w:p>
        </w:tc>
      </w:tr>
      <w:tr w:rsidR="00F0709D" w14:paraId="4E140126"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44DB87C5" w14:textId="77777777" w:rsidR="00F0709D" w:rsidRDefault="004D2338">
            <w:r>
              <w:rPr>
                <w:b/>
                <w:bCs/>
                <w:color w:val="222222"/>
                <w:sz w:val="19"/>
                <w:szCs w:val="19"/>
              </w:rPr>
              <w:t>Risk Analysis (Required)</w:t>
            </w:r>
          </w:p>
        </w:tc>
        <w:tc>
          <w:tcPr>
            <w:tcW w:w="3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34F45F04" w14:textId="77777777" w:rsidR="00F0709D" w:rsidRDefault="004D2338">
            <w:r>
              <w:rPr>
                <w:color w:val="222222"/>
                <w:sz w:val="19"/>
                <w:szCs w:val="19"/>
              </w:rPr>
              <w:t>Annual ePHI-specific analysis documenting threats, vulnerabilities, likelihood, and impact.</w:t>
            </w:r>
          </w:p>
        </w:tc>
        <w:tc>
          <w:tcPr>
            <w:tcW w:w="3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DEDFD1D" w14:textId="77777777" w:rsidR="00F0709D" w:rsidRDefault="004D2338">
            <w:r>
              <w:rPr>
                <w:color w:val="222222"/>
                <w:sz w:val="19"/>
                <w:szCs w:val="19"/>
              </w:rPr>
              <w:t>The October 2025 risk analysis did not cover ePHI. A new ePHI-scoped analysis is required before BAA execution.</w:t>
            </w:r>
          </w:p>
        </w:tc>
      </w:tr>
      <w:tr w:rsidR="00F0709D" w14:paraId="01DEB4CD"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07CF0CF" w14:textId="77777777" w:rsidR="00F0709D" w:rsidRDefault="004D2338">
            <w:r>
              <w:rPr>
                <w:b/>
                <w:bCs/>
                <w:color w:val="222222"/>
                <w:sz w:val="19"/>
                <w:szCs w:val="19"/>
              </w:rPr>
              <w:t>Breach Notification (HITECH §13402)</w:t>
            </w:r>
          </w:p>
        </w:tc>
        <w:tc>
          <w:tcPr>
            <w:tcW w:w="3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42F2585" w14:textId="77777777" w:rsidR="00F0709D" w:rsidRDefault="004D2338">
            <w:r>
              <w:rPr>
                <w:color w:val="222222"/>
                <w:sz w:val="19"/>
                <w:szCs w:val="19"/>
              </w:rPr>
              <w:t>BA must notify the covered entity of any breach within 60 days of discovery.</w:t>
            </w:r>
          </w:p>
        </w:tc>
        <w:tc>
          <w:tcPr>
            <w:tcW w:w="3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1FBF1D96" w14:textId="77777777" w:rsidR="00F0709D" w:rsidRDefault="004D2338">
            <w:r>
              <w:rPr>
                <w:color w:val="222222"/>
                <w:sz w:val="19"/>
                <w:szCs w:val="19"/>
              </w:rPr>
              <w:t>No HIPAA breach notification procedure exists. This is a critical gap with ePHI already in CrossBorder systems.</w:t>
            </w:r>
          </w:p>
        </w:tc>
      </w:tr>
      <w:tr w:rsidR="00F0709D" w14:paraId="20FF89C4"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7CABD84" w14:textId="77777777" w:rsidR="00F0709D" w:rsidRDefault="004D2338">
            <w:r>
              <w:rPr>
                <w:b/>
                <w:bCs/>
                <w:color w:val="222222"/>
                <w:sz w:val="19"/>
                <w:szCs w:val="19"/>
              </w:rPr>
              <w:t>Subcontractor BA Chain</w:t>
            </w:r>
          </w:p>
        </w:tc>
        <w:tc>
          <w:tcPr>
            <w:tcW w:w="3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7D54EC5" w14:textId="77777777" w:rsidR="00F0709D" w:rsidRDefault="004D2338">
            <w:r>
              <w:rPr>
                <w:color w:val="222222"/>
                <w:sz w:val="19"/>
                <w:szCs w:val="19"/>
              </w:rPr>
              <w:t>BA must obtain BAAs from all subcontractors who handle ePHI.</w:t>
            </w:r>
          </w:p>
        </w:tc>
        <w:tc>
          <w:tcPr>
            <w:tcW w:w="3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D3B8F90" w14:textId="77777777" w:rsidR="00F0709D" w:rsidRDefault="004D2338">
            <w:r>
              <w:rPr>
                <w:color w:val="222222"/>
                <w:sz w:val="19"/>
                <w:szCs w:val="19"/>
              </w:rPr>
              <w:t>Snowflake, Databricks, and CloudLink process CrossBorder ePHI without BAAs.</w:t>
            </w:r>
          </w:p>
        </w:tc>
      </w:tr>
      <w:tr w:rsidR="00F0709D" w14:paraId="3D1D9ABD"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654E0D3" w14:textId="77777777" w:rsidR="00F0709D" w:rsidRDefault="004D2338">
            <w:r>
              <w:rPr>
                <w:b/>
                <w:bCs/>
                <w:color w:val="222222"/>
                <w:sz w:val="19"/>
                <w:szCs w:val="19"/>
              </w:rPr>
              <w:t>Minimum Necessary Standard</w:t>
            </w:r>
          </w:p>
        </w:tc>
        <w:tc>
          <w:tcPr>
            <w:tcW w:w="3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141B01C" w14:textId="77777777" w:rsidR="00F0709D" w:rsidRDefault="004D2338">
            <w:r>
              <w:rPr>
                <w:color w:val="222222"/>
                <w:sz w:val="19"/>
                <w:szCs w:val="19"/>
              </w:rPr>
              <w:t>Access to ePHI must be limited to what each person needs to do their job.</w:t>
            </w:r>
          </w:p>
        </w:tc>
        <w:tc>
          <w:tcPr>
            <w:tcW w:w="34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500DD127" w14:textId="77777777" w:rsidR="00F0709D" w:rsidRDefault="004D2338">
            <w:r>
              <w:rPr>
                <w:color w:val="222222"/>
                <w:sz w:val="19"/>
                <w:szCs w:val="19"/>
              </w:rPr>
              <w:t>Four staff members with no ePHI business need hold the analytics-prod-read IAM role.</w:t>
            </w:r>
          </w:p>
        </w:tc>
      </w:tr>
      <w:tr w:rsidR="00F0709D" w14:paraId="0088E853"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33C6143C" w14:textId="77777777" w:rsidR="00F0709D" w:rsidRDefault="004D2338">
            <w:r>
              <w:rPr>
                <w:b/>
                <w:bCs/>
                <w:color w:val="222222"/>
                <w:sz w:val="19"/>
                <w:szCs w:val="19"/>
              </w:rPr>
              <w:t>Documentation Retention</w:t>
            </w:r>
          </w:p>
        </w:tc>
        <w:tc>
          <w:tcPr>
            <w:tcW w:w="3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10317E4" w14:textId="77777777" w:rsidR="00F0709D" w:rsidRDefault="004D2338">
            <w:r>
              <w:rPr>
                <w:color w:val="222222"/>
                <w:sz w:val="19"/>
                <w:szCs w:val="19"/>
              </w:rPr>
              <w:t>All HIPAA Security Rule documentation must be retained for at least 6 years.</w:t>
            </w:r>
          </w:p>
        </w:tc>
        <w:tc>
          <w:tcPr>
            <w:tcW w:w="3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EB85459" w14:textId="77777777" w:rsidR="00F0709D" w:rsidRDefault="004D2338">
            <w:r>
              <w:rPr>
                <w:color w:val="222222"/>
                <w:sz w:val="19"/>
                <w:szCs w:val="19"/>
              </w:rPr>
              <w:t>The general 7-year retention policy covers the duration, but HIPAA documents are not identified as a distinct retention category.</w:t>
            </w:r>
          </w:p>
        </w:tc>
      </w:tr>
    </w:tbl>
    <w:p w14:paraId="1F4573B9" w14:textId="77777777" w:rsidR="00F0709D" w:rsidRDefault="004D2338">
      <w:r>
        <w:br w:type="page"/>
      </w:r>
    </w:p>
    <w:p w14:paraId="46754332" w14:textId="77777777" w:rsidR="00F0709D" w:rsidRDefault="004D2338">
      <w:pPr>
        <w:pBdr>
          <w:bottom w:val="single" w:sz="10" w:space="3" w:color="1A2E4A"/>
        </w:pBdr>
        <w:spacing w:before="320" w:after="80"/>
      </w:pPr>
      <w:r>
        <w:rPr>
          <w:b/>
          <w:bCs/>
          <w:color w:val="1A2E4A"/>
          <w:sz w:val="26"/>
          <w:szCs w:val="26"/>
        </w:rPr>
        <w:t>3. CRITICAL FINDINGS</w:t>
      </w:r>
    </w:p>
    <w:p w14:paraId="1B9FA2FB" w14:textId="77777777" w:rsidR="00F0709D" w:rsidRDefault="004D2338">
      <w:pPr>
        <w:spacing w:before="220" w:after="60"/>
      </w:pPr>
      <w:r>
        <w:rPr>
          <w:b/>
          <w:bCs/>
          <w:color w:val="1A2E4A"/>
          <w:sz w:val="22"/>
          <w:szCs w:val="22"/>
        </w:rPr>
        <w:t>Finding 3.1   |   No ePHI-Scoped Risk Analysis   |   HA-ADM-02   |   §164.308(a)(1)(ii)(A)</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F0709D" w14:paraId="50A25B05"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63C2FD4" w14:textId="77777777" w:rsidR="00F0709D" w:rsidRDefault="004D2338">
            <w:r>
              <w:rPr>
                <w:b/>
                <w:bCs/>
                <w:color w:val="222222"/>
                <w:sz w:val="19"/>
                <w:szCs w:val="19"/>
              </w:rPr>
              <w:t>CFR Reference</w:t>
            </w:r>
          </w:p>
        </w:tc>
        <w:tc>
          <w:tcPr>
            <w:tcW w:w="6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E03BE24" w14:textId="77777777" w:rsidR="00F0709D" w:rsidRDefault="004D2338">
            <w:r>
              <w:rPr>
                <w:color w:val="222222"/>
                <w:sz w:val="19"/>
                <w:szCs w:val="19"/>
              </w:rPr>
              <w:t>§164.308(a)(1)(ii)(A): Conduct an accurate and thorough assessment of the potential risks and vulnerabilities to the confidentiality, integrity, and availability of ePHI held by the covered entity or business associate.</w:t>
            </w:r>
          </w:p>
        </w:tc>
      </w:tr>
      <w:tr w:rsidR="00F0709D" w14:paraId="4DD19801"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F8AB6E3" w14:textId="77777777" w:rsidR="00F0709D" w:rsidRDefault="004D2338">
            <w:r>
              <w:rPr>
                <w:b/>
                <w:bCs/>
                <w:color w:val="222222"/>
                <w:sz w:val="19"/>
                <w:szCs w:val="19"/>
              </w:rPr>
              <w:t>Specification Type</w:t>
            </w:r>
          </w:p>
        </w:tc>
        <w:tc>
          <w:tcPr>
            <w:tcW w:w="68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07972E23" w14:textId="77777777" w:rsidR="00F0709D" w:rsidRDefault="004D2338">
            <w:r>
              <w:rPr>
                <w:color w:val="222222"/>
                <w:sz w:val="19"/>
                <w:szCs w:val="19"/>
              </w:rPr>
              <w:t>Required. Cannot be substituted with an alternative measure.</w:t>
            </w:r>
          </w:p>
        </w:tc>
      </w:tr>
      <w:tr w:rsidR="00F0709D" w14:paraId="4AAB20D6"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CC14D67" w14:textId="77777777" w:rsidR="00F0709D" w:rsidRDefault="004D2338">
            <w:r>
              <w:rPr>
                <w:b/>
                <w:bCs/>
                <w:color w:val="222222"/>
                <w:sz w:val="19"/>
                <w:szCs w:val="19"/>
              </w:rPr>
              <w:t>Finding</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1EC36FF7" w14:textId="77777777" w:rsidR="00F0709D" w:rsidRDefault="004D2338">
            <w:r>
              <w:rPr>
                <w:color w:val="222222"/>
                <w:sz w:val="19"/>
                <w:szCs w:val="19"/>
              </w:rPr>
              <w:t>The October 2025 risk analysis covered general IT infrastructure risks. It was completed before CrossBorder started receiving US ePHI in March 2026, so it does not enumerate ePHI data flows, ePHI storage locations, or ePHI-specific threats. HHS OCR requires the risk analysis to cover all ePHI created, received, maintained, or transmitted. The 2025 analysis does not meet that scope.</w:t>
            </w:r>
          </w:p>
        </w:tc>
      </w:tr>
      <w:tr w:rsidR="00F0709D" w14:paraId="353373DF"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2177DDF" w14:textId="77777777" w:rsidR="00F0709D" w:rsidRDefault="004D2338">
            <w:r>
              <w:rPr>
                <w:b/>
                <w:bCs/>
                <w:color w:val="222222"/>
                <w:sz w:val="19"/>
                <w:szCs w:val="19"/>
              </w:rPr>
              <w:t>Evidence</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A449C77" w14:textId="77777777" w:rsidR="00F0709D" w:rsidRDefault="004D2338">
            <w:r>
              <w:rPr>
                <w:color w:val="222222"/>
                <w:sz w:val="19"/>
                <w:szCs w:val="19"/>
              </w:rPr>
              <w:t>October 2025 risk analysis reviewed. Scope section confirms a general IT infrastructure focus with no ePHI reference. AWS S3 transfer logs confirm first ePHI receipt on March 3, 2026. No supplementary ePHI risk analysis was found.</w:t>
            </w:r>
          </w:p>
        </w:tc>
      </w:tr>
      <w:tr w:rsidR="00F0709D" w14:paraId="076299DA"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1F1088F" w14:textId="77777777" w:rsidR="00F0709D" w:rsidRDefault="004D2338">
            <w:r>
              <w:rPr>
                <w:b/>
                <w:bCs/>
                <w:color w:val="222222"/>
                <w:sz w:val="19"/>
                <w:szCs w:val="19"/>
              </w:rPr>
              <w:t>Root Cause</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66E2018E" w14:textId="77777777" w:rsidR="00F0709D" w:rsidRDefault="004D2338">
            <w:r>
              <w:rPr>
                <w:color w:val="222222"/>
                <w:sz w:val="19"/>
                <w:szCs w:val="19"/>
              </w:rPr>
              <w:t>CrossBorder began receiving ePHI under a pilot agreement before the HIPAA compliance program was in place. The security team knew a HIPAA assessment was coming but waited until the BAA execution date was formally set.</w:t>
            </w:r>
          </w:p>
        </w:tc>
      </w:tr>
      <w:tr w:rsidR="00F0709D" w14:paraId="74D08603"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CB4FDEF" w14:textId="77777777" w:rsidR="00F0709D" w:rsidRDefault="004D2338">
            <w:r>
              <w:rPr>
                <w:b/>
                <w:bCs/>
                <w:color w:val="222222"/>
                <w:sz w:val="19"/>
                <w:szCs w:val="19"/>
              </w:rPr>
              <w:t>HHS OCR Significance</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67EAD70" w14:textId="77777777" w:rsidR="00F0709D" w:rsidRDefault="004D2338">
            <w:r>
              <w:rPr>
                <w:color w:val="222222"/>
                <w:sz w:val="19"/>
                <w:szCs w:val="19"/>
              </w:rPr>
              <w:t>Risk analysis is the most frequently cited deficiency in OCR HIPAA enforcement actions. Both Phase 1 and Phase 2 audit protocols open with risk analysis verification. Civil monetary penalties for an absent or inadequate risk analysis range from $100 to $50,000 per violation, up to $1.9M per violation category per year.</w:t>
            </w:r>
          </w:p>
        </w:tc>
      </w:tr>
      <w:tr w:rsidR="00F0709D" w14:paraId="5F0B4375"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EB229AE" w14:textId="77777777" w:rsidR="00F0709D" w:rsidRDefault="004D2338">
            <w:r>
              <w:rPr>
                <w:b/>
                <w:bCs/>
                <w:color w:val="222222"/>
                <w:sz w:val="19"/>
                <w:szCs w:val="19"/>
              </w:rPr>
              <w:t>Required Action</w:t>
            </w:r>
          </w:p>
        </w:tc>
        <w:tc>
          <w:tcPr>
            <w:tcW w:w="6800" w:type="dxa"/>
            <w:tcBorders>
              <w:top w:val="single" w:sz="4" w:space="0" w:color="B0C4D8"/>
              <w:left w:val="single" w:sz="4" w:space="0" w:color="B0C4D8"/>
              <w:bottom w:val="single" w:sz="4" w:space="0" w:color="B0C4D8"/>
              <w:right w:val="single" w:sz="4" w:space="0" w:color="B0C4D8"/>
            </w:tcBorders>
            <w:shd w:val="clear" w:color="auto" w:fill="FFF8E1"/>
            <w:tcMar>
              <w:top w:w="60" w:type="dxa"/>
              <w:left w:w="100" w:type="dxa"/>
              <w:bottom w:w="60" w:type="dxa"/>
              <w:right w:w="100" w:type="dxa"/>
            </w:tcMar>
            <w:vAlign w:val="center"/>
          </w:tcPr>
          <w:p w14:paraId="13F5FD83" w14:textId="77777777" w:rsidR="00F0709D" w:rsidRDefault="004D2338">
            <w:r>
              <w:rPr>
                <w:color w:val="222222"/>
                <w:sz w:val="19"/>
                <w:szCs w:val="19"/>
              </w:rPr>
              <w:t>Conduct an ePHI-scoped risk analysis before BAA execution. Steps: inventory all ePHI data flows (MidWest SFTP inbound, S3 storage, Databricks processing, Snowflake warehousing, analytics dashboard output); identify ePHI-specific threats and vulnerabilities; assess likelihood and impact; document risk levels using NIST SP 800-30 methodology. Target: June 30, 2026.</w:t>
            </w:r>
          </w:p>
        </w:tc>
      </w:tr>
    </w:tbl>
    <w:p w14:paraId="4E27DA89" w14:textId="77777777" w:rsidR="00F0709D" w:rsidRDefault="00F0709D">
      <w:pPr>
        <w:spacing w:before="80"/>
      </w:pPr>
    </w:p>
    <w:p w14:paraId="69F79D59" w14:textId="77777777" w:rsidR="00F0709D" w:rsidRDefault="004D2338">
      <w:pPr>
        <w:spacing w:before="220" w:after="60"/>
      </w:pPr>
      <w:r>
        <w:rPr>
          <w:b/>
          <w:bCs/>
          <w:color w:val="1A2E4A"/>
          <w:sz w:val="22"/>
          <w:szCs w:val="22"/>
        </w:rPr>
        <w:t>Finding 3.2   |   No HIPAA Breach Notification Procedure   |   HA-ADM-07   |   HITECH §13402</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F0709D" w14:paraId="79A9B801"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B5C4888" w14:textId="77777777" w:rsidR="00F0709D" w:rsidRDefault="004D2338">
            <w:r>
              <w:rPr>
                <w:b/>
                <w:bCs/>
                <w:color w:val="222222"/>
                <w:sz w:val="19"/>
                <w:szCs w:val="19"/>
              </w:rPr>
              <w:t>CFR and Statutory Reference</w:t>
            </w:r>
          </w:p>
        </w:tc>
        <w:tc>
          <w:tcPr>
            <w:tcW w:w="6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E576424" w14:textId="77777777" w:rsidR="00F0709D" w:rsidRDefault="004D2338">
            <w:r>
              <w:rPr>
                <w:color w:val="222222"/>
                <w:sz w:val="19"/>
                <w:szCs w:val="19"/>
              </w:rPr>
              <w:t>§164.308(a)(6): Required policies and procedures to address security incidents. HITECH §13402: A Business Associate must notify the covered entity of a breach without unreasonable delay and in no case later than 60 days from discovery.</w:t>
            </w:r>
          </w:p>
        </w:tc>
      </w:tr>
      <w:tr w:rsidR="00F0709D" w14:paraId="0A147A4A"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F04F32C" w14:textId="77777777" w:rsidR="00F0709D" w:rsidRDefault="004D2338">
            <w:r>
              <w:rPr>
                <w:b/>
                <w:bCs/>
                <w:color w:val="222222"/>
                <w:sz w:val="19"/>
                <w:szCs w:val="19"/>
              </w:rPr>
              <w:t>Specification Type</w:t>
            </w:r>
          </w:p>
        </w:tc>
        <w:tc>
          <w:tcPr>
            <w:tcW w:w="68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7BF1E614" w14:textId="77777777" w:rsidR="00F0709D" w:rsidRDefault="004D2338">
            <w:r>
              <w:rPr>
                <w:color w:val="222222"/>
                <w:sz w:val="19"/>
                <w:szCs w:val="19"/>
              </w:rPr>
              <w:t>Required. Cannot be substituted.</w:t>
            </w:r>
          </w:p>
        </w:tc>
      </w:tr>
      <w:tr w:rsidR="00F0709D" w14:paraId="72F7F4EC"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4EA42773" w14:textId="77777777" w:rsidR="00F0709D" w:rsidRDefault="004D2338">
            <w:r>
              <w:rPr>
                <w:b/>
                <w:bCs/>
                <w:color w:val="222222"/>
                <w:sz w:val="19"/>
                <w:szCs w:val="19"/>
              </w:rPr>
              <w:t>Finding</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A8A33F5" w14:textId="77777777" w:rsidR="00F0709D" w:rsidRDefault="004D2338">
            <w:r>
              <w:rPr>
                <w:color w:val="222222"/>
                <w:sz w:val="19"/>
                <w:szCs w:val="19"/>
              </w:rPr>
              <w:t>The incident response plan (IRP) from February 2026 addresses general data breaches but contains no HIPAA-specific content. There is no 4-factor breach risk assessment procedure, no covered entity notification workflow, no HHS OCR reporting procedure, and no distinction between a security incident and a reportable HIPAA breach. CrossBorder has been receiving ePHI since March 2026. Any breach from that date onward triggers HITECH notification obligations that CrossBorder cannot currently fulfill.</w:t>
            </w:r>
          </w:p>
        </w:tc>
      </w:tr>
      <w:tr w:rsidR="00F0709D" w14:paraId="2DC47455"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D7C0768" w14:textId="77777777" w:rsidR="00F0709D" w:rsidRDefault="004D2338">
            <w:r>
              <w:rPr>
                <w:b/>
                <w:bCs/>
                <w:color w:val="222222"/>
                <w:sz w:val="19"/>
                <w:szCs w:val="19"/>
              </w:rPr>
              <w:t>The 4-Factor Breach Risk Assessment</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A34FC6C" w14:textId="77777777" w:rsidR="00F0709D" w:rsidRDefault="004D2338">
            <w:r>
              <w:rPr>
                <w:color w:val="222222"/>
                <w:sz w:val="19"/>
                <w:szCs w:val="19"/>
              </w:rPr>
              <w:t>Under HITECH, a breach is presumed reportable unless the organization can document that there is a low probability ePHI was compromised. The four factors are: (1) the nature and extent of the ePHI involved; (2) who accessed or could have accessed it; (3) whether ePHI was actually acquired or viewed; and (4) the extent to which the risk has been mitigated. Without this documented assessment, any security incident involving ePHI is automatically a reportable breach.</w:t>
            </w:r>
          </w:p>
        </w:tc>
      </w:tr>
      <w:tr w:rsidR="00F0709D" w14:paraId="70DF145C"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4AFA416" w14:textId="77777777" w:rsidR="00F0709D" w:rsidRDefault="004D2338">
            <w:r>
              <w:rPr>
                <w:b/>
                <w:bCs/>
                <w:color w:val="222222"/>
                <w:sz w:val="19"/>
                <w:szCs w:val="19"/>
              </w:rPr>
              <w:t>Root Cause</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136DD92" w14:textId="77777777" w:rsidR="00F0709D" w:rsidRDefault="004D2338">
            <w:r>
              <w:rPr>
                <w:color w:val="222222"/>
                <w:sz w:val="19"/>
                <w:szCs w:val="19"/>
              </w:rPr>
              <w:t>The IRP was written in February 2026, one month before ePHI receipt began. The security and legal teams did not coordinate on an IRP update before the pilot data transfer started.</w:t>
            </w:r>
          </w:p>
        </w:tc>
      </w:tr>
      <w:tr w:rsidR="00F0709D" w14:paraId="599DC358"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391D03F6" w14:textId="77777777" w:rsidR="00F0709D" w:rsidRDefault="004D2338">
            <w:r>
              <w:rPr>
                <w:b/>
                <w:bCs/>
                <w:color w:val="222222"/>
                <w:sz w:val="19"/>
                <w:szCs w:val="19"/>
              </w:rPr>
              <w:t>Required Action</w:t>
            </w:r>
          </w:p>
        </w:tc>
        <w:tc>
          <w:tcPr>
            <w:tcW w:w="6800" w:type="dxa"/>
            <w:tcBorders>
              <w:top w:val="single" w:sz="4" w:space="0" w:color="B0C4D8"/>
              <w:left w:val="single" w:sz="4" w:space="0" w:color="B0C4D8"/>
              <w:bottom w:val="single" w:sz="4" w:space="0" w:color="B0C4D8"/>
              <w:right w:val="single" w:sz="4" w:space="0" w:color="B0C4D8"/>
            </w:tcBorders>
            <w:shd w:val="clear" w:color="auto" w:fill="FFF8E1"/>
            <w:tcMar>
              <w:top w:w="60" w:type="dxa"/>
              <w:left w:w="100" w:type="dxa"/>
              <w:bottom w:w="60" w:type="dxa"/>
              <w:right w:w="100" w:type="dxa"/>
            </w:tcMar>
            <w:vAlign w:val="center"/>
          </w:tcPr>
          <w:p w14:paraId="292DB5A2" w14:textId="77777777" w:rsidR="00F0709D" w:rsidRDefault="004D2338">
            <w:r>
              <w:rPr>
                <w:color w:val="222222"/>
                <w:sz w:val="19"/>
                <w:szCs w:val="19"/>
              </w:rPr>
              <w:t>Update the IRP to include: a HIPAA breach definition and how it differs from a security incident; the 4-factor risk assessment tool; a MidWest Health System notification procedure with contact, method, required content, and 60-day timeline; HHS OCR reporting procedures for large and small breaches; and a BA-specific breach response checklist. Target: June 30, 2026.</w:t>
            </w:r>
          </w:p>
        </w:tc>
      </w:tr>
    </w:tbl>
    <w:p w14:paraId="145BE95A" w14:textId="77777777" w:rsidR="00F0709D" w:rsidRDefault="00F0709D">
      <w:pPr>
        <w:spacing w:before="80"/>
      </w:pPr>
    </w:p>
    <w:p w14:paraId="2513E821" w14:textId="77777777" w:rsidR="00F0709D" w:rsidRDefault="004D2338">
      <w:pPr>
        <w:spacing w:before="220" w:after="60"/>
      </w:pPr>
      <w:r>
        <w:rPr>
          <w:b/>
          <w:bCs/>
          <w:color w:val="1A2E4A"/>
          <w:sz w:val="22"/>
          <w:szCs w:val="22"/>
        </w:rPr>
        <w:t>Finding 3.3   |   Three Subcontractor BAs Without Executed BAAs   |   HA-ADM-10   |   §164.308(b)(1)</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F0709D" w14:paraId="13CA08C3"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07BD09F1" w14:textId="77777777" w:rsidR="00F0709D" w:rsidRDefault="004D2338">
            <w:r>
              <w:rPr>
                <w:b/>
                <w:bCs/>
                <w:color w:val="222222"/>
                <w:sz w:val="19"/>
                <w:szCs w:val="19"/>
              </w:rPr>
              <w:t>CFR Reference</w:t>
            </w:r>
          </w:p>
        </w:tc>
        <w:tc>
          <w:tcPr>
            <w:tcW w:w="6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A330EC1" w14:textId="77777777" w:rsidR="00F0709D" w:rsidRDefault="004D2338">
            <w:r>
              <w:rPr>
                <w:color w:val="222222"/>
                <w:sz w:val="19"/>
                <w:szCs w:val="19"/>
              </w:rPr>
              <w:t>§164.308(b)(1): A business associate must obtain satisfactory assurances, in the form of a written agreement, from any subcontractor that creates, receives, maintains, or transmits ePHI on behalf of the business associate.</w:t>
            </w:r>
          </w:p>
        </w:tc>
      </w:tr>
      <w:tr w:rsidR="00F0709D" w14:paraId="499AEA83"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48BEE40D" w14:textId="77777777" w:rsidR="00F0709D" w:rsidRDefault="004D2338">
            <w:r>
              <w:rPr>
                <w:b/>
                <w:bCs/>
                <w:color w:val="222222"/>
                <w:sz w:val="19"/>
                <w:szCs w:val="19"/>
              </w:rPr>
              <w:t>Specification Type</w:t>
            </w:r>
          </w:p>
        </w:tc>
        <w:tc>
          <w:tcPr>
            <w:tcW w:w="68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5E3F9DF0" w14:textId="77777777" w:rsidR="00F0709D" w:rsidRDefault="004D2338">
            <w:r>
              <w:rPr>
                <w:color w:val="222222"/>
                <w:sz w:val="19"/>
                <w:szCs w:val="19"/>
              </w:rPr>
              <w:t>Required. Cannot be substituted.</w:t>
            </w:r>
          </w:p>
        </w:tc>
      </w:tr>
      <w:tr w:rsidR="00F0709D" w14:paraId="1DE2E259"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72373C3" w14:textId="77777777" w:rsidR="00F0709D" w:rsidRDefault="004D2338">
            <w:r>
              <w:rPr>
                <w:b/>
                <w:bCs/>
                <w:color w:val="222222"/>
                <w:sz w:val="19"/>
                <w:szCs w:val="19"/>
              </w:rPr>
              <w:t>Finding</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61CE752" w14:textId="77777777" w:rsidR="00F0709D" w:rsidRDefault="004D2338">
            <w:r>
              <w:rPr>
                <w:color w:val="222222"/>
                <w:sz w:val="19"/>
                <w:szCs w:val="19"/>
              </w:rPr>
              <w:t>Three vendors handle CrossBorder ePHI without executed BAAs. Snowflake stores ePHI query results under a standard contract with no BAA provisions. Databricks processes ePHI for analysis but no contract contains BAA language. CloudLink Inc. receives ePHI for ETL processing and has no formal contract at all. The AWS BAA is confirmed current and is not an issue.</w:t>
            </w:r>
          </w:p>
        </w:tc>
      </w:tr>
      <w:tr w:rsidR="00F0709D" w14:paraId="4C9024E9"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4123498" w14:textId="77777777" w:rsidR="00F0709D" w:rsidRDefault="004D2338">
            <w:r>
              <w:rPr>
                <w:b/>
                <w:bCs/>
                <w:color w:val="222222"/>
                <w:sz w:val="19"/>
                <w:szCs w:val="19"/>
              </w:rPr>
              <w:t>Chain of Trust</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697870E6" w14:textId="77777777" w:rsidR="00F0709D" w:rsidRDefault="004D2338">
            <w:r>
              <w:rPr>
                <w:color w:val="222222"/>
                <w:sz w:val="19"/>
                <w:szCs w:val="19"/>
              </w:rPr>
              <w:t>HIPAA requires an unbroken BAA chain from the covered entity through the BA to every subcontractor BA. CrossBorder cannot execute a BAA with MidWest Health System while its own subcontractor chain is incomplete. If a breach occurs at Snowflake, Databricks, or CloudLink, CrossBorder is liable and the missing BAA is an independent HIPAA violation on top of the breach itself.</w:t>
            </w:r>
          </w:p>
        </w:tc>
      </w:tr>
      <w:tr w:rsidR="00F0709D" w14:paraId="539FAAAF"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0E4D410" w14:textId="77777777" w:rsidR="00F0709D" w:rsidRDefault="004D2338">
            <w:r>
              <w:rPr>
                <w:b/>
                <w:bCs/>
                <w:color w:val="222222"/>
                <w:sz w:val="19"/>
                <w:szCs w:val="19"/>
              </w:rPr>
              <w:t>Root Cause</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5A84659" w14:textId="77777777" w:rsidR="00F0709D" w:rsidRDefault="004D2338">
            <w:r>
              <w:rPr>
                <w:color w:val="222222"/>
                <w:sz w:val="19"/>
                <w:szCs w:val="19"/>
              </w:rPr>
              <w:t>Snowflake and Databricks were selected for technical fit without a HIPAA BAA evaluation. CloudLink was engaged informally through a consulting relationship and the engagement expanded into ePHI processing without a formal contract being put in place.</w:t>
            </w:r>
          </w:p>
        </w:tc>
      </w:tr>
      <w:tr w:rsidR="00F0709D" w14:paraId="1D76D81B"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F63DA36" w14:textId="77777777" w:rsidR="00F0709D" w:rsidRDefault="004D2338">
            <w:r>
              <w:rPr>
                <w:b/>
                <w:bCs/>
                <w:color w:val="222222"/>
                <w:sz w:val="19"/>
                <w:szCs w:val="19"/>
              </w:rPr>
              <w:t>Required Action</w:t>
            </w:r>
          </w:p>
        </w:tc>
        <w:tc>
          <w:tcPr>
            <w:tcW w:w="6800" w:type="dxa"/>
            <w:tcBorders>
              <w:top w:val="single" w:sz="4" w:space="0" w:color="B0C4D8"/>
              <w:left w:val="single" w:sz="4" w:space="0" w:color="B0C4D8"/>
              <w:bottom w:val="single" w:sz="4" w:space="0" w:color="B0C4D8"/>
              <w:right w:val="single" w:sz="4" w:space="0" w:color="B0C4D8"/>
            </w:tcBorders>
            <w:shd w:val="clear" w:color="auto" w:fill="FFF8E1"/>
            <w:tcMar>
              <w:top w:w="60" w:type="dxa"/>
              <w:left w:w="100" w:type="dxa"/>
              <w:bottom w:w="60" w:type="dxa"/>
              <w:right w:w="100" w:type="dxa"/>
            </w:tcMar>
            <w:vAlign w:val="center"/>
          </w:tcPr>
          <w:p w14:paraId="24B70CE8" w14:textId="77777777" w:rsidR="00F0709D" w:rsidRDefault="004D2338">
            <w:r>
              <w:rPr>
                <w:color w:val="222222"/>
                <w:sz w:val="19"/>
                <w:szCs w:val="19"/>
              </w:rPr>
              <w:t>Execute the Snowflake HIPAA BAA through the Snowflake Trust and Security portal (standard BAA is available and can be executed within 24 hours). Execute the Databricks HIPAA BAA through the Databricks account team. Establish a formal service contract with CloudLink Inc. that includes BAA provisions before any further ePHI is processed. All three must be complete before covered entity BAA execution. Target: June 30, 2026.</w:t>
            </w:r>
          </w:p>
        </w:tc>
      </w:tr>
    </w:tbl>
    <w:p w14:paraId="734D43A5" w14:textId="77777777" w:rsidR="00F0709D" w:rsidRDefault="00F0709D">
      <w:pPr>
        <w:spacing w:before="80"/>
      </w:pPr>
    </w:p>
    <w:p w14:paraId="762907DA" w14:textId="77777777" w:rsidR="00F0709D" w:rsidRDefault="004D2338">
      <w:pPr>
        <w:spacing w:before="220" w:after="60"/>
      </w:pPr>
      <w:r>
        <w:rPr>
          <w:b/>
          <w:bCs/>
          <w:color w:val="1A2E4A"/>
          <w:sz w:val="22"/>
          <w:szCs w:val="22"/>
        </w:rPr>
        <w:t>Finding 3.4   |   SSH MFA Not Enforced on Production Servers   |   HA-TEC-07   |   §164.312(d)</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F0709D" w14:paraId="6D30E9F0"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F1F1A3A" w14:textId="77777777" w:rsidR="00F0709D" w:rsidRDefault="004D2338">
            <w:r>
              <w:rPr>
                <w:b/>
                <w:bCs/>
                <w:color w:val="222222"/>
                <w:sz w:val="19"/>
                <w:szCs w:val="19"/>
              </w:rPr>
              <w:t>CFR Reference</w:t>
            </w:r>
          </w:p>
        </w:tc>
        <w:tc>
          <w:tcPr>
            <w:tcW w:w="6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073DE96F" w14:textId="77777777" w:rsidR="00F0709D" w:rsidRDefault="004D2338">
            <w:r>
              <w:rPr>
                <w:color w:val="222222"/>
                <w:sz w:val="19"/>
                <w:szCs w:val="19"/>
              </w:rPr>
              <w:t>§164.312(d) Addressable: Implement procedures to verify that a person or entity seeking access to ePHI is the one claimed.</w:t>
            </w:r>
          </w:p>
        </w:tc>
      </w:tr>
      <w:tr w:rsidR="00F0709D" w14:paraId="28F9ABDB"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088B993F" w14:textId="77777777" w:rsidR="00F0709D" w:rsidRDefault="004D2338">
            <w:r>
              <w:rPr>
                <w:b/>
                <w:bCs/>
                <w:color w:val="222222"/>
                <w:sz w:val="19"/>
                <w:szCs w:val="19"/>
              </w:rPr>
              <w:t>Finding</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6E82BF81" w14:textId="77777777" w:rsidR="00F0709D" w:rsidRDefault="004D2338">
            <w:r>
              <w:rPr>
                <w:color w:val="222222"/>
                <w:sz w:val="19"/>
                <w:szCs w:val="19"/>
              </w:rPr>
              <w:t>Developers use SSH key authentication to access production servers, with no MFA required. Those servers carry IAM roles that permit ePHI access in AWS S3 and RDS. A stolen or compromised SSH key gives an attacker direct access to ePHI-permissioned credentials with no second factor to stop them. This same gap appeared in the NIST CSF and PCI-DSS assessments for other clients. It is a recurring control failure in engineering-led organizations where SSH exclusions were granted for speed and never revisited.</w:t>
            </w:r>
          </w:p>
        </w:tc>
      </w:tr>
      <w:tr w:rsidR="00F0709D" w14:paraId="23470AE2"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0D42AAEE" w14:textId="77777777" w:rsidR="00F0709D" w:rsidRDefault="004D2338">
            <w:r>
              <w:rPr>
                <w:b/>
                <w:bCs/>
                <w:color w:val="222222"/>
                <w:sz w:val="19"/>
                <w:szCs w:val="19"/>
              </w:rPr>
              <w:t>HHS OCR Context</w:t>
            </w:r>
          </w:p>
        </w:tc>
        <w:tc>
          <w:tcPr>
            <w:tcW w:w="6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51A4330B" w14:textId="77777777" w:rsidR="00F0709D" w:rsidRDefault="004D2338">
            <w:r>
              <w:rPr>
                <w:color w:val="222222"/>
                <w:sz w:val="19"/>
                <w:szCs w:val="19"/>
              </w:rPr>
              <w:t>OCR has cited authentication control gaps in multiple enforcement actions. A 2022 settlement with a health IT business associate reached $875,000, with inadequate authentication controls for ePHI-accessible systems cited as a contributing factor.</w:t>
            </w:r>
          </w:p>
        </w:tc>
      </w:tr>
      <w:tr w:rsidR="00F0709D" w14:paraId="606278CD"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7794A6D" w14:textId="77777777" w:rsidR="00F0709D" w:rsidRDefault="004D2338">
            <w:r>
              <w:rPr>
                <w:b/>
                <w:bCs/>
                <w:color w:val="222222"/>
                <w:sz w:val="19"/>
                <w:szCs w:val="19"/>
              </w:rPr>
              <w:t>Required Action</w:t>
            </w:r>
          </w:p>
        </w:tc>
        <w:tc>
          <w:tcPr>
            <w:tcW w:w="6800" w:type="dxa"/>
            <w:tcBorders>
              <w:top w:val="single" w:sz="4" w:space="0" w:color="B0C4D8"/>
              <w:left w:val="single" w:sz="4" w:space="0" w:color="B0C4D8"/>
              <w:bottom w:val="single" w:sz="4" w:space="0" w:color="B0C4D8"/>
              <w:right w:val="single" w:sz="4" w:space="0" w:color="B0C4D8"/>
            </w:tcBorders>
            <w:shd w:val="clear" w:color="auto" w:fill="FFF8E1"/>
            <w:tcMar>
              <w:top w:w="60" w:type="dxa"/>
              <w:left w:w="100" w:type="dxa"/>
              <w:bottom w:w="60" w:type="dxa"/>
              <w:right w:w="100" w:type="dxa"/>
            </w:tcMar>
            <w:vAlign w:val="center"/>
          </w:tcPr>
          <w:p w14:paraId="03293EFF" w14:textId="77777777" w:rsidR="00F0709D" w:rsidRDefault="004D2338">
            <w:r>
              <w:rPr>
                <w:color w:val="222222"/>
                <w:sz w:val="19"/>
                <w:szCs w:val="19"/>
              </w:rPr>
              <w:t>Deploy Teleport or an equivalent infrastructure access platform that enforces MFA for all production server SSH sessions. Once operational, revoke direct SSH key access. This single fix simultaneously closes HA-TEC-07 under HIPAA, HA-PHY-03 for workstation security, NIST CSF PR.AA-03, and ISO 27001 A.8.2. Target: June 30, 2026.</w:t>
            </w:r>
          </w:p>
        </w:tc>
      </w:tr>
    </w:tbl>
    <w:p w14:paraId="3CC14B35" w14:textId="77777777" w:rsidR="00F0709D" w:rsidRDefault="004D2338">
      <w:r>
        <w:br w:type="page"/>
      </w:r>
    </w:p>
    <w:p w14:paraId="5E6F0EF6" w14:textId="77777777" w:rsidR="00F0709D" w:rsidRDefault="004D2338">
      <w:pPr>
        <w:pBdr>
          <w:bottom w:val="single" w:sz="10" w:space="3" w:color="1A2E4A"/>
        </w:pBdr>
        <w:spacing w:before="320" w:after="80"/>
      </w:pPr>
      <w:r>
        <w:rPr>
          <w:b/>
          <w:bCs/>
          <w:color w:val="1A2E4A"/>
          <w:sz w:val="26"/>
          <w:szCs w:val="26"/>
        </w:rPr>
        <w:t>4. FINDINGS SUMMARY BY SAFEGUARD DOMAIN</w:t>
      </w:r>
    </w:p>
    <w:p w14:paraId="659DE3FC" w14:textId="77777777" w:rsidR="00F0709D" w:rsidRDefault="004D2338">
      <w:pPr>
        <w:spacing w:before="220" w:after="60"/>
      </w:pPr>
      <w:r>
        <w:rPr>
          <w:b/>
          <w:bCs/>
          <w:color w:val="1A2E4A"/>
          <w:sz w:val="22"/>
          <w:szCs w:val="22"/>
        </w:rPr>
        <w:t>4.1   Administrative Safeguards   |   3 Compliant, 7 Gap or Partial</w:t>
      </w:r>
    </w:p>
    <w:p w14:paraId="7540149C" w14:textId="77777777" w:rsidR="00F0709D" w:rsidRDefault="004D2338">
      <w:pPr>
        <w:spacing w:before="60" w:after="120"/>
      </w:pPr>
      <w:r>
        <w:rPr>
          <w:color w:val="222222"/>
        </w:rPr>
        <w:t>Administrative safeguards have the highest concentration of gaps, which makes sense. CrossBorder built its security program for a general SaaS context. Adapting it for HIPAA Business Associate obligations is largely a documentation and process exercise, not an engineering project. Beyond the three critical findings, the remaining gaps are: no HIPAA-specific workforce training for any of the nine staff members who handle ePHI; four staff with ePHI access that exceeds the minimum necessary standard; no proces</w:t>
      </w:r>
      <w:r>
        <w:rPr>
          <w:color w:val="222222"/>
        </w:rPr>
        <w:t>s for triggering a security evaluation when the operating environment changes; and no documented procedure for returning or destroying ePHI when the BAA ends.</w:t>
      </w:r>
    </w:p>
    <w:p w14:paraId="36638B40" w14:textId="77777777" w:rsidR="00F0709D" w:rsidRDefault="00F0709D">
      <w:pPr>
        <w:spacing w:before="60"/>
      </w:pPr>
    </w:p>
    <w:p w14:paraId="23E1E35A" w14:textId="77777777" w:rsidR="00F0709D" w:rsidRDefault="004D2338">
      <w:pPr>
        <w:spacing w:before="220" w:after="60"/>
      </w:pPr>
      <w:r>
        <w:rPr>
          <w:b/>
          <w:bCs/>
          <w:color w:val="1A2E4A"/>
          <w:sz w:val="22"/>
          <w:szCs w:val="22"/>
        </w:rPr>
        <w:t>4.2   Physical Safeguards   |   3 Compliant, 3 Gap or Partial</w:t>
      </w:r>
    </w:p>
    <w:p w14:paraId="2BDBCA04" w14:textId="77777777" w:rsidR="00F0709D" w:rsidRDefault="004D2338">
      <w:pPr>
        <w:spacing w:before="60" w:after="120"/>
      </w:pPr>
      <w:r>
        <w:rPr>
          <w:color w:val="222222"/>
        </w:rPr>
        <w:t>The cloud-native architecture takes care of most physical safeguard requirements through the AWS BAA. What remains are device-level gaps. Nine developer laptops with ePHI access are not enrolled in MDM, so encryption status cannot be confirmed and there is no EDR or remote wipe capability. Four staff members regularly access ePHI remotely without a VPN requirement. And there is no documented procedure for deleting or returning ePHI when the BAA with MidWest Health System eventually ends. That last item is a</w:t>
      </w:r>
      <w:r>
        <w:rPr>
          <w:color w:val="222222"/>
        </w:rPr>
        <w:t xml:space="preserve"> standard BAA clause requirement, not an edge case.</w:t>
      </w:r>
    </w:p>
    <w:p w14:paraId="29E1B885" w14:textId="77777777" w:rsidR="00F0709D" w:rsidRDefault="00F0709D">
      <w:pPr>
        <w:spacing w:before="60"/>
      </w:pPr>
    </w:p>
    <w:p w14:paraId="5370A194" w14:textId="77777777" w:rsidR="00F0709D" w:rsidRDefault="004D2338">
      <w:pPr>
        <w:spacing w:before="220" w:after="60"/>
      </w:pPr>
      <w:r>
        <w:rPr>
          <w:b/>
          <w:bCs/>
          <w:color w:val="1A2E4A"/>
          <w:sz w:val="22"/>
          <w:szCs w:val="22"/>
        </w:rPr>
        <w:t>4.3   Technical Safeguards   |   3 Compliant, 6 Gap or Partial</w:t>
      </w:r>
    </w:p>
    <w:p w14:paraId="22F38DBF" w14:textId="77777777" w:rsidR="00F0709D" w:rsidRDefault="004D2338">
      <w:pPr>
        <w:spacing w:before="60" w:after="120"/>
      </w:pPr>
      <w:r>
        <w:rPr>
          <w:color w:val="222222"/>
        </w:rPr>
        <w:t xml:space="preserve">Encryption is handled well throughout. AES-256 with customer-managed AWS KMS keys is in place for all ePHI storage, and TLS 1.3 covers transmission. There are no shared accounts. The SSH MFA gap is the critical issue. Secondary concerns include an 8-hour Databricks session timeout that should be 30 minutes for ePHI systems, a shared Snowflake emergency credential sitting in LastPass without an audit trail, Databricks audit log retention set at 90 days when at least one year is appropriate, and no S3 Object </w:t>
      </w:r>
      <w:r>
        <w:rPr>
          <w:color w:val="222222"/>
        </w:rPr>
        <w:t>Lock for ePHI integrity protection.</w:t>
      </w:r>
    </w:p>
    <w:p w14:paraId="7491B033" w14:textId="77777777" w:rsidR="00F0709D" w:rsidRDefault="00F0709D">
      <w:pPr>
        <w:spacing w:before="60"/>
      </w:pPr>
    </w:p>
    <w:p w14:paraId="1421903D" w14:textId="77777777" w:rsidR="00F0709D" w:rsidRDefault="004D2338">
      <w:pPr>
        <w:spacing w:before="220" w:after="60"/>
      </w:pPr>
      <w:r>
        <w:rPr>
          <w:b/>
          <w:bCs/>
          <w:color w:val="1A2E4A"/>
          <w:sz w:val="22"/>
          <w:szCs w:val="22"/>
        </w:rPr>
        <w:t>4.4   Organizational Requirements   |   1 Compliant, 2 Gap or Partial</w:t>
      </w:r>
    </w:p>
    <w:p w14:paraId="66A72370" w14:textId="77777777" w:rsidR="00F0709D" w:rsidRDefault="004D2338">
      <w:pPr>
        <w:spacing w:before="60" w:after="120"/>
      </w:pPr>
      <w:r>
        <w:rPr>
          <w:color w:val="222222"/>
        </w:rPr>
        <w:t>The BAA with MidWest Health System is drafted by external HIPAA counsel and contains all required provisions. It cannot be executed yet, but the document itself is not the problem. The subcontractor BAA chain is. CrossBorder's Canadian corporate structure does not affect its HIPAA obligations, which external counsel has confirmed in writing. That analysis is properly documented.</w:t>
      </w:r>
    </w:p>
    <w:p w14:paraId="35077121" w14:textId="77777777" w:rsidR="00F0709D" w:rsidRDefault="00F0709D">
      <w:pPr>
        <w:spacing w:before="60"/>
      </w:pPr>
    </w:p>
    <w:p w14:paraId="798BD8F9" w14:textId="77777777" w:rsidR="00F0709D" w:rsidRDefault="004D2338">
      <w:pPr>
        <w:spacing w:before="220" w:after="60"/>
      </w:pPr>
      <w:r>
        <w:rPr>
          <w:b/>
          <w:bCs/>
          <w:color w:val="1A2E4A"/>
          <w:sz w:val="22"/>
          <w:szCs w:val="22"/>
        </w:rPr>
        <w:t>4.5   Policies and Documentation   |   0 Compliant, 4 Gap or Partial</w:t>
      </w:r>
    </w:p>
    <w:p w14:paraId="050FCE6F" w14:textId="77777777" w:rsidR="00F0709D" w:rsidRDefault="004D2338">
      <w:pPr>
        <w:spacing w:before="60" w:after="120"/>
      </w:pPr>
      <w:r>
        <w:rPr>
          <w:color w:val="222222"/>
        </w:rPr>
        <w:t>Every documentation control is in gap or partial status. CrossBorder's documentation suite was built before HIPAA obligations attached, and it shows. There is no dedicated HIPAA Security Policy. HIPAA documents are not identified as a specific retention category. Policy review runs on an annual cycle with no mechanism to trigger a review when operations change materially, which is exactly what happened in March 2026 when ePHI receipt began. All of this needs to be resolved before BAA execution.</w:t>
      </w:r>
    </w:p>
    <w:p w14:paraId="4A6F231C" w14:textId="77777777" w:rsidR="00F0709D" w:rsidRDefault="004D2338">
      <w:r>
        <w:br w:type="page"/>
      </w:r>
    </w:p>
    <w:p w14:paraId="24A2B826" w14:textId="77777777" w:rsidR="00F0709D" w:rsidRDefault="004D2338">
      <w:pPr>
        <w:pBdr>
          <w:bottom w:val="single" w:sz="10" w:space="3" w:color="1A2E4A"/>
        </w:pBdr>
        <w:spacing w:before="320" w:after="80"/>
      </w:pPr>
      <w:r>
        <w:rPr>
          <w:b/>
          <w:bCs/>
          <w:color w:val="1A2E4A"/>
          <w:sz w:val="26"/>
          <w:szCs w:val="26"/>
        </w:rPr>
        <w:t>5. HIPAA, PHIPA, AND PIPEDA   |   WHERE THEY OVERLAP</w:t>
      </w:r>
    </w:p>
    <w:p w14:paraId="117F4E84" w14:textId="77777777" w:rsidR="00F0709D" w:rsidRDefault="004D2338">
      <w:pPr>
        <w:spacing w:before="60" w:after="120"/>
      </w:pPr>
      <w:r>
        <w:rPr>
          <w:color w:val="222222"/>
        </w:rPr>
        <w:t>CrossBorder has two sets of health privacy obligations: HIPAA for US ePHI, and PHIPA and PIPEDA for Canadian operations. These frameworks are more aligned than most practitioners realize. The HIPAA remediation program described in this report also satisfies several PHIPA and PIPEDA requirements at the same time. That is worth understanding before scoping the remediation budget.</w:t>
      </w:r>
    </w:p>
    <w:p w14:paraId="5BF3E715" w14:textId="77777777" w:rsidR="00F0709D" w:rsidRDefault="00F0709D">
      <w:pPr>
        <w:spacing w:before="6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600"/>
      </w:tblGrid>
      <w:tr w:rsidR="00F0709D" w14:paraId="0E1A07AD" w14:textId="77777777">
        <w:tblPrEx>
          <w:tblCellMar>
            <w:top w:w="0" w:type="dxa"/>
            <w:bottom w:w="0" w:type="dxa"/>
          </w:tblCellMar>
        </w:tblPrEx>
        <w:tc>
          <w:tcPr>
            <w:tcW w:w="22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6F4F542" w14:textId="77777777" w:rsidR="00F0709D" w:rsidRDefault="004D2338">
            <w:pPr>
              <w:jc w:val="center"/>
            </w:pPr>
            <w:r>
              <w:rPr>
                <w:b/>
                <w:bCs/>
                <w:color w:val="FFFFFF"/>
                <w:sz w:val="18"/>
                <w:szCs w:val="18"/>
              </w:rPr>
              <w:t>Control Area</w:t>
            </w:r>
          </w:p>
        </w:tc>
        <w:tc>
          <w:tcPr>
            <w:tcW w:w="22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6E71BCA4" w14:textId="77777777" w:rsidR="00F0709D" w:rsidRDefault="004D2338">
            <w:pPr>
              <w:jc w:val="center"/>
            </w:pPr>
            <w:r>
              <w:rPr>
                <w:b/>
                <w:bCs/>
                <w:color w:val="FFFFFF"/>
                <w:sz w:val="18"/>
                <w:szCs w:val="18"/>
              </w:rPr>
              <w:t>HIPAA Security Rule</w:t>
            </w:r>
          </w:p>
        </w:tc>
        <w:tc>
          <w:tcPr>
            <w:tcW w:w="22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1C5ECD5A" w14:textId="77777777" w:rsidR="00F0709D" w:rsidRDefault="004D2338">
            <w:pPr>
              <w:jc w:val="center"/>
            </w:pPr>
            <w:r>
              <w:rPr>
                <w:b/>
                <w:bCs/>
                <w:color w:val="FFFFFF"/>
                <w:sz w:val="18"/>
                <w:szCs w:val="18"/>
              </w:rPr>
              <w:t>PHIPA (Ontario)</w:t>
            </w:r>
          </w:p>
        </w:tc>
        <w:tc>
          <w:tcPr>
            <w:tcW w:w="26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7BF8AD37" w14:textId="77777777" w:rsidR="00F0709D" w:rsidRDefault="004D2338">
            <w:pPr>
              <w:jc w:val="center"/>
            </w:pPr>
            <w:r>
              <w:rPr>
                <w:b/>
                <w:bCs/>
                <w:color w:val="FFFFFF"/>
                <w:sz w:val="18"/>
                <w:szCs w:val="18"/>
              </w:rPr>
              <w:t>PIPEDA</w:t>
            </w:r>
          </w:p>
        </w:tc>
      </w:tr>
      <w:tr w:rsidR="00F0709D" w14:paraId="3ACBD5E2"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7A53285" w14:textId="77777777" w:rsidR="00F0709D" w:rsidRDefault="004D2338">
            <w:r>
              <w:rPr>
                <w:b/>
                <w:bCs/>
                <w:color w:val="222222"/>
                <w:sz w:val="19"/>
                <w:szCs w:val="19"/>
              </w:rPr>
              <w:t>Risk Analysis</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378FD469" w14:textId="77777777" w:rsidR="00F0709D" w:rsidRDefault="004D2338">
            <w:r>
              <w:rPr>
                <w:color w:val="222222"/>
                <w:sz w:val="19"/>
                <w:szCs w:val="19"/>
              </w:rPr>
              <w:t>Required annually (§164.308(a)(1))</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3D48D8C" w14:textId="77777777" w:rsidR="00F0709D" w:rsidRDefault="004D2338">
            <w:r>
              <w:rPr>
                <w:color w:val="222222"/>
                <w:sz w:val="19"/>
                <w:szCs w:val="19"/>
              </w:rPr>
              <w:t>Risk assessment expected under s.12 safeguards obligation</w:t>
            </w:r>
          </w:p>
        </w:tc>
        <w:tc>
          <w:tcPr>
            <w:tcW w:w="2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C46FFB0" w14:textId="77777777" w:rsidR="00F0709D" w:rsidRDefault="004D2338">
            <w:r>
              <w:rPr>
                <w:color w:val="222222"/>
                <w:sz w:val="19"/>
                <w:szCs w:val="19"/>
              </w:rPr>
              <w:t>Implied under Principle 7 (Safeguards)</w:t>
            </w:r>
          </w:p>
        </w:tc>
      </w:tr>
      <w:tr w:rsidR="00F0709D" w14:paraId="13BB71D8"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38D91BDD" w14:textId="77777777" w:rsidR="00F0709D" w:rsidRDefault="004D2338">
            <w:r>
              <w:rPr>
                <w:b/>
                <w:bCs/>
                <w:color w:val="222222"/>
                <w:sz w:val="19"/>
                <w:szCs w:val="19"/>
              </w:rPr>
              <w:t>Breach Notification</w:t>
            </w:r>
          </w:p>
        </w:tc>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C0EC22D" w14:textId="77777777" w:rsidR="00F0709D" w:rsidRDefault="004D2338">
            <w:r>
              <w:rPr>
                <w:color w:val="222222"/>
                <w:sz w:val="19"/>
                <w:szCs w:val="19"/>
              </w:rPr>
              <w:t>BA notifies CE within 60 days; CE notifies HHS OCR and individuals</w:t>
            </w:r>
          </w:p>
        </w:tc>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5D3C30D5" w14:textId="77777777" w:rsidR="00F0709D" w:rsidRDefault="004D2338">
            <w:r>
              <w:rPr>
                <w:color w:val="222222"/>
                <w:sz w:val="19"/>
                <w:szCs w:val="19"/>
              </w:rPr>
              <w:t>s.12(2): covered entity notifies IPC and individuals when required</w:t>
            </w:r>
          </w:p>
        </w:tc>
        <w:tc>
          <w:tcPr>
            <w:tcW w:w="2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692A3836" w14:textId="77777777" w:rsidR="00F0709D" w:rsidRDefault="004D2338">
            <w:r>
              <w:rPr>
                <w:color w:val="222222"/>
                <w:sz w:val="19"/>
                <w:szCs w:val="19"/>
              </w:rPr>
              <w:t>As soon as feasible to OPC; individual notification for real risk of significant harm (SOR/2018-64)</w:t>
            </w:r>
          </w:p>
        </w:tc>
      </w:tr>
      <w:tr w:rsidR="00F0709D" w14:paraId="3D85C0E5"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90B3979" w14:textId="77777777" w:rsidR="00F0709D" w:rsidRDefault="004D2338">
            <w:r>
              <w:rPr>
                <w:b/>
                <w:bCs/>
                <w:color w:val="222222"/>
                <w:sz w:val="19"/>
                <w:szCs w:val="19"/>
              </w:rPr>
              <w:t>Encryption at Rest</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EA88DCE" w14:textId="77777777" w:rsidR="00F0709D" w:rsidRDefault="004D2338">
            <w:r>
              <w:rPr>
                <w:color w:val="222222"/>
                <w:sz w:val="19"/>
                <w:szCs w:val="19"/>
              </w:rPr>
              <w:t>Addressable, widely implemented as best practice</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0354F02E" w14:textId="77777777" w:rsidR="00F0709D" w:rsidRDefault="004D2338">
            <w:r>
              <w:rPr>
                <w:color w:val="222222"/>
                <w:sz w:val="19"/>
                <w:szCs w:val="19"/>
              </w:rPr>
              <w:t>Expected under s.12 proportionate safeguards</w:t>
            </w:r>
          </w:p>
        </w:tc>
        <w:tc>
          <w:tcPr>
            <w:tcW w:w="2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C8ECE1B" w14:textId="77777777" w:rsidR="00F0709D" w:rsidRDefault="004D2338">
            <w:r>
              <w:rPr>
                <w:color w:val="222222"/>
                <w:sz w:val="19"/>
                <w:szCs w:val="19"/>
              </w:rPr>
              <w:t>Expected under Principle 7 for sensitive health data</w:t>
            </w:r>
          </w:p>
        </w:tc>
      </w:tr>
      <w:tr w:rsidR="00F0709D" w14:paraId="77A5276A"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F45EEED" w14:textId="77777777" w:rsidR="00F0709D" w:rsidRDefault="004D2338">
            <w:r>
              <w:rPr>
                <w:b/>
                <w:bCs/>
                <w:color w:val="222222"/>
                <w:sz w:val="19"/>
                <w:szCs w:val="19"/>
              </w:rPr>
              <w:t>Access Controls</w:t>
            </w:r>
          </w:p>
        </w:tc>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8EBDCDA" w14:textId="77777777" w:rsidR="00F0709D" w:rsidRDefault="004D2338">
            <w:r>
              <w:rPr>
                <w:color w:val="222222"/>
                <w:sz w:val="19"/>
                <w:szCs w:val="19"/>
              </w:rPr>
              <w:t>Required: unique IDs, minimum necessary, access management</w:t>
            </w:r>
          </w:p>
        </w:tc>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1B848079" w14:textId="77777777" w:rsidR="00F0709D" w:rsidRDefault="004D2338">
            <w:r>
              <w:rPr>
                <w:color w:val="222222"/>
                <w:sz w:val="19"/>
                <w:szCs w:val="19"/>
              </w:rPr>
              <w:t>s.29: minimum necessary access (need to know)</w:t>
            </w:r>
          </w:p>
        </w:tc>
        <w:tc>
          <w:tcPr>
            <w:tcW w:w="2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5415D4D" w14:textId="77777777" w:rsidR="00F0709D" w:rsidRDefault="004D2338">
            <w:r>
              <w:rPr>
                <w:color w:val="222222"/>
                <w:sz w:val="19"/>
                <w:szCs w:val="19"/>
              </w:rPr>
              <w:t>Principles 4 and 7</w:t>
            </w:r>
          </w:p>
        </w:tc>
      </w:tr>
      <w:tr w:rsidR="00F0709D" w14:paraId="5D6500C8"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5E6028C" w14:textId="77777777" w:rsidR="00F0709D" w:rsidRDefault="004D2338">
            <w:r>
              <w:rPr>
                <w:b/>
                <w:bCs/>
                <w:color w:val="222222"/>
                <w:sz w:val="19"/>
                <w:szCs w:val="19"/>
              </w:rPr>
              <w:t>Audit Logging</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33FC8436" w14:textId="77777777" w:rsidR="00F0709D" w:rsidRDefault="004D2338">
            <w:r>
              <w:rPr>
                <w:color w:val="222222"/>
                <w:sz w:val="19"/>
                <w:szCs w:val="19"/>
              </w:rPr>
              <w:t>Required: hardware, software, and procedural audit controls</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968CCCD" w14:textId="77777777" w:rsidR="00F0709D" w:rsidRDefault="004D2338">
            <w:r>
              <w:rPr>
                <w:color w:val="222222"/>
                <w:sz w:val="19"/>
                <w:szCs w:val="19"/>
              </w:rPr>
              <w:t>s.10: audit trail for personal information access</w:t>
            </w:r>
          </w:p>
        </w:tc>
        <w:tc>
          <w:tcPr>
            <w:tcW w:w="2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4485D5B9" w14:textId="77777777" w:rsidR="00F0709D" w:rsidRDefault="004D2338">
            <w:r>
              <w:rPr>
                <w:color w:val="222222"/>
                <w:sz w:val="19"/>
                <w:szCs w:val="19"/>
              </w:rPr>
              <w:t>Principle 7 (Safeguards): evidence of access controls</w:t>
            </w:r>
          </w:p>
        </w:tc>
      </w:tr>
      <w:tr w:rsidR="00F0709D" w14:paraId="771B2248"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6DBEC0D" w14:textId="77777777" w:rsidR="00F0709D" w:rsidRDefault="004D2338">
            <w:r>
              <w:rPr>
                <w:b/>
                <w:bCs/>
                <w:color w:val="222222"/>
                <w:sz w:val="19"/>
                <w:szCs w:val="19"/>
              </w:rPr>
              <w:t>Workforce Training</w:t>
            </w:r>
          </w:p>
        </w:tc>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3DFB57B5" w14:textId="77777777" w:rsidR="00F0709D" w:rsidRDefault="004D2338">
            <w:r>
              <w:rPr>
                <w:color w:val="222222"/>
                <w:sz w:val="19"/>
                <w:szCs w:val="19"/>
              </w:rPr>
              <w:t>Addressable: HIPAA-specific awareness training</w:t>
            </w:r>
          </w:p>
        </w:tc>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6E60A24D" w14:textId="77777777" w:rsidR="00F0709D" w:rsidRDefault="004D2338">
            <w:r>
              <w:rPr>
                <w:color w:val="222222"/>
                <w:sz w:val="19"/>
                <w:szCs w:val="19"/>
              </w:rPr>
              <w:t>s.12: agents must be informed of their privacy obligations</w:t>
            </w:r>
          </w:p>
        </w:tc>
        <w:tc>
          <w:tcPr>
            <w:tcW w:w="2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C3F653A" w14:textId="77777777" w:rsidR="00F0709D" w:rsidRDefault="004D2338">
            <w:r>
              <w:rPr>
                <w:color w:val="222222"/>
                <w:sz w:val="19"/>
                <w:szCs w:val="19"/>
              </w:rPr>
              <w:t>Principle 1 (Accountability): staff awareness</w:t>
            </w:r>
          </w:p>
        </w:tc>
      </w:tr>
      <w:tr w:rsidR="00F0709D" w14:paraId="4A5225B5"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6FF178B" w14:textId="77777777" w:rsidR="00F0709D" w:rsidRDefault="004D2338">
            <w:r>
              <w:rPr>
                <w:b/>
                <w:bCs/>
                <w:color w:val="222222"/>
                <w:sz w:val="19"/>
                <w:szCs w:val="19"/>
              </w:rPr>
              <w:t>Third-Party Agreements</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3372535" w14:textId="77777777" w:rsidR="00F0709D" w:rsidRDefault="004D2338">
            <w:r>
              <w:rPr>
                <w:color w:val="222222"/>
                <w:sz w:val="19"/>
                <w:szCs w:val="19"/>
              </w:rPr>
              <w:t>BAA required with all BAs and sub-BAs</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59B49CE" w14:textId="77777777" w:rsidR="00F0709D" w:rsidRDefault="004D2338">
            <w:r>
              <w:rPr>
                <w:color w:val="222222"/>
                <w:sz w:val="19"/>
                <w:szCs w:val="19"/>
              </w:rPr>
              <w:t>DPA with agents handling PHI (by analogy)</w:t>
            </w:r>
          </w:p>
        </w:tc>
        <w:tc>
          <w:tcPr>
            <w:tcW w:w="2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416B3EB9" w14:textId="77777777" w:rsidR="00F0709D" w:rsidRDefault="004D2338">
            <w:r>
              <w:rPr>
                <w:color w:val="222222"/>
                <w:sz w:val="19"/>
                <w:szCs w:val="19"/>
              </w:rPr>
              <w:t>Principle 1: accountability for third-party processing</w:t>
            </w:r>
          </w:p>
        </w:tc>
      </w:tr>
      <w:tr w:rsidR="00F0709D" w14:paraId="536C204D" w14:textId="77777777">
        <w:tblPrEx>
          <w:tblCellMar>
            <w:top w:w="0" w:type="dxa"/>
            <w:bottom w:w="0" w:type="dxa"/>
          </w:tblCellMar>
        </w:tblPrEx>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C7D7D2D" w14:textId="77777777" w:rsidR="00F0709D" w:rsidRDefault="004D2338">
            <w:r>
              <w:rPr>
                <w:b/>
                <w:bCs/>
                <w:color w:val="222222"/>
                <w:sz w:val="19"/>
                <w:szCs w:val="19"/>
              </w:rPr>
              <w:t>Documentation Retention</w:t>
            </w:r>
          </w:p>
        </w:tc>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537FAD2" w14:textId="77777777" w:rsidR="00F0709D" w:rsidRDefault="004D2338">
            <w:r>
              <w:rPr>
                <w:color w:val="222222"/>
                <w:sz w:val="19"/>
                <w:szCs w:val="19"/>
              </w:rPr>
              <w:t>6 years from creation or last effective date</w:t>
            </w:r>
          </w:p>
        </w:tc>
        <w:tc>
          <w:tcPr>
            <w:tcW w:w="22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F9E0B1A" w14:textId="77777777" w:rsidR="00F0709D" w:rsidRDefault="004D2338">
            <w:r>
              <w:rPr>
                <w:color w:val="222222"/>
                <w:sz w:val="19"/>
                <w:szCs w:val="19"/>
              </w:rPr>
              <w:t>Record retention per Regulation 114/94</w:t>
            </w:r>
          </w:p>
        </w:tc>
        <w:tc>
          <w:tcPr>
            <w:tcW w:w="2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D1CC2DA" w14:textId="77777777" w:rsidR="00F0709D" w:rsidRDefault="004D2338">
            <w:r>
              <w:rPr>
                <w:color w:val="222222"/>
                <w:sz w:val="19"/>
                <w:szCs w:val="19"/>
              </w:rPr>
              <w:t>Principle 5: retained only as long as necessary</w:t>
            </w:r>
          </w:p>
        </w:tc>
      </w:tr>
    </w:tbl>
    <w:p w14:paraId="76201498" w14:textId="77777777" w:rsidR="00F0709D" w:rsidRDefault="00F0709D">
      <w:pPr>
        <w:spacing w:before="80"/>
      </w:pPr>
    </w:p>
    <w:p w14:paraId="47C2F744" w14:textId="77777777" w:rsidR="00F0709D" w:rsidRDefault="004D2338">
      <w:pPr>
        <w:pBdr>
          <w:left w:val="single" w:sz="12" w:space="8" w:color="243D60"/>
        </w:pBdr>
        <w:spacing w:before="60" w:after="100"/>
        <w:ind w:left="200"/>
      </w:pPr>
      <w:r>
        <w:rPr>
          <w:i/>
          <w:iCs/>
          <w:color w:val="243D60"/>
          <w:sz w:val="18"/>
          <w:szCs w:val="18"/>
        </w:rPr>
        <w:t>Auditor's note: The ePHI-scoped risk analysis (RA-001), the IRP update for breach notification (RA-002), and the HIPAA workforce training module (RA-007) each directly satisfy PHIPA s.12 and PIPEDA Principle 7 requirements. CrossBorder does not need three separate compliance programs. One well-structured remediation plan covers all three frameworks simultaneously.</w:t>
      </w:r>
    </w:p>
    <w:p w14:paraId="1D94C2D9" w14:textId="77777777" w:rsidR="00F0709D" w:rsidRDefault="004D2338">
      <w:r>
        <w:br w:type="page"/>
      </w:r>
    </w:p>
    <w:p w14:paraId="6F03BBD2" w14:textId="77777777" w:rsidR="00F0709D" w:rsidRDefault="004D2338">
      <w:pPr>
        <w:pBdr>
          <w:bottom w:val="single" w:sz="10" w:space="3" w:color="1A2E4A"/>
        </w:pBdr>
        <w:spacing w:before="320" w:after="80"/>
      </w:pPr>
      <w:r>
        <w:rPr>
          <w:b/>
          <w:bCs/>
          <w:color w:val="1A2E4A"/>
          <w:sz w:val="26"/>
          <w:szCs w:val="26"/>
        </w:rPr>
        <w:t>6. BAA EXECUTION READINESS   |   REMEDIATION TIMELINE</w:t>
      </w:r>
    </w:p>
    <w:p w14:paraId="7D4961F1" w14:textId="77777777" w:rsidR="00F0709D" w:rsidRDefault="004D2338">
      <w:pPr>
        <w:spacing w:before="60" w:after="120"/>
      </w:pPr>
      <w:r>
        <w:rPr>
          <w:color w:val="222222"/>
        </w:rPr>
        <w:t>All 14 BAA-blocking findings must be closed and documented before the BAA with MidWest Health System can be signed. The timeline below is structured to meet the July 31, 2026 execution date.</w:t>
      </w:r>
    </w:p>
    <w:p w14:paraId="033F6818" w14:textId="77777777" w:rsidR="00F0709D" w:rsidRDefault="00F0709D">
      <w:pPr>
        <w:spacing w:before="6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600"/>
        <w:gridCol w:w="1600"/>
        <w:gridCol w:w="1600"/>
      </w:tblGrid>
      <w:tr w:rsidR="00F0709D" w14:paraId="3A5FA19D" w14:textId="77777777">
        <w:tblPrEx>
          <w:tblCellMar>
            <w:top w:w="0" w:type="dxa"/>
            <w:bottom w:w="0" w:type="dxa"/>
          </w:tblCellMar>
        </w:tblPrEx>
        <w:tc>
          <w:tcPr>
            <w:tcW w:w="16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28918D7" w14:textId="77777777" w:rsidR="00F0709D" w:rsidRDefault="004D2338">
            <w:pPr>
              <w:jc w:val="center"/>
            </w:pPr>
            <w:r>
              <w:rPr>
                <w:b/>
                <w:bCs/>
                <w:color w:val="FFFFFF"/>
                <w:sz w:val="18"/>
                <w:szCs w:val="18"/>
              </w:rPr>
              <w:t>Phase</w:t>
            </w:r>
          </w:p>
        </w:tc>
        <w:tc>
          <w:tcPr>
            <w:tcW w:w="18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508ACBD2" w14:textId="77777777" w:rsidR="00F0709D" w:rsidRDefault="004D2338">
            <w:pPr>
              <w:jc w:val="center"/>
            </w:pPr>
            <w:r>
              <w:rPr>
                <w:b/>
                <w:bCs/>
                <w:color w:val="FFFFFF"/>
                <w:sz w:val="18"/>
                <w:szCs w:val="18"/>
              </w:rPr>
              <w:t>By</w:t>
            </w:r>
          </w:p>
        </w:tc>
        <w:tc>
          <w:tcPr>
            <w:tcW w:w="26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77BA0E5A" w14:textId="77777777" w:rsidR="00F0709D" w:rsidRDefault="004D2338">
            <w:pPr>
              <w:jc w:val="center"/>
            </w:pPr>
            <w:r>
              <w:rPr>
                <w:b/>
                <w:bCs/>
                <w:color w:val="FFFFFF"/>
                <w:sz w:val="18"/>
                <w:szCs w:val="18"/>
              </w:rPr>
              <w:t>Key Actions</w:t>
            </w:r>
          </w:p>
        </w:tc>
        <w:tc>
          <w:tcPr>
            <w:tcW w:w="16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7C59572" w14:textId="77777777" w:rsidR="00F0709D" w:rsidRDefault="004D2338">
            <w:pPr>
              <w:jc w:val="center"/>
            </w:pPr>
            <w:r>
              <w:rPr>
                <w:b/>
                <w:bCs/>
                <w:color w:val="FFFFFF"/>
                <w:sz w:val="18"/>
                <w:szCs w:val="18"/>
              </w:rPr>
              <w:t>Lead</w:t>
            </w:r>
          </w:p>
        </w:tc>
        <w:tc>
          <w:tcPr>
            <w:tcW w:w="16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2030EE8" w14:textId="77777777" w:rsidR="00F0709D" w:rsidRDefault="004D2338">
            <w:pPr>
              <w:jc w:val="center"/>
            </w:pPr>
            <w:r>
              <w:rPr>
                <w:b/>
                <w:bCs/>
                <w:color w:val="FFFFFF"/>
                <w:sz w:val="18"/>
                <w:szCs w:val="18"/>
              </w:rPr>
              <w:t>Clears</w:t>
            </w:r>
          </w:p>
        </w:tc>
      </w:tr>
      <w:tr w:rsidR="00F0709D" w14:paraId="670E456D" w14:textId="77777777">
        <w:tblPrEx>
          <w:tblCellMar>
            <w:top w:w="0" w:type="dxa"/>
            <w:bottom w:w="0" w:type="dxa"/>
          </w:tblCellMar>
        </w:tblPrEx>
        <w:tc>
          <w:tcPr>
            <w:tcW w:w="1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01C7DAE2" w14:textId="77777777" w:rsidR="00F0709D" w:rsidRDefault="004D2338">
            <w:r>
              <w:rPr>
                <w:b/>
                <w:bCs/>
                <w:color w:val="222222"/>
                <w:sz w:val="19"/>
                <w:szCs w:val="19"/>
              </w:rPr>
              <w:t>Phase 1: Immediate</w:t>
            </w:r>
          </w:p>
        </w:tc>
        <w:tc>
          <w:tcPr>
            <w:tcW w:w="1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B24B138" w14:textId="77777777" w:rsidR="00F0709D" w:rsidRDefault="004D2338">
            <w:r>
              <w:rPr>
                <w:color w:val="222222"/>
                <w:sz w:val="19"/>
                <w:szCs w:val="19"/>
              </w:rPr>
              <w:t>June 15, 2026</w:t>
            </w:r>
          </w:p>
        </w:tc>
        <w:tc>
          <w:tcPr>
            <w:tcW w:w="2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9AF961F" w14:textId="77777777" w:rsidR="00F0709D" w:rsidRDefault="004D2338">
            <w:r>
              <w:rPr>
                <w:color w:val="222222"/>
                <w:sz w:val="19"/>
                <w:szCs w:val="19"/>
              </w:rPr>
              <w:t>Revoke ePHI access for 4 staff with no business need. Develop treatment plans for 3 open ePHI risks. Begin ePHI-scoped risk analysis.</w:t>
            </w:r>
          </w:p>
        </w:tc>
        <w:tc>
          <w:tcPr>
            <w:tcW w:w="1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01F1FDE" w14:textId="77777777" w:rsidR="00F0709D" w:rsidRDefault="004D2338">
            <w:r>
              <w:rPr>
                <w:color w:val="222222"/>
                <w:sz w:val="19"/>
                <w:szCs w:val="19"/>
              </w:rPr>
              <w:t>CISO / IAM</w:t>
            </w:r>
          </w:p>
        </w:tc>
        <w:tc>
          <w:tcPr>
            <w:tcW w:w="1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5166430" w14:textId="77777777" w:rsidR="00F0709D" w:rsidRDefault="004D2338">
            <w:r>
              <w:rPr>
                <w:color w:val="222222"/>
                <w:sz w:val="19"/>
                <w:szCs w:val="19"/>
              </w:rPr>
              <w:t>RA-006, RA-008</w:t>
            </w:r>
          </w:p>
        </w:tc>
      </w:tr>
      <w:tr w:rsidR="00F0709D" w14:paraId="1E95D0A3" w14:textId="77777777">
        <w:tblPrEx>
          <w:tblCellMar>
            <w:top w:w="0" w:type="dxa"/>
            <w:bottom w:w="0" w:type="dxa"/>
          </w:tblCellMar>
        </w:tblPrEx>
        <w:tc>
          <w:tcPr>
            <w:tcW w:w="1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298A4515" w14:textId="77777777" w:rsidR="00F0709D" w:rsidRDefault="004D2338">
            <w:r>
              <w:rPr>
                <w:b/>
                <w:bCs/>
                <w:color w:val="222222"/>
                <w:sz w:val="19"/>
                <w:szCs w:val="19"/>
              </w:rPr>
              <w:t>Phase 2: Technical</w:t>
            </w:r>
          </w:p>
        </w:tc>
        <w:tc>
          <w:tcPr>
            <w:tcW w:w="1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38891258" w14:textId="77777777" w:rsidR="00F0709D" w:rsidRDefault="004D2338">
            <w:r>
              <w:rPr>
                <w:color w:val="222222"/>
                <w:sz w:val="19"/>
                <w:szCs w:val="19"/>
              </w:rPr>
              <w:t>June 30, 2026</w:t>
            </w:r>
          </w:p>
        </w:tc>
        <w:tc>
          <w:tcPr>
            <w:tcW w:w="2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7D917A07" w14:textId="77777777" w:rsidR="00F0709D" w:rsidRDefault="004D2338">
            <w:r>
              <w:rPr>
                <w:color w:val="222222"/>
                <w:sz w:val="19"/>
                <w:szCs w:val="19"/>
              </w:rPr>
              <w:t>SSH MFA via Teleport. MDM enrollment for 9 ePHI-access laptops. Execute 3 subcontractor BAAs. Document emergency access procedure. Extend Databricks log retention. Document ePHI termination procedure. Update AUP. Enable S3 Object Lock.</w:t>
            </w:r>
          </w:p>
        </w:tc>
        <w:tc>
          <w:tcPr>
            <w:tcW w:w="1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51036A5C" w14:textId="77777777" w:rsidR="00F0709D" w:rsidRDefault="004D2338">
            <w:r>
              <w:rPr>
                <w:color w:val="222222"/>
                <w:sz w:val="19"/>
                <w:szCs w:val="19"/>
              </w:rPr>
              <w:t>CISO / VP Engineering / CLO</w:t>
            </w:r>
          </w:p>
        </w:tc>
        <w:tc>
          <w:tcPr>
            <w:tcW w:w="1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0B14232B" w14:textId="77777777" w:rsidR="00F0709D" w:rsidRDefault="004D2338">
            <w:r>
              <w:rPr>
                <w:color w:val="222222"/>
                <w:sz w:val="19"/>
                <w:szCs w:val="19"/>
              </w:rPr>
              <w:t>RA-003 to RA-005, RA-009 to RA-012, RA-016</w:t>
            </w:r>
          </w:p>
        </w:tc>
      </w:tr>
      <w:tr w:rsidR="00F0709D" w14:paraId="20DFFF0F" w14:textId="77777777">
        <w:tblPrEx>
          <w:tblCellMar>
            <w:top w:w="0" w:type="dxa"/>
            <w:bottom w:w="0" w:type="dxa"/>
          </w:tblCellMar>
        </w:tblPrEx>
        <w:tc>
          <w:tcPr>
            <w:tcW w:w="1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471B08A" w14:textId="77777777" w:rsidR="00F0709D" w:rsidRDefault="004D2338">
            <w:r>
              <w:rPr>
                <w:b/>
                <w:bCs/>
                <w:color w:val="222222"/>
                <w:sz w:val="19"/>
                <w:szCs w:val="19"/>
              </w:rPr>
              <w:t>Phase 3: Documentation</w:t>
            </w:r>
          </w:p>
        </w:tc>
        <w:tc>
          <w:tcPr>
            <w:tcW w:w="18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488E883B" w14:textId="77777777" w:rsidR="00F0709D" w:rsidRDefault="004D2338">
            <w:r>
              <w:rPr>
                <w:color w:val="222222"/>
                <w:sz w:val="19"/>
                <w:szCs w:val="19"/>
              </w:rPr>
              <w:t>July 15, 2026</w:t>
            </w:r>
          </w:p>
        </w:tc>
        <w:tc>
          <w:tcPr>
            <w:tcW w:w="2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F0D2111" w14:textId="77777777" w:rsidR="00F0709D" w:rsidRDefault="004D2338">
            <w:r>
              <w:rPr>
                <w:color w:val="222222"/>
                <w:sz w:val="19"/>
                <w:szCs w:val="19"/>
              </w:rPr>
              <w:t>Complete ePHI risk analysis. Update IRP for HIPAA breach notification. Draft HIPAA Security Policy. Assemble documentation package. Implement change-triggered evaluation process.</w:t>
            </w:r>
          </w:p>
        </w:tc>
        <w:tc>
          <w:tcPr>
            <w:tcW w:w="1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5BA56A7" w14:textId="77777777" w:rsidR="00F0709D" w:rsidRDefault="004D2338">
            <w:r>
              <w:rPr>
                <w:color w:val="222222"/>
                <w:sz w:val="19"/>
                <w:szCs w:val="19"/>
              </w:rPr>
              <w:t>CISO / Privacy Officer</w:t>
            </w:r>
          </w:p>
        </w:tc>
        <w:tc>
          <w:tcPr>
            <w:tcW w:w="16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689B1776" w14:textId="77777777" w:rsidR="00F0709D" w:rsidRDefault="004D2338">
            <w:r>
              <w:rPr>
                <w:color w:val="222222"/>
                <w:sz w:val="19"/>
                <w:szCs w:val="19"/>
              </w:rPr>
              <w:t>RA-001, RA-002, RA-013, RA-015, RA-017</w:t>
            </w:r>
          </w:p>
        </w:tc>
      </w:tr>
      <w:tr w:rsidR="00F0709D" w14:paraId="50524D4C" w14:textId="77777777">
        <w:tblPrEx>
          <w:tblCellMar>
            <w:top w:w="0" w:type="dxa"/>
            <w:bottom w:w="0" w:type="dxa"/>
          </w:tblCellMar>
        </w:tblPrEx>
        <w:tc>
          <w:tcPr>
            <w:tcW w:w="1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C489939" w14:textId="77777777" w:rsidR="00F0709D" w:rsidRDefault="004D2338">
            <w:r>
              <w:rPr>
                <w:b/>
                <w:bCs/>
                <w:color w:val="222222"/>
                <w:sz w:val="19"/>
                <w:szCs w:val="19"/>
              </w:rPr>
              <w:t>Phase 4: Training</w:t>
            </w:r>
          </w:p>
        </w:tc>
        <w:tc>
          <w:tcPr>
            <w:tcW w:w="18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182AF115" w14:textId="77777777" w:rsidR="00F0709D" w:rsidRDefault="004D2338">
            <w:r>
              <w:rPr>
                <w:color w:val="222222"/>
                <w:sz w:val="19"/>
                <w:szCs w:val="19"/>
              </w:rPr>
              <w:t>July 15, 2026</w:t>
            </w:r>
          </w:p>
        </w:tc>
        <w:tc>
          <w:tcPr>
            <w:tcW w:w="2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26F7025" w14:textId="77777777" w:rsidR="00F0709D" w:rsidRDefault="004D2338">
            <w:r>
              <w:rPr>
                <w:color w:val="222222"/>
                <w:sz w:val="19"/>
                <w:szCs w:val="19"/>
              </w:rPr>
              <w:t>Deliver HIPAA training module to all staff with ePHI access. Confirm 100% completion.</w:t>
            </w:r>
          </w:p>
        </w:tc>
        <w:tc>
          <w:tcPr>
            <w:tcW w:w="1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482E1A27" w14:textId="77777777" w:rsidR="00F0709D" w:rsidRDefault="004D2338">
            <w:r>
              <w:rPr>
                <w:color w:val="222222"/>
                <w:sz w:val="19"/>
                <w:szCs w:val="19"/>
              </w:rPr>
              <w:t>CISO / Chief People Officer</w:t>
            </w:r>
          </w:p>
        </w:tc>
        <w:tc>
          <w:tcPr>
            <w:tcW w:w="1600" w:type="dxa"/>
            <w:tcBorders>
              <w:top w:val="single" w:sz="4" w:space="0" w:color="B0C4D8"/>
              <w:left w:val="single" w:sz="4" w:space="0" w:color="B0C4D8"/>
              <w:bottom w:val="single" w:sz="4" w:space="0" w:color="B0C4D8"/>
              <w:right w:val="single" w:sz="4" w:space="0" w:color="B0C4D8"/>
            </w:tcBorders>
            <w:tcMar>
              <w:top w:w="60" w:type="dxa"/>
              <w:left w:w="100" w:type="dxa"/>
              <w:bottom w:w="60" w:type="dxa"/>
              <w:right w:w="100" w:type="dxa"/>
            </w:tcMar>
            <w:vAlign w:val="center"/>
          </w:tcPr>
          <w:p w14:paraId="2BAE146C" w14:textId="77777777" w:rsidR="00F0709D" w:rsidRDefault="004D2338">
            <w:r>
              <w:rPr>
                <w:color w:val="222222"/>
                <w:sz w:val="19"/>
                <w:szCs w:val="19"/>
              </w:rPr>
              <w:t>RA-007</w:t>
            </w:r>
          </w:p>
        </w:tc>
      </w:tr>
      <w:tr w:rsidR="00F0709D" w14:paraId="6AAE88D5" w14:textId="77777777">
        <w:tblPrEx>
          <w:tblCellMar>
            <w:top w:w="0" w:type="dxa"/>
            <w:bottom w:w="0" w:type="dxa"/>
          </w:tblCellMar>
        </w:tblPrEx>
        <w:tc>
          <w:tcPr>
            <w:tcW w:w="1600" w:type="dxa"/>
            <w:tcBorders>
              <w:top w:val="single" w:sz="4" w:space="0" w:color="B0C4D8"/>
              <w:left w:val="single" w:sz="4" w:space="0" w:color="B0C4D8"/>
              <w:bottom w:val="single" w:sz="4" w:space="0" w:color="B0C4D8"/>
              <w:right w:val="single" w:sz="4" w:space="0" w:color="B0C4D8"/>
            </w:tcBorders>
            <w:shd w:val="clear" w:color="auto" w:fill="E6F4EA"/>
            <w:tcMar>
              <w:top w:w="60" w:type="dxa"/>
              <w:left w:w="100" w:type="dxa"/>
              <w:bottom w:w="60" w:type="dxa"/>
              <w:right w:w="100" w:type="dxa"/>
            </w:tcMar>
            <w:vAlign w:val="center"/>
          </w:tcPr>
          <w:p w14:paraId="006C4331" w14:textId="77777777" w:rsidR="00F0709D" w:rsidRDefault="004D2338">
            <w:r>
              <w:rPr>
                <w:b/>
                <w:bCs/>
                <w:color w:val="222222"/>
                <w:sz w:val="19"/>
                <w:szCs w:val="19"/>
              </w:rPr>
              <w:t>BAA Execution</w:t>
            </w:r>
          </w:p>
        </w:tc>
        <w:tc>
          <w:tcPr>
            <w:tcW w:w="1800" w:type="dxa"/>
            <w:tcBorders>
              <w:top w:val="single" w:sz="4" w:space="0" w:color="B0C4D8"/>
              <w:left w:val="single" w:sz="4" w:space="0" w:color="B0C4D8"/>
              <w:bottom w:val="single" w:sz="4" w:space="0" w:color="B0C4D8"/>
              <w:right w:val="single" w:sz="4" w:space="0" w:color="B0C4D8"/>
            </w:tcBorders>
            <w:shd w:val="clear" w:color="auto" w:fill="E6F4EA"/>
            <w:tcMar>
              <w:top w:w="60" w:type="dxa"/>
              <w:left w:w="100" w:type="dxa"/>
              <w:bottom w:w="60" w:type="dxa"/>
              <w:right w:w="100" w:type="dxa"/>
            </w:tcMar>
            <w:vAlign w:val="center"/>
          </w:tcPr>
          <w:p w14:paraId="545A5576" w14:textId="77777777" w:rsidR="00F0709D" w:rsidRDefault="004D2338">
            <w:r>
              <w:rPr>
                <w:color w:val="222222"/>
                <w:sz w:val="19"/>
                <w:szCs w:val="19"/>
              </w:rPr>
              <w:t>July 31, 2026</w:t>
            </w:r>
          </w:p>
        </w:tc>
        <w:tc>
          <w:tcPr>
            <w:tcW w:w="2600" w:type="dxa"/>
            <w:tcBorders>
              <w:top w:val="single" w:sz="4" w:space="0" w:color="B0C4D8"/>
              <w:left w:val="single" w:sz="4" w:space="0" w:color="B0C4D8"/>
              <w:bottom w:val="single" w:sz="4" w:space="0" w:color="B0C4D8"/>
              <w:right w:val="single" w:sz="4" w:space="0" w:color="B0C4D8"/>
            </w:tcBorders>
            <w:shd w:val="clear" w:color="auto" w:fill="E6F4EA"/>
            <w:tcMar>
              <w:top w:w="60" w:type="dxa"/>
              <w:left w:w="100" w:type="dxa"/>
              <w:bottom w:w="60" w:type="dxa"/>
              <w:right w:w="100" w:type="dxa"/>
            </w:tcMar>
            <w:vAlign w:val="center"/>
          </w:tcPr>
          <w:p w14:paraId="288D8595" w14:textId="77777777" w:rsidR="00F0709D" w:rsidRDefault="004D2338">
            <w:r>
              <w:rPr>
                <w:color w:val="222222"/>
                <w:sz w:val="19"/>
                <w:szCs w:val="19"/>
              </w:rPr>
              <w:t>Execute BAA with MidWest Health System. Provide documentation package. Retain BAA for 6 years.</w:t>
            </w:r>
          </w:p>
        </w:tc>
        <w:tc>
          <w:tcPr>
            <w:tcW w:w="1600" w:type="dxa"/>
            <w:tcBorders>
              <w:top w:val="single" w:sz="4" w:space="0" w:color="B0C4D8"/>
              <w:left w:val="single" w:sz="4" w:space="0" w:color="B0C4D8"/>
              <w:bottom w:val="single" w:sz="4" w:space="0" w:color="B0C4D8"/>
              <w:right w:val="single" w:sz="4" w:space="0" w:color="B0C4D8"/>
            </w:tcBorders>
            <w:shd w:val="clear" w:color="auto" w:fill="E6F4EA"/>
            <w:tcMar>
              <w:top w:w="60" w:type="dxa"/>
              <w:left w:w="100" w:type="dxa"/>
              <w:bottom w:w="60" w:type="dxa"/>
              <w:right w:w="100" w:type="dxa"/>
            </w:tcMar>
            <w:vAlign w:val="center"/>
          </w:tcPr>
          <w:p w14:paraId="584A71C8" w14:textId="77777777" w:rsidR="00F0709D" w:rsidRDefault="004D2338">
            <w:r>
              <w:rPr>
                <w:color w:val="222222"/>
                <w:sz w:val="19"/>
                <w:szCs w:val="19"/>
              </w:rPr>
              <w:t>CLO / Privacy Officer</w:t>
            </w:r>
          </w:p>
        </w:tc>
        <w:tc>
          <w:tcPr>
            <w:tcW w:w="1600" w:type="dxa"/>
            <w:tcBorders>
              <w:top w:val="single" w:sz="4" w:space="0" w:color="B0C4D8"/>
              <w:left w:val="single" w:sz="4" w:space="0" w:color="B0C4D8"/>
              <w:bottom w:val="single" w:sz="4" w:space="0" w:color="B0C4D8"/>
              <w:right w:val="single" w:sz="4" w:space="0" w:color="B0C4D8"/>
            </w:tcBorders>
            <w:shd w:val="clear" w:color="auto" w:fill="E6F4EA"/>
            <w:tcMar>
              <w:top w:w="60" w:type="dxa"/>
              <w:left w:w="100" w:type="dxa"/>
              <w:bottom w:w="60" w:type="dxa"/>
              <w:right w:w="100" w:type="dxa"/>
            </w:tcMar>
            <w:vAlign w:val="center"/>
          </w:tcPr>
          <w:p w14:paraId="3AFBD887" w14:textId="77777777" w:rsidR="00F0709D" w:rsidRDefault="004D2338">
            <w:r>
              <w:rPr>
                <w:color w:val="222222"/>
                <w:sz w:val="19"/>
                <w:szCs w:val="19"/>
              </w:rPr>
              <w:t>RA-014</w:t>
            </w:r>
          </w:p>
        </w:tc>
      </w:tr>
    </w:tbl>
    <w:p w14:paraId="44C452C2" w14:textId="77777777" w:rsidR="00F0709D" w:rsidRDefault="00F0709D">
      <w:pPr>
        <w:spacing w:before="80"/>
      </w:pPr>
    </w:p>
    <w:p w14:paraId="3AA7AE39" w14:textId="77777777" w:rsidR="00F0709D" w:rsidRDefault="004D2338">
      <w:pPr>
        <w:pBdr>
          <w:left w:val="single" w:sz="16" w:space="8" w:color="C62828"/>
        </w:pBdr>
        <w:spacing w:before="60" w:after="100"/>
        <w:ind w:left="200"/>
      </w:pPr>
      <w:r>
        <w:rPr>
          <w:b/>
          <w:bCs/>
          <w:color w:val="C62828"/>
          <w:sz w:val="18"/>
          <w:szCs w:val="18"/>
        </w:rPr>
        <w:t>CrossBorder has been receiving ePHI since March 2026. The HITECH breach notification obligation is active right now. If a breach occurs involving those 2.4M patient records before the IRP is updated, CrossBorder has no documented procedure to fulfill its 60-day notification requirement to MidWest Health System. Updating the IRP is the first documentation action to complete, regardless of the broader phase structure above.</w:t>
      </w:r>
    </w:p>
    <w:p w14:paraId="4DD3A110" w14:textId="77777777" w:rsidR="00F0709D" w:rsidRDefault="004D2338">
      <w:r>
        <w:br w:type="page"/>
      </w:r>
    </w:p>
    <w:p w14:paraId="4AD6D348" w14:textId="77777777" w:rsidR="00F0709D" w:rsidRDefault="004D2338">
      <w:pPr>
        <w:pBdr>
          <w:bottom w:val="single" w:sz="10" w:space="3" w:color="1A2E4A"/>
        </w:pBdr>
        <w:spacing w:before="320" w:after="80"/>
      </w:pPr>
      <w:r>
        <w:rPr>
          <w:b/>
          <w:bCs/>
          <w:color w:val="1A2E4A"/>
          <w:sz w:val="26"/>
          <w:szCs w:val="26"/>
        </w:rPr>
        <w:t>7. HHS OCR ENFORCEMENT CONTEXT</w:t>
      </w:r>
    </w:p>
    <w:p w14:paraId="2E743D49" w14:textId="77777777" w:rsidR="00F0709D" w:rsidRDefault="004D2338">
      <w:pPr>
        <w:spacing w:before="60" w:after="120"/>
      </w:pPr>
      <w:r>
        <w:rPr>
          <w:color w:val="222222"/>
        </w:rPr>
        <w:t>OCR enforcement patterns are worth understanding before prioritizing the remediation plan. The gaps identified in this assessment are not obscure technical findings. They are exactly what OCR looks for first.</w:t>
      </w:r>
    </w:p>
    <w:p w14:paraId="3C5FE1FA" w14:textId="77777777" w:rsidR="00F0709D" w:rsidRDefault="00F0709D">
      <w:pPr>
        <w:spacing w:before="60"/>
      </w:pPr>
    </w:p>
    <w:p w14:paraId="456D0019" w14:textId="77777777" w:rsidR="00F0709D" w:rsidRDefault="004D2338">
      <w:pPr>
        <w:pStyle w:val="ListParagraph"/>
        <w:numPr>
          <w:ilvl w:val="0"/>
          <w:numId w:val="2"/>
        </w:numPr>
        <w:spacing w:before="40" w:after="40"/>
      </w:pPr>
      <w:r>
        <w:rPr>
          <w:color w:val="222222"/>
          <w:sz w:val="19"/>
          <w:szCs w:val="19"/>
        </w:rPr>
        <w:t>Risk analysis deficiency is the single most common OCR finding and has been cited in virtually every Resolution Agreement since 2012.</w:t>
      </w:r>
    </w:p>
    <w:p w14:paraId="01A9957A" w14:textId="77777777" w:rsidR="00F0709D" w:rsidRDefault="004D2338">
      <w:pPr>
        <w:pStyle w:val="ListParagraph"/>
        <w:numPr>
          <w:ilvl w:val="0"/>
          <w:numId w:val="2"/>
        </w:numPr>
        <w:spacing w:before="40" w:after="40"/>
      </w:pPr>
      <w:r>
        <w:rPr>
          <w:color w:val="222222"/>
          <w:sz w:val="19"/>
          <w:szCs w:val="19"/>
        </w:rPr>
        <w:t>Missing BAAs with subcontractors has appeared in multiple enforcement actions involving cloud-based business associates.</w:t>
      </w:r>
    </w:p>
    <w:p w14:paraId="61D82D5A" w14:textId="77777777" w:rsidR="00F0709D" w:rsidRDefault="004D2338">
      <w:pPr>
        <w:pStyle w:val="ListParagraph"/>
        <w:numPr>
          <w:ilvl w:val="0"/>
          <w:numId w:val="2"/>
        </w:numPr>
        <w:spacing w:before="40" w:after="40"/>
      </w:pPr>
      <w:r>
        <w:rPr>
          <w:color w:val="222222"/>
          <w:sz w:val="19"/>
          <w:szCs w:val="19"/>
        </w:rPr>
        <w:t>Authentication control gaps, including MFA deficiencies and shared accounts, are cited in multiple settlements.</w:t>
      </w:r>
    </w:p>
    <w:p w14:paraId="3D50D334" w14:textId="77777777" w:rsidR="00F0709D" w:rsidRDefault="004D2338">
      <w:pPr>
        <w:pStyle w:val="ListParagraph"/>
        <w:numPr>
          <w:ilvl w:val="0"/>
          <w:numId w:val="2"/>
        </w:numPr>
        <w:spacing w:before="40" w:after="40"/>
      </w:pPr>
      <w:r>
        <w:rPr>
          <w:color w:val="222222"/>
          <w:sz w:val="19"/>
          <w:szCs w:val="19"/>
        </w:rPr>
        <w:t>Failure to notify the covered entity within 60 days of a breach has resulted in significant standalone penalties.</w:t>
      </w:r>
    </w:p>
    <w:p w14:paraId="60C33A58" w14:textId="77777777" w:rsidR="00F0709D" w:rsidRDefault="004D2338">
      <w:pPr>
        <w:pStyle w:val="ListParagraph"/>
        <w:numPr>
          <w:ilvl w:val="0"/>
          <w:numId w:val="2"/>
        </w:numPr>
        <w:spacing w:before="40" w:after="40"/>
      </w:pPr>
      <w:r>
        <w:rPr>
          <w:color w:val="222222"/>
          <w:sz w:val="19"/>
          <w:szCs w:val="19"/>
        </w:rPr>
        <w:t>Lack of HIPAA-specific workforce training is regularly cited as an independent violation, separate from any breach.</w:t>
      </w:r>
    </w:p>
    <w:p w14:paraId="3CA2349C" w14:textId="77777777" w:rsidR="00F0709D" w:rsidRDefault="00F0709D">
      <w:pPr>
        <w:spacing w:before="60"/>
      </w:pPr>
    </w:p>
    <w:p w14:paraId="35C91B11" w14:textId="77777777" w:rsidR="00F0709D" w:rsidRDefault="004D2338">
      <w:pPr>
        <w:spacing w:before="60" w:after="120"/>
      </w:pPr>
      <w:r>
        <w:rPr>
          <w:color w:val="222222"/>
        </w:rPr>
        <w:t>Civil Monetary Penalties under the HITECH tier structure (2023 adjusted amounts):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400"/>
      </w:tblGrid>
      <w:tr w:rsidR="00F0709D" w14:paraId="46E5CC7A" w14:textId="77777777">
        <w:tblPrEx>
          <w:tblCellMar>
            <w:top w:w="0" w:type="dxa"/>
            <w:bottom w:w="0" w:type="dxa"/>
          </w:tblCellMar>
        </w:tblPrEx>
        <w:tc>
          <w:tcPr>
            <w:tcW w:w="24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7F201F35" w14:textId="77777777" w:rsidR="00F0709D" w:rsidRDefault="004D2338">
            <w:pPr>
              <w:jc w:val="center"/>
            </w:pPr>
            <w:r>
              <w:rPr>
                <w:b/>
                <w:bCs/>
                <w:color w:val="FFFFFF"/>
                <w:sz w:val="18"/>
                <w:szCs w:val="18"/>
              </w:rPr>
              <w:t>Tier</w:t>
            </w:r>
          </w:p>
        </w:tc>
        <w:tc>
          <w:tcPr>
            <w:tcW w:w="22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0E5A31C3" w14:textId="77777777" w:rsidR="00F0709D" w:rsidRDefault="004D2338">
            <w:pPr>
              <w:jc w:val="center"/>
            </w:pPr>
            <w:r>
              <w:rPr>
                <w:b/>
                <w:bCs/>
                <w:color w:val="FFFFFF"/>
                <w:sz w:val="18"/>
                <w:szCs w:val="18"/>
              </w:rPr>
              <w:t>Per Violation</w:t>
            </w:r>
          </w:p>
        </w:tc>
        <w:tc>
          <w:tcPr>
            <w:tcW w:w="22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533C2E8" w14:textId="77777777" w:rsidR="00F0709D" w:rsidRDefault="004D2338">
            <w:pPr>
              <w:jc w:val="center"/>
            </w:pPr>
            <w:r>
              <w:rPr>
                <w:b/>
                <w:bCs/>
                <w:color w:val="FFFFFF"/>
                <w:sz w:val="18"/>
                <w:szCs w:val="18"/>
              </w:rPr>
              <w:t>Annual Cap</w:t>
            </w:r>
          </w:p>
        </w:tc>
        <w:tc>
          <w:tcPr>
            <w:tcW w:w="2400"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1DC9198C" w14:textId="77777777" w:rsidR="00F0709D" w:rsidRDefault="004D2338">
            <w:pPr>
              <w:jc w:val="center"/>
            </w:pPr>
            <w:r>
              <w:rPr>
                <w:b/>
                <w:bCs/>
                <w:color w:val="FFFFFF"/>
                <w:sz w:val="18"/>
                <w:szCs w:val="18"/>
              </w:rPr>
              <w:t>When It Applies</w:t>
            </w:r>
          </w:p>
        </w:tc>
      </w:tr>
      <w:tr w:rsidR="00F0709D" w14:paraId="44FB4019"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8E23C22" w14:textId="77777777" w:rsidR="00F0709D" w:rsidRDefault="004D2338">
            <w:r>
              <w:rPr>
                <w:b/>
                <w:bCs/>
                <w:color w:val="222222"/>
                <w:sz w:val="19"/>
                <w:szCs w:val="19"/>
              </w:rPr>
              <w:t>Tier 1: Did Not Know</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A29E010" w14:textId="77777777" w:rsidR="00F0709D" w:rsidRDefault="004D2338">
            <w:r>
              <w:rPr>
                <w:color w:val="222222"/>
                <w:sz w:val="19"/>
                <w:szCs w:val="19"/>
              </w:rPr>
              <w:t>$137 to $68,928</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3857517" w14:textId="77777777" w:rsidR="00F0709D" w:rsidRDefault="004D2338">
            <w:r>
              <w:rPr>
                <w:color w:val="222222"/>
                <w:sz w:val="19"/>
                <w:szCs w:val="19"/>
              </w:rPr>
              <w:t>$2,067,813</w:t>
            </w:r>
          </w:p>
        </w:tc>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41E9E4CC" w14:textId="77777777" w:rsidR="00F0709D" w:rsidRDefault="004D2338">
            <w:r>
              <w:rPr>
                <w:color w:val="222222"/>
                <w:sz w:val="19"/>
                <w:szCs w:val="19"/>
              </w:rPr>
              <w:t>Would not have known through reasonable diligence</w:t>
            </w:r>
          </w:p>
        </w:tc>
      </w:tr>
      <w:tr w:rsidR="00F0709D" w14:paraId="66298CAC"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75D6DEB0" w14:textId="77777777" w:rsidR="00F0709D" w:rsidRDefault="004D2338">
            <w:r>
              <w:rPr>
                <w:b/>
                <w:bCs/>
                <w:color w:val="222222"/>
                <w:sz w:val="19"/>
                <w:szCs w:val="19"/>
              </w:rPr>
              <w:t>Tier 2: Reasonable Cause</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4F29FD73" w14:textId="77777777" w:rsidR="00F0709D" w:rsidRDefault="004D2338">
            <w:r>
              <w:rPr>
                <w:color w:val="222222"/>
                <w:sz w:val="19"/>
                <w:szCs w:val="19"/>
              </w:rPr>
              <w:t>$1,379 to $68,928</w:t>
            </w:r>
          </w:p>
        </w:tc>
        <w:tc>
          <w:tcPr>
            <w:tcW w:w="22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8ECF3D4" w14:textId="77777777" w:rsidR="00F0709D" w:rsidRDefault="004D2338">
            <w:r>
              <w:rPr>
                <w:color w:val="222222"/>
                <w:sz w:val="19"/>
                <w:szCs w:val="19"/>
              </w:rPr>
              <w:t>$2,067,813</w:t>
            </w:r>
          </w:p>
        </w:tc>
        <w:tc>
          <w:tcPr>
            <w:tcW w:w="2400"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5552D7B1" w14:textId="77777777" w:rsidR="00F0709D" w:rsidRDefault="004D2338">
            <w:r>
              <w:rPr>
                <w:color w:val="222222"/>
                <w:sz w:val="19"/>
                <w:szCs w:val="19"/>
              </w:rPr>
              <w:t>Reasonable cause but not willful neglect</w:t>
            </w:r>
          </w:p>
        </w:tc>
      </w:tr>
      <w:tr w:rsidR="00F0709D" w14:paraId="6C228D83"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6306877C" w14:textId="77777777" w:rsidR="00F0709D" w:rsidRDefault="004D2338">
            <w:r>
              <w:rPr>
                <w:b/>
                <w:bCs/>
                <w:color w:val="222222"/>
                <w:sz w:val="19"/>
                <w:szCs w:val="19"/>
              </w:rPr>
              <w:t>Tier 3: Willful Neglect, Corrected</w:t>
            </w:r>
          </w:p>
        </w:tc>
        <w:tc>
          <w:tcPr>
            <w:tcW w:w="22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0C889A8F" w14:textId="77777777" w:rsidR="00F0709D" w:rsidRDefault="004D2338">
            <w:r>
              <w:rPr>
                <w:color w:val="222222"/>
                <w:sz w:val="19"/>
                <w:szCs w:val="19"/>
              </w:rPr>
              <w:t>$13,785 to $68,928</w:t>
            </w:r>
          </w:p>
        </w:tc>
        <w:tc>
          <w:tcPr>
            <w:tcW w:w="22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6F9E12BF" w14:textId="77777777" w:rsidR="00F0709D" w:rsidRDefault="004D2338">
            <w:r>
              <w:rPr>
                <w:color w:val="222222"/>
                <w:sz w:val="19"/>
                <w:szCs w:val="19"/>
              </w:rPr>
              <w:t>$2,067,813</w:t>
            </w:r>
          </w:p>
        </w:tc>
        <w:tc>
          <w:tcPr>
            <w:tcW w:w="24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1E422F70" w14:textId="77777777" w:rsidR="00F0709D" w:rsidRDefault="004D2338">
            <w:r>
              <w:rPr>
                <w:color w:val="222222"/>
                <w:sz w:val="19"/>
                <w:szCs w:val="19"/>
              </w:rPr>
              <w:t>Willful neglect corrected within 30 days of discovery</w:t>
            </w:r>
          </w:p>
        </w:tc>
      </w:tr>
      <w:tr w:rsidR="00F0709D" w14:paraId="1A3F96F3" w14:textId="77777777">
        <w:tblPrEx>
          <w:tblCellMar>
            <w:top w:w="0" w:type="dxa"/>
            <w:bottom w:w="0" w:type="dxa"/>
          </w:tblCellMar>
        </w:tblPrEx>
        <w:tc>
          <w:tcPr>
            <w:tcW w:w="24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049BD2C7" w14:textId="77777777" w:rsidR="00F0709D" w:rsidRDefault="004D2338">
            <w:r>
              <w:rPr>
                <w:b/>
                <w:bCs/>
                <w:color w:val="222222"/>
                <w:sz w:val="19"/>
                <w:szCs w:val="19"/>
              </w:rPr>
              <w:t>Tier 4: Willful Neglect, Not Corrected</w:t>
            </w:r>
          </w:p>
        </w:tc>
        <w:tc>
          <w:tcPr>
            <w:tcW w:w="22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68F1DD41" w14:textId="77777777" w:rsidR="00F0709D" w:rsidRDefault="004D2338">
            <w:r>
              <w:rPr>
                <w:color w:val="222222"/>
                <w:sz w:val="19"/>
                <w:szCs w:val="19"/>
              </w:rPr>
              <w:t>$68,928 to $2,067,813</w:t>
            </w:r>
          </w:p>
        </w:tc>
        <w:tc>
          <w:tcPr>
            <w:tcW w:w="22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21C1F2F6" w14:textId="77777777" w:rsidR="00F0709D" w:rsidRDefault="004D2338">
            <w:r>
              <w:rPr>
                <w:color w:val="222222"/>
                <w:sz w:val="19"/>
                <w:szCs w:val="19"/>
              </w:rPr>
              <w:t>$2,067,813</w:t>
            </w:r>
          </w:p>
        </w:tc>
        <w:tc>
          <w:tcPr>
            <w:tcW w:w="2400" w:type="dxa"/>
            <w:tcBorders>
              <w:top w:val="single" w:sz="4" w:space="0" w:color="B0C4D8"/>
              <w:left w:val="single" w:sz="4" w:space="0" w:color="B0C4D8"/>
              <w:bottom w:val="single" w:sz="4" w:space="0" w:color="B0C4D8"/>
              <w:right w:val="single" w:sz="4" w:space="0" w:color="B0C4D8"/>
            </w:tcBorders>
            <w:shd w:val="clear" w:color="auto" w:fill="FFEEEE"/>
            <w:tcMar>
              <w:top w:w="60" w:type="dxa"/>
              <w:left w:w="100" w:type="dxa"/>
              <w:bottom w:w="60" w:type="dxa"/>
              <w:right w:w="100" w:type="dxa"/>
            </w:tcMar>
            <w:vAlign w:val="center"/>
          </w:tcPr>
          <w:p w14:paraId="289293DF" w14:textId="77777777" w:rsidR="00F0709D" w:rsidRDefault="004D2338">
            <w:r>
              <w:rPr>
                <w:color w:val="222222"/>
                <w:sz w:val="19"/>
                <w:szCs w:val="19"/>
              </w:rPr>
              <w:t>Willful neglect not corrected within 30 days</w:t>
            </w:r>
          </w:p>
        </w:tc>
      </w:tr>
    </w:tbl>
    <w:p w14:paraId="148E9FF4" w14:textId="77777777" w:rsidR="00F0709D" w:rsidRDefault="00F0709D">
      <w:pPr>
        <w:spacing w:before="60"/>
      </w:pPr>
    </w:p>
    <w:p w14:paraId="3E9B058B" w14:textId="77777777" w:rsidR="00F0709D" w:rsidRDefault="004D2338">
      <w:pPr>
        <w:spacing w:before="60" w:after="120"/>
      </w:pPr>
      <w:r>
        <w:rPr>
          <w:color w:val="222222"/>
        </w:rPr>
        <w:t>CrossBorder is currently receiving ePHI without a completed risk analysis, a breach notification procedure, or subcontractor BAAs. If a breach occurs in this state, OCR could classify the organization's posture as Tier 3 or Tier 4 willful neglect. Executing the remediation program promptly shifts that characterization toward Tier 1 or Tier 2, which represents a material difference in financial exposure.</w:t>
      </w:r>
    </w:p>
    <w:p w14:paraId="5C307E49" w14:textId="77777777" w:rsidR="00F0709D" w:rsidRDefault="004D2338">
      <w:r>
        <w:br w:type="page"/>
      </w:r>
    </w:p>
    <w:p w14:paraId="4B6999B9" w14:textId="77777777" w:rsidR="00F0709D" w:rsidRDefault="004D2338">
      <w:pPr>
        <w:pBdr>
          <w:bottom w:val="single" w:sz="10" w:space="3" w:color="1A2E4A"/>
        </w:pBdr>
        <w:spacing w:before="320" w:after="80"/>
      </w:pPr>
      <w:r>
        <w:rPr>
          <w:b/>
          <w:bCs/>
          <w:color w:val="1A2E4A"/>
          <w:sz w:val="26"/>
          <w:szCs w:val="26"/>
        </w:rPr>
        <w:t>8. REPORT APPROVAL AND NEXT STEPS</w:t>
      </w:r>
    </w:p>
    <w:p w14:paraId="2D3B3AEE" w14:textId="77777777" w:rsidR="00F0709D" w:rsidRDefault="004D2338">
      <w:pPr>
        <w:spacing w:before="60" w:after="120"/>
      </w:pPr>
      <w:r>
        <w:rPr>
          <w:color w:val="222222"/>
        </w:rPr>
        <w:t>The CISO should brief the CEO and CLO on these findings without delay. The three subcontractor BAAs with Snowflake, Databricks, and CloudLink can be initiated this week and are the simplest actions to complete. Both Snowflake and Databricks make standard HIPAA BAAs available through their customer portals and the process takes less than 24 hours. The CloudLink situation requires legal engagement to establish a formal contract, which should begin in parallel.</w:t>
      </w:r>
    </w:p>
    <w:p w14:paraId="54508571" w14:textId="77777777" w:rsidR="00F0709D" w:rsidRDefault="004D2338">
      <w:pPr>
        <w:spacing w:before="60" w:after="120"/>
      </w:pPr>
      <w:r>
        <w:rPr>
          <w:color w:val="222222"/>
        </w:rPr>
        <w:t>SSH MFA deployment and MDM enrollment for the nine developer laptops are engineering workstreams that should start immediately alongside the documentation phases.</w:t>
      </w:r>
    </w:p>
    <w:p w14:paraId="301C16BE" w14:textId="77777777" w:rsidR="00F0709D" w:rsidRDefault="00F0709D">
      <w:pPr>
        <w:spacing w:before="60"/>
      </w:pP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F0709D" w14:paraId="2DCCD858" w14:textId="77777777">
        <w:tblPrEx>
          <w:tblCellMar>
            <w:top w:w="0" w:type="dxa"/>
            <w:bottom w:w="0" w:type="dxa"/>
          </w:tblCellMar>
        </w:tblPrEx>
        <w:tc>
          <w:tcPr>
            <w:tcW w:w="3066"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40A156EF" w14:textId="77777777" w:rsidR="00F0709D" w:rsidRDefault="004D2338">
            <w:pPr>
              <w:jc w:val="center"/>
            </w:pPr>
            <w:r>
              <w:rPr>
                <w:b/>
                <w:bCs/>
                <w:color w:val="FFFFFF"/>
                <w:sz w:val="18"/>
                <w:szCs w:val="18"/>
              </w:rPr>
              <w:t>Prepared By</w:t>
            </w:r>
          </w:p>
        </w:tc>
        <w:tc>
          <w:tcPr>
            <w:tcW w:w="3067"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0890D57C" w14:textId="77777777" w:rsidR="00F0709D" w:rsidRDefault="004D2338">
            <w:pPr>
              <w:jc w:val="center"/>
            </w:pPr>
            <w:r>
              <w:rPr>
                <w:b/>
                <w:bCs/>
                <w:color w:val="FFFFFF"/>
                <w:sz w:val="18"/>
                <w:szCs w:val="18"/>
              </w:rPr>
              <w:t>CISO Acknowledgement</w:t>
            </w:r>
          </w:p>
        </w:tc>
        <w:tc>
          <w:tcPr>
            <w:tcW w:w="3067" w:type="dxa"/>
            <w:tcBorders>
              <w:top w:val="single" w:sz="8" w:space="0" w:color="1A2E4A"/>
              <w:left w:val="single" w:sz="4" w:space="0" w:color="B0C4D8"/>
              <w:bottom w:val="single" w:sz="8" w:space="0" w:color="1A2E4A"/>
              <w:right w:val="single" w:sz="4" w:space="0" w:color="B0C4D8"/>
            </w:tcBorders>
            <w:shd w:val="clear" w:color="auto" w:fill="1A2E4A"/>
            <w:tcMar>
              <w:top w:w="60" w:type="dxa"/>
              <w:left w:w="100" w:type="dxa"/>
              <w:bottom w:w="60" w:type="dxa"/>
              <w:right w:w="100" w:type="dxa"/>
            </w:tcMar>
          </w:tcPr>
          <w:p w14:paraId="375AB48A" w14:textId="77777777" w:rsidR="00F0709D" w:rsidRDefault="004D2338">
            <w:pPr>
              <w:jc w:val="center"/>
            </w:pPr>
            <w:r>
              <w:rPr>
                <w:b/>
                <w:bCs/>
                <w:color w:val="FFFFFF"/>
                <w:sz w:val="18"/>
                <w:szCs w:val="18"/>
              </w:rPr>
              <w:t>CLO Acknowledgement</w:t>
            </w:r>
          </w:p>
        </w:tc>
      </w:tr>
      <w:tr w:rsidR="00F0709D" w14:paraId="0295B94F" w14:textId="77777777">
        <w:tblPrEx>
          <w:tblCellMar>
            <w:top w:w="0" w:type="dxa"/>
            <w:bottom w:w="0" w:type="dxa"/>
          </w:tblCellMar>
        </w:tblPrEx>
        <w:tc>
          <w:tcPr>
            <w:tcW w:w="3066"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6946304" w14:textId="77777777" w:rsidR="00F0709D" w:rsidRDefault="004D2338">
            <w:r>
              <w:rPr>
                <w:color w:val="222222"/>
                <w:sz w:val="19"/>
                <w:szCs w:val="19"/>
              </w:rPr>
              <w:t xml:space="preserve">Edem Messiga ISO 27001 Certified Lead Auditor </w:t>
            </w:r>
            <w:r>
              <w:rPr>
                <w:color w:val="222222"/>
                <w:sz w:val="19"/>
                <w:szCs w:val="19"/>
              </w:rPr>
              <w:t>Privacy and Security Office May 25, 2026</w:t>
            </w:r>
          </w:p>
        </w:tc>
        <w:tc>
          <w:tcPr>
            <w:tcW w:w="3067"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25A74907" w14:textId="77777777" w:rsidR="00F0709D" w:rsidRDefault="004D2338">
            <w:r>
              <w:rPr>
                <w:color w:val="222222"/>
                <w:sz w:val="19"/>
                <w:szCs w:val="19"/>
              </w:rPr>
              <w:t>[CISO Name] [Acknowledges all BAA-blocking findings] [Date]</w:t>
            </w:r>
          </w:p>
        </w:tc>
        <w:tc>
          <w:tcPr>
            <w:tcW w:w="3067" w:type="dxa"/>
            <w:tcBorders>
              <w:top w:val="single" w:sz="4" w:space="0" w:color="B0C4D8"/>
              <w:left w:val="single" w:sz="4" w:space="0" w:color="B0C4D8"/>
              <w:bottom w:val="single" w:sz="4" w:space="0" w:color="B0C4D8"/>
              <w:right w:val="single" w:sz="4" w:space="0" w:color="B0C4D8"/>
            </w:tcBorders>
            <w:shd w:val="clear" w:color="auto" w:fill="F0F4FA"/>
            <w:tcMar>
              <w:top w:w="60" w:type="dxa"/>
              <w:left w:w="100" w:type="dxa"/>
              <w:bottom w:w="60" w:type="dxa"/>
              <w:right w:w="100" w:type="dxa"/>
            </w:tcMar>
            <w:vAlign w:val="center"/>
          </w:tcPr>
          <w:p w14:paraId="1DA94A57" w14:textId="77777777" w:rsidR="00F0709D" w:rsidRDefault="004D2338">
            <w:r>
              <w:rPr>
                <w:color w:val="222222"/>
                <w:sz w:val="19"/>
                <w:szCs w:val="19"/>
              </w:rPr>
              <w:t>[CLO Name] [Acknowledges HITECH obligations] [Date]</w:t>
            </w:r>
          </w:p>
        </w:tc>
      </w:tr>
    </w:tbl>
    <w:p w14:paraId="44F2CD09" w14:textId="77777777" w:rsidR="00F0709D" w:rsidRDefault="00F0709D">
      <w:pPr>
        <w:spacing w:before="60"/>
      </w:pPr>
    </w:p>
    <w:p w14:paraId="31B0BB19" w14:textId="77777777" w:rsidR="00F0709D" w:rsidRDefault="004D2338">
      <w:pPr>
        <w:spacing w:before="60" w:after="40"/>
      </w:pPr>
      <w:r>
        <w:rPr>
          <w:color w:val="222222"/>
        </w:rPr>
        <w:t>Distribution: CEO, CTO, CISO, CLO, Privacy Officer. Classification: Confidential.</w:t>
      </w:r>
    </w:p>
    <w:p w14:paraId="64067CFB" w14:textId="77777777" w:rsidR="00F0709D" w:rsidRDefault="004D2338">
      <w:pPr>
        <w:spacing w:before="20" w:after="20"/>
      </w:pPr>
      <w:r>
        <w:rPr>
          <w:color w:val="222222"/>
        </w:rPr>
        <w:t>All entities, patient data references, client names, and individuals are fictional and created for professional portfolio and development purposes only.</w:t>
      </w:r>
    </w:p>
    <w:sectPr w:rsidR="00F0709D">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65D45"/>
    <w:multiLevelType w:val="hybridMultilevel"/>
    <w:tmpl w:val="D7EE79C0"/>
    <w:lvl w:ilvl="0" w:tplc="26C4766C">
      <w:start w:val="1"/>
      <w:numFmt w:val="bullet"/>
      <w:lvlText w:val="●"/>
      <w:lvlJc w:val="left"/>
      <w:pPr>
        <w:ind w:left="720" w:hanging="360"/>
      </w:pPr>
    </w:lvl>
    <w:lvl w:ilvl="1" w:tplc="96E2D33E">
      <w:start w:val="1"/>
      <w:numFmt w:val="bullet"/>
      <w:lvlText w:val="○"/>
      <w:lvlJc w:val="left"/>
      <w:pPr>
        <w:ind w:left="1440" w:hanging="360"/>
      </w:pPr>
    </w:lvl>
    <w:lvl w:ilvl="2" w:tplc="7C74FDE2">
      <w:start w:val="1"/>
      <w:numFmt w:val="bullet"/>
      <w:lvlText w:val="■"/>
      <w:lvlJc w:val="left"/>
      <w:pPr>
        <w:ind w:left="2160" w:hanging="360"/>
      </w:pPr>
    </w:lvl>
    <w:lvl w:ilvl="3" w:tplc="5C44FB64">
      <w:start w:val="1"/>
      <w:numFmt w:val="bullet"/>
      <w:lvlText w:val="●"/>
      <w:lvlJc w:val="left"/>
      <w:pPr>
        <w:ind w:left="2880" w:hanging="360"/>
      </w:pPr>
    </w:lvl>
    <w:lvl w:ilvl="4" w:tplc="B12436BC">
      <w:start w:val="1"/>
      <w:numFmt w:val="bullet"/>
      <w:lvlText w:val="○"/>
      <w:lvlJc w:val="left"/>
      <w:pPr>
        <w:ind w:left="3600" w:hanging="360"/>
      </w:pPr>
    </w:lvl>
    <w:lvl w:ilvl="5" w:tplc="44B66566">
      <w:start w:val="1"/>
      <w:numFmt w:val="bullet"/>
      <w:lvlText w:val="■"/>
      <w:lvlJc w:val="left"/>
      <w:pPr>
        <w:ind w:left="4320" w:hanging="360"/>
      </w:pPr>
    </w:lvl>
    <w:lvl w:ilvl="6" w:tplc="51CA48D8">
      <w:start w:val="1"/>
      <w:numFmt w:val="bullet"/>
      <w:lvlText w:val="●"/>
      <w:lvlJc w:val="left"/>
      <w:pPr>
        <w:ind w:left="5040" w:hanging="360"/>
      </w:pPr>
    </w:lvl>
    <w:lvl w:ilvl="7" w:tplc="0268B51A">
      <w:start w:val="1"/>
      <w:numFmt w:val="bullet"/>
      <w:lvlText w:val="●"/>
      <w:lvlJc w:val="left"/>
      <w:pPr>
        <w:ind w:left="5760" w:hanging="360"/>
      </w:pPr>
    </w:lvl>
    <w:lvl w:ilvl="8" w:tplc="4FE2089C">
      <w:start w:val="1"/>
      <w:numFmt w:val="bullet"/>
      <w:lvlText w:val="●"/>
      <w:lvlJc w:val="left"/>
      <w:pPr>
        <w:ind w:left="6480" w:hanging="360"/>
      </w:pPr>
    </w:lvl>
  </w:abstractNum>
  <w:abstractNum w:abstractNumId="1" w15:restartNumberingAfterBreak="0">
    <w:nsid w:val="4A6C4344"/>
    <w:multiLevelType w:val="hybridMultilevel"/>
    <w:tmpl w:val="7C1CD28E"/>
    <w:lvl w:ilvl="0" w:tplc="3B94EB5C">
      <w:start w:val="1"/>
      <w:numFmt w:val="bullet"/>
      <w:lvlText w:val="•"/>
      <w:lvlJc w:val="left"/>
      <w:pPr>
        <w:ind w:left="400" w:hanging="220"/>
      </w:pPr>
    </w:lvl>
    <w:lvl w:ilvl="1" w:tplc="C9B6FA84">
      <w:numFmt w:val="decimal"/>
      <w:lvlText w:val=""/>
      <w:lvlJc w:val="left"/>
    </w:lvl>
    <w:lvl w:ilvl="2" w:tplc="54ACBFF8">
      <w:numFmt w:val="decimal"/>
      <w:lvlText w:val=""/>
      <w:lvlJc w:val="left"/>
    </w:lvl>
    <w:lvl w:ilvl="3" w:tplc="13249A4C">
      <w:numFmt w:val="decimal"/>
      <w:lvlText w:val=""/>
      <w:lvlJc w:val="left"/>
    </w:lvl>
    <w:lvl w:ilvl="4" w:tplc="DEF4FA18">
      <w:numFmt w:val="decimal"/>
      <w:lvlText w:val=""/>
      <w:lvlJc w:val="left"/>
    </w:lvl>
    <w:lvl w:ilvl="5" w:tplc="2D0CAA1E">
      <w:numFmt w:val="decimal"/>
      <w:lvlText w:val=""/>
      <w:lvlJc w:val="left"/>
    </w:lvl>
    <w:lvl w:ilvl="6" w:tplc="E68414DE">
      <w:numFmt w:val="decimal"/>
      <w:lvlText w:val=""/>
      <w:lvlJc w:val="left"/>
    </w:lvl>
    <w:lvl w:ilvl="7" w:tplc="D5FE0438">
      <w:numFmt w:val="decimal"/>
      <w:lvlText w:val=""/>
      <w:lvlJc w:val="left"/>
    </w:lvl>
    <w:lvl w:ilvl="8" w:tplc="566AAE1A">
      <w:numFmt w:val="decimal"/>
      <w:lvlText w:val=""/>
      <w:lvlJc w:val="left"/>
    </w:lvl>
  </w:abstractNum>
  <w:num w:numId="1" w16cid:durableId="232088477">
    <w:abstractNumId w:val="0"/>
    <w:lvlOverride w:ilvl="0">
      <w:startOverride w:val="1"/>
    </w:lvlOverride>
  </w:num>
  <w:num w:numId="2" w16cid:durableId="14223386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09D"/>
    <w:rsid w:val="00235CCC"/>
    <w:rsid w:val="00DF72AA"/>
    <w:rsid w:val="00F07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E667F"/>
  <w15:docId w15:val="{6CFEFEB8-7F6F-4DE2-8BDE-8171DE30C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3504</Words>
  <Characters>19977</Characters>
  <Application>Microsoft Office Word</Application>
  <DocSecurity>0</DocSecurity>
  <Lines>166</Lines>
  <Paragraphs>46</Paragraphs>
  <ScaleCrop>false</ScaleCrop>
  <Company/>
  <LinksUpToDate>false</LinksUpToDate>
  <CharactersWithSpaces>23435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Edem Messiga</cp:lastModifiedBy>
  <cp:revision>2</cp:revision>
  <dcterms:created xsi:type="dcterms:W3CDTF">2026-05-30T20:55:00Z</dcterms:created>
  <dcterms:modified xsi:type="dcterms:W3CDTF">2026-05-30T20:55:00Z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c389622a-56fb-4fe1-80f4-874ee5f081c3</vt:lpwstr>
  </property>
</Properties>
</file>