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
      </w:pPr>
      <w:r>
        <w:t xml:space="preserve"/>
      </w:r>
    </w:p>
    <w:p>
      <w:pPr>
        <w:spacing w:after="40" w:before="0"/>
        <w:jc w:val="center"/>
      </w:pPr>
      <w:r>
        <w:rPr>
          <w:rFonts w:ascii="Calibri" w:cs="Calibri" w:eastAsia="Calibri" w:hAnsi="Calibri"/>
          <w:b/>
          <w:bCs/>
          <w:color w:val="1C3557"/>
          <w:sz w:val="28"/>
          <w:szCs w:val="28"/>
        </w:rPr>
        <w:t xml:space="preserve">GOVTECH ONTARIO</w:t>
      </w:r>
    </w:p>
    <w:p>
      <w:pPr>
        <w:spacing w:after="40" w:before="0"/>
        <w:jc w:val="center"/>
      </w:pPr>
      <w:r>
        <w:rPr>
          <w:rFonts w:ascii="Calibri" w:cs="Calibri" w:eastAsia="Calibri" w:hAnsi="Calibri"/>
          <w:b/>
          <w:bCs/>
          <w:color w:val="000000"/>
          <w:sz w:val="40"/>
          <w:szCs w:val="40"/>
        </w:rPr>
        <w:t xml:space="preserve">ISO 27001:2022 ISMS Surveillance Audit Report</w:t>
      </w:r>
    </w:p>
    <w:p>
      <w:pPr>
        <w:spacing w:after="40" w:before="0"/>
        <w:jc w:val="center"/>
      </w:pPr>
      <w:r>
        <w:rPr>
          <w:rFonts w:ascii="Calibri" w:cs="Calibri" w:eastAsia="Calibri" w:hAnsi="Calibri"/>
          <w:i/>
          <w:iCs/>
          <w:color w:val="344D66"/>
          <w:sz w:val="22"/>
          <w:szCs w:val="22"/>
        </w:rPr>
        <w:t xml:space="preserve">Year 2 Surveillance   |   ITGC Assessment | May 2026</w:t>
      </w:r>
    </w:p>
    <w:p>
      <w:pPr>
        <w:pBdr>
          <w:bottom w:val="single" w:color="1C3557" w:sz="6" w:space="4"/>
        </w:pBdr>
        <w:spacing w:after="300" w:before="0"/>
        <w:jc w:val="center"/>
      </w:pPr>
      <w:r>
        <w:rPr>
          <w:rFonts w:ascii="Calibri" w:cs="Calibri" w:eastAsia="Calibri" w:hAnsi="Calibri"/>
          <w:b/>
          <w:bCs/>
          <w:color w:val="1C3557"/>
          <w:sz w:val="20"/>
          <w:szCs w:val="20"/>
        </w:rPr>
        <w:t xml:space="preserve">PROTECTED B   |   Restricted Distribution: CISO, Deputy Minister IT, Ontario Digital Service Leadership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Audit Detail</w:t>
            </w:r>
          </w:p>
        </w:tc>
        <w:tc>
          <w:tcPr>
            <w:tcW w:type="dxa" w:w="64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Information</w:t>
            </w:r>
          </w:p>
        </w:tc>
      </w:tr>
      <w:tr>
        <w:tc>
          <w:tcPr>
            <w:tcW w:type="dxa" w:w="28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Auditor</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Edem Messiga, ISO 27001 Certified Lead Auditor   |   Chief Information Security Office</w:t>
            </w:r>
          </w:p>
        </w:tc>
      </w:tr>
      <w:tr>
        <w:tc>
          <w:tcPr>
            <w:tcW w:type="dxa" w:w="28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Auditee (Fictional)</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GovTech Ontario   |   Provincial Digital Services Agency, Crown Agency</w:t>
            </w:r>
          </w:p>
        </w:tc>
      </w:tr>
      <w:tr>
        <w:tc>
          <w:tcPr>
            <w:tcW w:type="dxa" w:w="28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System</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Ontario.ca citizen portal + backend ministry integration middleware (Azure Canada East)</w:t>
            </w:r>
          </w:p>
        </w:tc>
      </w:tr>
      <w:tr>
        <w:tc>
          <w:tcPr>
            <w:tcW w:type="dxa" w:w="28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Citizens Served</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8.3M registered citizens; 47 provincial services including drivers' licences, health cards, OSAP</w:t>
            </w:r>
          </w:p>
        </w:tc>
      </w:tr>
      <w:tr>
        <w:tc>
          <w:tcPr>
            <w:tcW w:type="dxa" w:w="28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Data Classification</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PROTECTED B   |   citizen personal information under Ontario FIPPA and PIPEDA</w:t>
            </w:r>
          </w:p>
        </w:tc>
      </w:tr>
      <w:tr>
        <w:tc>
          <w:tcPr>
            <w:tcW w:type="dxa" w:w="28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Audit Type</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ISO 27001:2022 Annual Surveillance Audit   |   Year 2 of 3-year certification cycle</w:t>
            </w:r>
          </w:p>
        </w:tc>
      </w:tr>
      <w:tr>
        <w:tc>
          <w:tcPr>
            <w:tcW w:type="dxa" w:w="28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Certification Body</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BSI Group Canada (fictional)   |   Surveillance Audit Representative</w:t>
            </w:r>
          </w:p>
        </w:tc>
      </w:tr>
      <w:tr>
        <w:tc>
          <w:tcPr>
            <w:tcW w:type="dxa" w:w="28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Scope</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IAM, Change Management, Logging and Monitoring, Cryptography, Supplier Risk domains</w:t>
            </w:r>
          </w:p>
        </w:tc>
      </w:tr>
      <w:tr>
        <w:tc>
          <w:tcPr>
            <w:tcW w:type="dxa" w:w="28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Prior Audit</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Year 1 Surveillance (June 2025): 2 Minor NCs (both closed); 3 OFIs noted</w:t>
            </w:r>
          </w:p>
        </w:tc>
      </w:tr>
      <w:tr>
        <w:tc>
          <w:tcPr>
            <w:tcW w:type="dxa" w:w="28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Audit Period</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01 May 2026 to 23 May 2026 (15 business days)</w:t>
            </w:r>
          </w:p>
        </w:tc>
      </w:tr>
      <w:tr>
        <w:tc>
          <w:tcPr>
            <w:tcW w:type="dxa" w:w="28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Report Date</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May 25, 2026</w:t>
            </w:r>
          </w:p>
        </w:tc>
      </w:tr>
      <w:tr>
        <w:tc>
          <w:tcPr>
            <w:tcW w:type="dxa" w:w="28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Certification Status</w:t>
            </w:r>
          </w:p>
        </w:tc>
        <w:tc>
          <w:tcPr>
            <w:tcW w:type="dxa" w:w="6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At Risk   |   1 Major NC identified; must be closed within 90 days to maintain certification</w:t>
            </w:r>
          </w:p>
        </w:tc>
      </w:tr>
    </w:tbl>
    <w:p>
      <w:r>
        <w:br w:type="page"/>
      </w:r>
    </w:p>
    <w:p>
      <w:pPr>
        <w:pBdr>
          <w:bottom w:val="single" w:color="1C3557" w:sz="10" w:space="3"/>
        </w:pBdr>
        <w:spacing w:after="80" w:before="320"/>
      </w:pPr>
      <w:r>
        <w:rPr>
          <w:rFonts w:ascii="Calibri" w:cs="Calibri" w:eastAsia="Calibri" w:hAnsi="Calibri"/>
          <w:b/>
          <w:bCs/>
          <w:color w:val="1C3557"/>
          <w:sz w:val="26"/>
          <w:szCs w:val="26"/>
        </w:rPr>
        <w:t xml:space="preserve">1. EXECUTIVE SUMMARY</w:t>
      </w:r>
    </w:p>
    <w:p>
      <w:pPr>
        <w:spacing w:after="120" w:before="60"/>
      </w:pPr>
      <w:r>
        <w:rPr>
          <w:rFonts w:ascii="Calibri" w:cs="Calibri" w:eastAsia="Calibri" w:hAnsi="Calibri"/>
          <w:color w:val="222222"/>
          <w:sz w:val="20"/>
          <w:szCs w:val="20"/>
        </w:rPr>
        <w:t xml:space="preserve">This report presents the findings of the Year 2 ISO 27001:2022 annual surveillance audit of GovTech Ontario's Information Security Management System (ISMS), conducted by the Chief Information Security Office over 15 business days in May 2026. GovTech Ontario is a Crown agency of the Government of Ontario responsible for the digital delivery of 47 provincial citizen services including drivers' licence renewals, health card applications, Ontario Student Assistance Program (OSAP) processing, and business permit applications. The Ontario.ca platform serves 8.3 million registered citizens and is classified as PROTECTED B under Ontario's Information Security Classification Standard.</w:t>
      </w:r>
    </w:p>
    <w:p>
      <w:pPr>
        <w:spacing w:after="120" w:before="60"/>
      </w:pPr>
      <w:r>
        <w:rPr>
          <w:rFonts w:ascii="Calibri" w:cs="Calibri" w:eastAsia="Calibri" w:hAnsi="Calibri"/>
          <w:color w:val="222222"/>
          <w:sz w:val="20"/>
          <w:szCs w:val="20"/>
        </w:rPr>
        <w:t xml:space="preserve">The surveillance audit assessed ITGC controls across five domains: Identity and Access Management, Change Management, Logging and Monitoring, Cryptography, and Supplier Risk. A total of 24 controls were assessed. The audit identified 1 Major Nonconformity, 9 Minor Nonconformities, and 2 Opportunities for Improvement.</w:t>
      </w:r>
    </w:p>
    <w:p>
      <w:pPr>
        <w:pBdr>
          <w:left w:val="single" w:color="C62828" w:sz="16" w:space="8"/>
        </w:pBdr>
        <w:spacing w:after="100" w:before="60"/>
        <w:ind w:left="200"/>
      </w:pPr>
      <w:r>
        <w:rPr>
          <w:rFonts w:ascii="Calibri" w:cs="Calibri" w:eastAsia="Calibri" w:hAnsi="Calibri"/>
          <w:b/>
          <w:bCs/>
          <w:color w:val="C62828"/>
          <w:sz w:val="18"/>
          <w:szCs w:val="18"/>
        </w:rPr>
        <w:t xml:space="preserve">CERTIFICATION AT RISK   |   MAJOR NONCONFORMITY: NC-001 (Access review failure   |   J. Beaumont account retaining post-role-change access entitlements for 86 days) must be closed with acceptable evidence within 90 days of this report (by August 25, 2026). If NC-001 is not closed within 90 days, BSI Group Canada may suspend GovTech Ontario's ISO 27001 certification. The Deputy Minister IT and CISO have been verbally briefed.</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300"/>
        <w:gridCol w:w="1300"/>
        <w:gridCol w:w="1000"/>
      </w:tblGrid>
      <w:tr>
        <w:tc>
          <w:tcPr>
            <w:tcW w:type="dxa" w:w="30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Domain</w:t>
            </w:r>
          </w:p>
        </w:tc>
        <w:tc>
          <w:tcPr>
            <w:tcW w:type="dxa" w:w="13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Controls</w:t>
            </w:r>
          </w:p>
        </w:tc>
        <w:tc>
          <w:tcPr>
            <w:tcW w:type="dxa" w:w="13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Compliant</w:t>
            </w:r>
          </w:p>
        </w:tc>
        <w:tc>
          <w:tcPr>
            <w:tcW w:type="dxa" w:w="13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Partial/Gap</w:t>
            </w:r>
          </w:p>
        </w:tc>
        <w:tc>
          <w:tcPr>
            <w:tcW w:type="dxa" w:w="13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Not Tested</w:t>
            </w:r>
          </w:p>
        </w:tc>
        <w:tc>
          <w:tcPr>
            <w:tcW w:type="dxa" w:w="10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Major NC</w:t>
            </w:r>
          </w:p>
        </w:tc>
      </w:tr>
      <w:tr>
        <w:tc>
          <w:tcPr>
            <w:tcW w:type="dxa" w:w="30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Identity and Access Management</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7</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3</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4</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0</w:t>
            </w:r>
          </w:p>
        </w:tc>
        <w:tc>
          <w:tcPr>
            <w:tcW w:type="dxa" w:w="10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w:t>
            </w:r>
          </w:p>
        </w:tc>
      </w:tr>
      <w:tr>
        <w:tc>
          <w:tcPr>
            <w:tcW w:type="dxa" w:w="30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Change Management</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5</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3</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0</w:t>
            </w:r>
          </w:p>
        </w:tc>
        <w:tc>
          <w:tcPr>
            <w:tcW w:type="dxa" w:w="10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0</w:t>
            </w:r>
          </w:p>
        </w:tc>
      </w:tr>
      <w:tr>
        <w:tc>
          <w:tcPr>
            <w:tcW w:type="dxa" w:w="30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Logging and Monitoring</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4</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0</w:t>
            </w:r>
          </w:p>
        </w:tc>
        <w:tc>
          <w:tcPr>
            <w:tcW w:type="dxa" w:w="10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0</w:t>
            </w:r>
          </w:p>
        </w:tc>
      </w:tr>
      <w:tr>
        <w:tc>
          <w:tcPr>
            <w:tcW w:type="dxa" w:w="30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Cryptography</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0</w:t>
            </w:r>
          </w:p>
        </w:tc>
        <w:tc>
          <w:tcPr>
            <w:tcW w:type="dxa" w:w="10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0</w:t>
            </w:r>
          </w:p>
        </w:tc>
      </w:tr>
      <w:tr>
        <w:tc>
          <w:tcPr>
            <w:tcW w:type="dxa" w:w="30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Supplier Risk</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4</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3</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w:t>
            </w:r>
          </w:p>
        </w:tc>
        <w:tc>
          <w:tcPr>
            <w:tcW w:type="dxa" w:w="13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0</w:t>
            </w:r>
          </w:p>
        </w:tc>
        <w:tc>
          <w:tcPr>
            <w:tcW w:type="dxa" w:w="10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0</w:t>
            </w:r>
          </w:p>
        </w:tc>
      </w:tr>
      <w:tr>
        <w:tc>
          <w:tcPr>
            <w:tcW w:type="dxa" w:w="3000"/>
            <w:tcBorders>
              <w:top w:val="single" w:color="B0C4D8" w:sz="4"/>
              <w:left w:val="single" w:color="B0C4D8" w:sz="4"/>
              <w:bottom w:val="single" w:color="B0C4D8" w:sz="4"/>
              <w:right w:val="single" w:color="B0C4D8" w:sz="4"/>
            </w:tcBorders>
            <w:shd w:fill="1C3557"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TOTALS</w:t>
            </w:r>
          </w:p>
        </w:tc>
        <w:tc>
          <w:tcPr>
            <w:tcW w:type="dxa" w:w="1300"/>
            <w:tcBorders>
              <w:top w:val="single" w:color="B0C4D8" w:sz="4"/>
              <w:left w:val="single" w:color="B0C4D8" w:sz="4"/>
              <w:bottom w:val="single" w:color="B0C4D8" w:sz="4"/>
              <w:right w:val="single" w:color="B0C4D8" w:sz="4"/>
            </w:tcBorders>
            <w:shd w:fill="1C3557"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22</w:t>
            </w:r>
          </w:p>
        </w:tc>
        <w:tc>
          <w:tcPr>
            <w:tcW w:type="dxa" w:w="1300"/>
            <w:tcBorders>
              <w:top w:val="single" w:color="B0C4D8" w:sz="4"/>
              <w:left w:val="single" w:color="B0C4D8" w:sz="4"/>
              <w:bottom w:val="single" w:color="B0C4D8" w:sz="4"/>
              <w:right w:val="single" w:color="B0C4D8" w:sz="4"/>
            </w:tcBorders>
            <w:shd w:fill="1C3557"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12</w:t>
            </w:r>
          </w:p>
        </w:tc>
        <w:tc>
          <w:tcPr>
            <w:tcW w:type="dxa" w:w="1300"/>
            <w:tcBorders>
              <w:top w:val="single" w:color="B0C4D8" w:sz="4"/>
              <w:left w:val="single" w:color="B0C4D8" w:sz="4"/>
              <w:bottom w:val="single" w:color="B0C4D8" w:sz="4"/>
              <w:right w:val="single" w:color="B0C4D8" w:sz="4"/>
            </w:tcBorders>
            <w:shd w:fill="1C3557"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10</w:t>
            </w:r>
          </w:p>
        </w:tc>
        <w:tc>
          <w:tcPr>
            <w:tcW w:type="dxa" w:w="1300"/>
            <w:tcBorders>
              <w:top w:val="single" w:color="B0C4D8" w:sz="4"/>
              <w:left w:val="single" w:color="B0C4D8" w:sz="4"/>
              <w:bottom w:val="single" w:color="B0C4D8" w:sz="4"/>
              <w:right w:val="single" w:color="B0C4D8" w:sz="4"/>
            </w:tcBorders>
            <w:shd w:fill="1C3557"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0</w:t>
            </w:r>
          </w:p>
        </w:tc>
        <w:tc>
          <w:tcPr>
            <w:tcW w:type="dxa" w:w="1000"/>
            <w:tcBorders>
              <w:top w:val="single" w:color="B0C4D8" w:sz="4"/>
              <w:left w:val="single" w:color="B0C4D8" w:sz="4"/>
              <w:bottom w:val="single" w:color="B0C4D8" w:sz="4"/>
              <w:right w:val="single" w:color="B0C4D8" w:sz="4"/>
            </w:tcBorders>
            <w:shd w:fill="1C3557"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1</w:t>
            </w:r>
          </w:p>
        </w:tc>
      </w:tr>
    </w:tbl>
    <w:p>
      <w:pPr>
        <w:spacing w:after="0" w:before="80"/>
      </w:pPr>
      <w:r>
        <w:t xml:space="preserve"/>
      </w:r>
    </w:p>
    <w:p>
      <w:pPr>
        <w:pBdr>
          <w:left w:val="single" w:color="264A72" w:sz="12" w:space="8"/>
        </w:pBdr>
        <w:spacing w:after="100" w:before="60"/>
        <w:ind w:left="200"/>
      </w:pPr>
      <w:r>
        <w:rPr>
          <w:rFonts w:ascii="Calibri" w:cs="Calibri" w:eastAsia="Calibri" w:hAnsi="Calibri"/>
          <w:i/>
          <w:iCs/>
          <w:color w:val="264A72"/>
          <w:sz w:val="18"/>
          <w:szCs w:val="18"/>
        </w:rPr>
        <w:t xml:space="preserve">Auditor's observation: GovTech Ontario's ISMS has matured significantly since the Year 1 surveillance audit. The 2 Minor NCs from Year 1 (both closed) reflect an organization that takes corrective action seriously. The Major NC identified in Year 2 is a procedural gap in the access review process   |   not a fundamental control absence   |   and management has responded with appropriate urgency. The 9 Minor NCs identified are largely linked: NC-008 and NC-009 share a single root cause; NC-001 and NC-003 are related IAM process gaps. With focused remediation, GovTech Ontario should achieve a clean Year 3 recertification audit.</w:t>
      </w:r>
    </w:p>
    <w:p>
      <w:r>
        <w:br w:type="page"/>
      </w:r>
    </w:p>
    <w:p>
      <w:pPr>
        <w:pBdr>
          <w:bottom w:val="single" w:color="1C3557" w:sz="10" w:space="3"/>
        </w:pBdr>
        <w:spacing w:after="80" w:before="320"/>
      </w:pPr>
      <w:r>
        <w:rPr>
          <w:rFonts w:ascii="Calibri" w:cs="Calibri" w:eastAsia="Calibri" w:hAnsi="Calibri"/>
          <w:b/>
          <w:bCs/>
          <w:color w:val="1C3557"/>
          <w:sz w:val="26"/>
          <w:szCs w:val="26"/>
        </w:rPr>
        <w:t xml:space="preserve">2. GOVERNMENT SECTOR CONTEXT AND REGULATORY FRAMEWORK</w:t>
      </w:r>
    </w:p>
    <w:p>
      <w:pPr>
        <w:spacing w:after="60" w:before="220"/>
      </w:pPr>
      <w:r>
        <w:rPr>
          <w:rFonts w:ascii="Calibri" w:cs="Calibri" w:eastAsia="Calibri" w:hAnsi="Calibri"/>
          <w:b/>
          <w:bCs/>
          <w:color w:val="1C3557"/>
          <w:sz w:val="22"/>
          <w:szCs w:val="22"/>
        </w:rPr>
        <w:t xml:space="preserve">2.1 Why Government Digital Services ISO 27001 is Unique</w:t>
      </w:r>
    </w:p>
    <w:p>
      <w:pPr>
        <w:spacing w:after="120" w:before="60"/>
      </w:pPr>
      <w:r>
        <w:rPr>
          <w:rFonts w:ascii="Calibri" w:cs="Calibri" w:eastAsia="Calibri" w:hAnsi="Calibri"/>
          <w:color w:val="222222"/>
          <w:sz w:val="20"/>
          <w:szCs w:val="20"/>
        </w:rPr>
        <w:t xml:space="preserve">A government Crown agency operating an ISO 27001-certified ISMS faces a compliance environment that is fundamentally different from private sector organizations. GovTech Ontario is accountable to citizens, to the Ontario Legislative Assembly, to the Information and Privacy Commissioner of Ontario (IPC), and to the certification body   |   simultaneously. A control failure is not just a business risk; it is a public trust risk with potential consequences for millions of citizens who depend on Ontario.ca for essential services.</w:t>
      </w:r>
    </w:p>
    <w:p>
      <w:pPr>
        <w:spacing w:after="120" w:before="60"/>
      </w:pPr>
      <w:r>
        <w:rPr>
          <w:rFonts w:ascii="Calibri" w:cs="Calibri" w:eastAsia="Calibri" w:hAnsi="Calibri"/>
          <w:color w:val="222222"/>
          <w:sz w:val="20"/>
          <w:szCs w:val="20"/>
        </w:rPr>
        <w:t xml:space="preserve">This surveillance audit applies ISO 27001:2022 requirements in the context of Ontario's government-specific security policies   |   the GO-ITS (Government of Ontario Information and Technology Standards) suite   |   which in some areas are more prescriptive than ISO 27001 Annex A. Where GO-ITS requirements exceed ISO 27001, they are noted in the findings as the governing standard.</w:t>
      </w:r>
    </w:p>
    <w:p>
      <w:pPr>
        <w:spacing w:after="0" w:before="60"/>
      </w:pPr>
      <w:r>
        <w:t xml:space="preserve"/>
      </w:r>
    </w:p>
    <w:p>
      <w:pPr>
        <w:spacing w:after="60" w:before="220"/>
      </w:pPr>
      <w:r>
        <w:rPr>
          <w:rFonts w:ascii="Calibri" w:cs="Calibri" w:eastAsia="Calibri" w:hAnsi="Calibri"/>
          <w:b/>
          <w:bCs/>
          <w:color w:val="1C3557"/>
          <w:sz w:val="22"/>
          <w:szCs w:val="22"/>
        </w:rPr>
        <w:t xml:space="preserve">2.2 Regulatory and Policy Framework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Framework</w:t>
            </w:r>
          </w:p>
        </w:tc>
        <w:tc>
          <w:tcPr>
            <w:tcW w:type="dxa" w:w="34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Scope and Authority</w:t>
            </w:r>
          </w:p>
        </w:tc>
        <w:tc>
          <w:tcPr>
            <w:tcW w:type="dxa" w:w="34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Key Obligations for GovTech Ontario</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FIPPA (R.S.O. 1990, c. F.31)</w:t>
            </w:r>
          </w:p>
        </w:tc>
        <w:tc>
          <w:tcPr>
            <w:tcW w:type="dxa" w:w="3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Ontario   |   Primary privacy and access legislation for government institutions</w:t>
            </w:r>
          </w:p>
        </w:tc>
        <w:tc>
          <w:tcPr>
            <w:tcW w:type="dxa" w:w="3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Access to personal information limited to authorized purposes (s.10); audit trail for PI access; IPC oversight and investigation authority</w:t>
            </w:r>
          </w:p>
        </w:tc>
      </w:tr>
      <w:tr>
        <w:tc>
          <w:tcPr>
            <w:tcW w:type="dxa" w:w="2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GO-ITS 25.0</w:t>
            </w:r>
          </w:p>
        </w:tc>
        <w:tc>
          <w:tcPr>
            <w:tcW w:type="dxa" w:w="3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Ontario government mandatory IT security standard</w:t>
            </w:r>
          </w:p>
        </w:tc>
        <w:tc>
          <w:tcPr>
            <w:tcW w:type="dxa" w:w="3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Identity and access management requirements; PAM standard; MFA mandatory for all government systems handling personal information</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GO-ITS 25.20</w:t>
            </w:r>
          </w:p>
        </w:tc>
        <w:tc>
          <w:tcPr>
            <w:tcW w:type="dxa" w:w="3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Cryptographic controls standard</w:t>
            </w:r>
          </w:p>
        </w:tc>
        <w:tc>
          <w:tcPr>
            <w:tcW w:type="dxa" w:w="3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AES-256 minimum for PROTECTED B data at rest; TLS 1.2 minimum in transit; key management and destruction certificate requirements</w:t>
            </w:r>
          </w:p>
        </w:tc>
      </w:tr>
      <w:tr>
        <w:tc>
          <w:tcPr>
            <w:tcW w:type="dxa" w:w="2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GO-ITS 25.30</w:t>
            </w:r>
          </w:p>
        </w:tc>
        <w:tc>
          <w:tcPr>
            <w:tcW w:type="dxa" w:w="3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Change management and SDLC security standard</w:t>
            </w:r>
          </w:p>
        </w:tc>
        <w:tc>
          <w:tcPr>
            <w:tcW w:type="dxa" w:w="3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CAB approval requirements; SAST and DAST mandatory for citizen-facing applications; Standard Change category review cadence</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GO-ITS 25.50</w:t>
            </w:r>
          </w:p>
        </w:tc>
        <w:tc>
          <w:tcPr>
            <w:tcW w:type="dxa" w:w="3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Audit logging standard</w:t>
            </w:r>
          </w:p>
        </w:tc>
        <w:tc>
          <w:tcPr>
            <w:tcW w:type="dxa" w:w="3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Mandatory log fields for PI access (including citizen_id); 1-year online retention; 6-year archive; WORM immutability required</w:t>
            </w:r>
          </w:p>
        </w:tc>
      </w:tr>
      <w:tr>
        <w:tc>
          <w:tcPr>
            <w:tcW w:type="dxa" w:w="2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Treasury Board Directive on IT</w:t>
            </w:r>
          </w:p>
        </w:tc>
        <w:tc>
          <w:tcPr>
            <w:tcW w:type="dxa" w:w="3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Government of Ontario   |   all Crown agencies</w:t>
            </w:r>
          </w:p>
        </w:tc>
        <w:tc>
          <w:tcPr>
            <w:tcW w:type="dxa" w:w="3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Vendor of Record compliance; annual vendor reassessment; SOD requirements; right-to-audit in all IT contracts</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ISO 27001:2022</w:t>
            </w:r>
          </w:p>
        </w:tc>
        <w:tc>
          <w:tcPr>
            <w:tcW w:type="dxa" w:w="3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International certification standard</w:t>
            </w:r>
          </w:p>
        </w:tc>
        <w:tc>
          <w:tcPr>
            <w:tcW w:type="dxa" w:w="3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ISMS certification requirements; Annex A controls; surveillance audit obligations; nonconformity closure timelines</w:t>
            </w:r>
          </w:p>
        </w:tc>
      </w:tr>
      <w:tr>
        <w:tc>
          <w:tcPr>
            <w:tcW w:type="dxa" w:w="2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Ontario Archives Act</w:t>
            </w:r>
          </w:p>
        </w:tc>
        <w:tc>
          <w:tcPr>
            <w:tcW w:type="dxa" w:w="3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Ontario records retention</w:t>
            </w:r>
          </w:p>
        </w:tc>
        <w:tc>
          <w:tcPr>
            <w:tcW w:type="dxa" w:w="34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Government IT audit records retained 7 years minimum; applies to ISMS documentation and ITGC evidence</w:t>
            </w:r>
          </w:p>
        </w:tc>
      </w:tr>
    </w:tbl>
    <w:p>
      <w:r>
        <w:br w:type="page"/>
      </w:r>
    </w:p>
    <w:p>
      <w:pPr>
        <w:pBdr>
          <w:bottom w:val="single" w:color="1C3557" w:sz="10" w:space="3"/>
        </w:pBdr>
        <w:spacing w:after="80" w:before="320"/>
      </w:pPr>
      <w:r>
        <w:rPr>
          <w:rFonts w:ascii="Calibri" w:cs="Calibri" w:eastAsia="Calibri" w:hAnsi="Calibri"/>
          <w:b/>
          <w:bCs/>
          <w:color w:val="1C3557"/>
          <w:sz w:val="26"/>
          <w:szCs w:val="26"/>
        </w:rPr>
        <w:t xml:space="preserve">3. MAJOR NONCONFORMITY   |   CERTIFICATION AT RISK</w:t>
      </w:r>
    </w:p>
    <w:p>
      <w:pPr>
        <w:spacing w:after="60" w:before="220"/>
      </w:pPr>
      <w:r>
        <w:rPr>
          <w:rFonts w:ascii="Calibri" w:cs="Calibri" w:eastAsia="Calibri" w:hAnsi="Calibri"/>
          <w:b/>
          <w:bCs/>
          <w:color w:val="1C3557"/>
          <w:sz w:val="22"/>
          <w:szCs w:val="22"/>
        </w:rPr>
        <w:t xml:space="preserve">NC-001 (Major)   |   Access Review Failure: Stale Role Entitlements Undetected for 86 Days | GT-IAM-06 | A.8.3</w:t>
      </w:r>
    </w:p>
    <w:p>
      <w:pPr>
        <w:pBdr>
          <w:left w:val="single" w:color="C62828" w:sz="16" w:space="8"/>
        </w:pBdr>
        <w:spacing w:after="100" w:before="60"/>
        <w:ind w:left="200"/>
      </w:pPr>
      <w:r>
        <w:rPr>
          <w:rFonts w:ascii="Calibri" w:cs="Calibri" w:eastAsia="Calibri" w:hAnsi="Calibri"/>
          <w:b/>
          <w:bCs/>
          <w:color w:val="C62828"/>
          <w:sz w:val="18"/>
          <w:szCs w:val="18"/>
        </w:rPr>
        <w:t xml:space="preserve">This Major Nonconformity must be closed with acceptable evidence by August 25, 2026 (90 days from report date). The Director of IAM and CISO have been verbally briefed during the closing meeting on May 23, 2026.</w:t>
      </w:r>
    </w:p>
    <w:p>
      <w:pPr>
        <w:spacing w:after="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ISO 27001:2022 Reference</w:t>
            </w:r>
          </w:p>
        </w:tc>
        <w:tc>
          <w:tcPr>
            <w:tcW w:type="dxa" w:w="68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A.8.3   |   Information Access Restriction; A.5.18   |   Access Rights</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GO-ITS Reference</w:t>
            </w:r>
          </w:p>
        </w:tc>
        <w:tc>
          <w:tcPr>
            <w:tcW w:type="dxa" w:w="68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GO-ITS 25.0 s.4.1   |   Access Review Requirements for Government Systems</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NC Classification</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Major Nonconformity   |   systematic failure of the access review process to detect role-based entitlement changes</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Finding</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The May 2026 semi-annual access review failed to identify that account j.beaumont@govtech.on.ca had changed roles on February 15, 2026   |   86 days before the review. The account retains access entitlements aligned with a 2024 role description, not the current Ministry of Health assignment. The root cause is systemic: the access review procedure cross-references employment status (is this person still employed?) but not current HR role title (is this person's access still appropriate for their current role?).</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Evidence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Semi-annual access review record (May 12, 2026)   |   j.beaumont@govtech.on.ca flagged as compliant based on active employment status; SAP SuccessFactors HR record showing role change from Payments Division to Ministry of Health on February 15, 2026; platform access entitlement extract showing unchanged access level; access review SOP (v3.0, Jan 2026)   |   procedure does not reference role title cross-reference.</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Why This is a Major NC</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ISO 27001:2022 A.8.3 requires access to information to be restricted based on the access control policy. A.5.18 requires access rights to reflect current job functions. The access review procedure has a design gap   |   not just a one-time error   |   that means any role change within the same ministry will not be detected during semi-annual reviews. This is a systematic failure of the access review process, not an isolated incident.</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FIPPA Dimension</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The J. Beaumont account provides access to PROTECTED B citizen personal information. An employee with no current business need retaining that access for 86+ days represents an ongoing FIPPA s.10 risk   |   personal information accessible to an unauthorized individual.</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Corrective Action Required</w:t>
            </w:r>
          </w:p>
        </w:tc>
        <w:tc>
          <w:tcPr>
            <w:tcW w:type="dxa" w:w="68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1. Immediately: review j.beaumont access entitlements against current Ministry of Health role   |   restrict to entitlements required by current role or revoke entirely. Document decision.
2. Within 30 days: update access review SOP to include cross-reference of current HR role title (from SAP SuccessFactors) against platform access entitlements at time of review.
3. Within 30 days: implement automated HR-to-IAM role change notification in SAP SuccessFactors   |   any role title change triggers an IAM team review within 5 business days.
4. Within 60 days: conduct supplementary access review of all 2,847 accounts using current HR role titles to identify any other stale entitlements.</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Evidence Required for Closure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Updated j.beaumont access entitlements (or revocation confirmation); revised access review SOP with role title cross-reference; SuccessFactors automated notification configuration; supplementary access review report with findings</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Workpaper Reference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WP-IAM-006</w:t>
            </w:r>
          </w:p>
        </w:tc>
      </w:tr>
    </w:tbl>
    <w:p>
      <w:r>
        <w:br w:type="page"/>
      </w:r>
    </w:p>
    <w:p>
      <w:pPr>
        <w:pBdr>
          <w:bottom w:val="single" w:color="1C3557" w:sz="10" w:space="3"/>
        </w:pBdr>
        <w:spacing w:after="80" w:before="320"/>
      </w:pPr>
      <w:r>
        <w:rPr>
          <w:rFonts w:ascii="Calibri" w:cs="Calibri" w:eastAsia="Calibri" w:hAnsi="Calibri"/>
          <w:b/>
          <w:bCs/>
          <w:color w:val="1C3557"/>
          <w:sz w:val="26"/>
          <w:szCs w:val="26"/>
        </w:rPr>
        <w:t xml:space="preserve">4. MINOR NONCONFORMITIES</w:t>
      </w:r>
    </w:p>
    <w:p>
      <w:pPr>
        <w:spacing w:after="60" w:before="220"/>
      </w:pPr>
      <w:r>
        <w:rPr>
          <w:rFonts w:ascii="Calibri" w:cs="Calibri" w:eastAsia="Calibri" w:hAnsi="Calibri"/>
          <w:b/>
          <w:bCs/>
          <w:color w:val="1C3557"/>
          <w:sz w:val="22"/>
          <w:szCs w:val="22"/>
        </w:rPr>
        <w:t xml:space="preserve">NC-002   |   Contractor Deprovisioning: Fixed-Term Contract Expiry Not Triggering Automatic Disable | GT-IAM-02 | A.5.16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ISO Clause</w:t>
            </w:r>
          </w:p>
        </w:tc>
        <w:tc>
          <w:tcPr>
            <w:tcW w:type="dxa" w:w="68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A.5.16   |   Identity Management</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Finding</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Contractor m.okonkwo account disabled 6 days after contract expiry (March 31, 2026). SAP SuccessFactors only triggers offboarding when termination is explicitly processed   |   fixed-term contract expiry is not treated as a termination event.</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FIPPA Dimension</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Lingering contractor access to PROTECTED B citizen data post-contract is a FIPPA s.10 risk. Ontario government contractor access must cease on contract end date.</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Root Cause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SuccessFactors contract module treats fixed-term expiry differently from employment termination. No automated trigger exists for contract end dates that are not linked to a processed renewal or termination.</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Corrective Action</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Implement SuccessFactors automated account disable triggered by contractor end date. Add 30-day pre-expiry notification to manager and IAM team. Review all contractors with end dates in next 60 days.</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Target Date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June 30, 2026</w:t>
            </w:r>
          </w:p>
        </w:tc>
      </w:tr>
    </w:tbl>
    <w:p>
      <w:pPr>
        <w:spacing w:after="0" w:before="80"/>
      </w:pPr>
      <w:r>
        <w:t xml:space="preserve"/>
      </w:r>
    </w:p>
    <w:p>
      <w:pPr>
        <w:spacing w:after="60" w:before="220"/>
      </w:pPr>
      <w:r>
        <w:rPr>
          <w:rFonts w:ascii="Calibri" w:cs="Calibri" w:eastAsia="Calibri" w:hAnsi="Calibri"/>
          <w:b/>
          <w:bCs/>
          <w:color w:val="1C3557"/>
          <w:sz w:val="22"/>
          <w:szCs w:val="22"/>
        </w:rPr>
        <w:t xml:space="preserve">NC-003   |   Ministry Integration Admin Role: Excessive Write Access Not Reviewed in 2.5 Years | GT-IAM-04 | A.5.18</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ISO Clause</w:t>
            </w:r>
          </w:p>
        </w:tc>
        <w:tc>
          <w:tcPr>
            <w:tcW w:type="dxa" w:w="68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A.5.18   |   Access Rights</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Finding</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Ministry Integration Admin role grants write access to 3 API endpoint configurations outside documented job function. Role excluded from 2025 annual review due to an uncleaned 'under redefinition' flag for 2.5 years.</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Government Context</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Excessive write access by ministry staff to API configurations creates risk of unauthorized changes to citizen-facing services   |   a reputational and operational risk for the Government of Ontario.</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Root Cause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Annual role review had no expiry mechanism for 'under redefinition' flags   |   the flag effectively indefinitely excluded the role from review.</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Corrective Action</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Review and redefine Ministry Integration Admin role within 30 days   |   remove out-of-scope write access. Implement 60-day flag expiry for 'under redefinition' status.</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Target Date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June 15, 2026</w:t>
            </w:r>
          </w:p>
        </w:tc>
      </w:tr>
    </w:tbl>
    <w:p>
      <w:pPr>
        <w:spacing w:after="0" w:before="80"/>
      </w:pPr>
      <w:r>
        <w:t xml:space="preserve"/>
      </w:r>
    </w:p>
    <w:p>
      <w:pPr>
        <w:spacing w:after="60" w:before="220"/>
      </w:pPr>
      <w:r>
        <w:rPr>
          <w:rFonts w:ascii="Calibri" w:cs="Calibri" w:eastAsia="Calibri" w:hAnsi="Calibri"/>
          <w:b/>
          <w:bCs/>
          <w:color w:val="1C3557"/>
          <w:sz w:val="22"/>
          <w:szCs w:val="22"/>
        </w:rPr>
        <w:t xml:space="preserve">NC-005   |   Authentication Changes Bypassing CAB Review via Standard Change Category | GT-CHG-01 | A.8.32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ISO Clause</w:t>
            </w:r>
          </w:p>
        </w:tc>
        <w:tc>
          <w:tcPr>
            <w:tcW w:type="dxa" w:w="68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A.8.32   |   Change Management</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Finding</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Authentication flow changes (password reset, session timeout) classified as Standard Changes   |   bypassing CAB review. Pre-approval template (2022) pre-dates the current MFA architecture and has not been reviewed since.</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Government Context</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Changes to citizen authentication services are high-sensitivity in a government context. A misconfiguration could lock citizens out of essential services. GO-ITS 25.30 requires enhanced review for changes to authentication systems.</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Root Cause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Standard Change templates reviewed annually for most categories. Authentication template flagged as 'stable' and excluded from the 2025 annual template review despite a significant architecture change (MFA rollout, 2023).</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Corrective Action</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Remove authentication flow changes from Standard Change category   |   reclassify as Normal Change. Review CHG-2026-0447 and CHG-2026-0512 (deployed without CAB review) for security regressions.</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Target Date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June 15, 2026</w:t>
            </w:r>
          </w:p>
        </w:tc>
      </w:tr>
    </w:tbl>
    <w:p>
      <w:pPr>
        <w:spacing w:after="0" w:before="80"/>
      </w:pPr>
      <w:r>
        <w:t xml:space="preserve"/>
      </w:r>
    </w:p>
    <w:p>
      <w:pPr>
        <w:spacing w:after="60" w:before="220"/>
      </w:pPr>
      <w:r>
        <w:rPr>
          <w:rFonts w:ascii="Calibri" w:cs="Calibri" w:eastAsia="Calibri" w:hAnsi="Calibri"/>
          <w:b/>
          <w:bCs/>
          <w:color w:val="1C3557"/>
          <w:sz w:val="22"/>
          <w:szCs w:val="22"/>
        </w:rPr>
        <w:t xml:space="preserve">NC-007   |   FIPPA Audit Trail Gap: citizen_id Missing from OSAP Middleware Logs | GT-LOG-01 | A.8.15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ISO Clause</w:t>
            </w:r>
          </w:p>
        </w:tc>
        <w:tc>
          <w:tcPr>
            <w:tcW w:type="dxa" w:w="68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A.8.15   |   Logging</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Finding</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SRV-OSAP-03 and SRV-OSAP-04 audit logs missing citizen_id field following middleware upgrade (April 14, 2026). Field required under FIPPA s.10 and GO-ITS 25.50. Upgrade checklist did not include citizen_id.</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FIPPA Dimension</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FIPPA s.10 requires Ontario government systems to maintain audit trails for personal information access. Missing citizen_id means OSAP student financial aid data access cannot be attributed to specific citizens   |   a FIPPA audit trail gap spanning April 14 to May 25, 2026 (41 days).</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Root Cause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Middleware upgrade logging checklist was written before citizen_id was added to the GO-ITS 25.50 logging standard. Checklist was not updated when standard was revised.</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Corrective Action</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Update logging config on SRV-OSAP-03 and SRV-OSAP-04. Update upgrade checklist. Conduct retroactive log analysis for 41-day gap to assess whether anomalous access occurred.</w:t>
            </w:r>
          </w:p>
        </w:tc>
      </w:tr>
      <w:tr>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Target Date</w:t>
            </w:r>
          </w:p>
        </w:tc>
        <w:tc>
          <w:tcPr>
            <w:tcW w:type="dxa" w:w="68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June 7, 2026</w:t>
            </w:r>
          </w:p>
        </w:tc>
      </w:tr>
    </w:tbl>
    <w:p>
      <w:r>
        <w:br w:type="page"/>
      </w:r>
    </w:p>
    <w:p>
      <w:pPr>
        <w:pBdr>
          <w:bottom w:val="single" w:color="1C3557" w:sz="10" w:space="3"/>
        </w:pBdr>
        <w:spacing w:after="80" w:before="320"/>
      </w:pPr>
      <w:r>
        <w:rPr>
          <w:rFonts w:ascii="Calibri" w:cs="Calibri" w:eastAsia="Calibri" w:hAnsi="Calibri"/>
          <w:b/>
          <w:bCs/>
          <w:color w:val="1C3557"/>
          <w:sz w:val="26"/>
          <w:szCs w:val="26"/>
        </w:rPr>
        <w:t xml:space="preserve">5. NONCONFORMITY SUMMARY TABLE</w:t>
      </w:r>
    </w:p>
    <w:p>
      <w:pPr>
        <w:spacing w:after="120" w:before="60"/>
      </w:pPr>
      <w:r>
        <w:rPr>
          <w:rFonts w:ascii="Calibri" w:cs="Calibri" w:eastAsia="Calibri" w:hAnsi="Calibri"/>
          <w:color w:val="222222"/>
          <w:sz w:val="20"/>
          <w:szCs w:val="20"/>
        </w:rPr>
        <w:t xml:space="preserve">The table below provides a complete summary of all nonconformities and observations from this surveillance audit.</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3600"/>
        <w:gridCol w:w="1000"/>
        <w:gridCol w:w="1900"/>
      </w:tblGrid>
      <w:tr>
        <w:tc>
          <w:tcPr>
            <w:tcW w:type="dxa" w:w="9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Ref</w:t>
            </w:r>
          </w:p>
        </w:tc>
        <w:tc>
          <w:tcPr>
            <w:tcW w:type="dxa" w:w="9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Control</w:t>
            </w:r>
          </w:p>
        </w:tc>
        <w:tc>
          <w:tcPr>
            <w:tcW w:type="dxa" w:w="9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Type</w:t>
            </w:r>
          </w:p>
        </w:tc>
        <w:tc>
          <w:tcPr>
            <w:tcW w:type="dxa" w:w="36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Summary</w:t>
            </w:r>
          </w:p>
        </w:tc>
        <w:tc>
          <w:tcPr>
            <w:tcW w:type="dxa" w:w="10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Target</w:t>
            </w:r>
          </w:p>
        </w:tc>
        <w:tc>
          <w:tcPr>
            <w:tcW w:type="dxa" w:w="19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Cert. Impact</w:t>
            </w:r>
          </w:p>
        </w:tc>
      </w:tr>
      <w:tr>
        <w:tc>
          <w:tcPr>
            <w:tcW w:type="dxa" w:w="9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NC-001</w:t>
            </w:r>
          </w:p>
        </w:tc>
        <w:tc>
          <w:tcPr>
            <w:tcW w:type="dxa" w:w="9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GT-IAM-06</w:t>
            </w:r>
          </w:p>
        </w:tc>
        <w:tc>
          <w:tcPr>
            <w:tcW w:type="dxa" w:w="9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Major NC</w:t>
            </w:r>
          </w:p>
        </w:tc>
        <w:tc>
          <w:tcPr>
            <w:tcW w:type="dxa" w:w="36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Access review missed J. Beaumont role change   |   86 days of stale entitlements</w:t>
            </w:r>
          </w:p>
        </w:tc>
        <w:tc>
          <w:tcPr>
            <w:tcW w:type="dxa" w:w="10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2026-06-07</w:t>
            </w:r>
          </w:p>
        </w:tc>
        <w:tc>
          <w:tcPr>
            <w:tcW w:type="dxa" w:w="19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AT RISK   |   90-day closure deadline</w:t>
            </w:r>
          </w:p>
        </w:tc>
      </w:tr>
      <w:tr>
        <w:tc>
          <w:tcPr>
            <w:tcW w:type="dxa" w:w="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NC-002</w:t>
            </w:r>
          </w:p>
        </w:tc>
        <w:tc>
          <w:tcPr>
            <w:tcW w:type="dxa" w:w="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GT-IAM-02</w:t>
            </w:r>
          </w:p>
        </w:tc>
        <w:tc>
          <w:tcPr>
            <w:tcW w:type="dxa" w:w="9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Minor NC</w:t>
            </w:r>
          </w:p>
        </w:tc>
        <w:tc>
          <w:tcPr>
            <w:tcW w:type="dxa" w:w="36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Contractor account disabled 6 days post-contract-expiry; SuccessFactors gap</w:t>
            </w:r>
          </w:p>
        </w:tc>
        <w:tc>
          <w:tcPr>
            <w:tcW w:type="dxa" w:w="10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2026-06-30</w:t>
            </w:r>
          </w:p>
        </w:tc>
        <w:tc>
          <w:tcPr>
            <w:tcW w:type="dxa" w:w="1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Close before May 2027</w:t>
            </w:r>
          </w:p>
        </w:tc>
      </w:tr>
      <w:tr>
        <w:tc>
          <w:tcPr>
            <w:tcW w:type="dxa" w:w="9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NC-003</w:t>
            </w:r>
          </w:p>
        </w:tc>
        <w:tc>
          <w:tcPr>
            <w:tcW w:type="dxa" w:w="9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GT-IAM-04</w:t>
            </w:r>
          </w:p>
        </w:tc>
        <w:tc>
          <w:tcPr>
            <w:tcW w:type="dxa" w:w="9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Minor NC</w:t>
            </w:r>
          </w:p>
        </w:tc>
        <w:tc>
          <w:tcPr>
            <w:tcW w:type="dxa" w:w="36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Ministry Integration Admin role not reviewed in 2.5 years   |   excessive API write access</w:t>
            </w:r>
          </w:p>
        </w:tc>
        <w:tc>
          <w:tcPr>
            <w:tcW w:type="dxa" w:w="10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2026-06-15</w:t>
            </w:r>
          </w:p>
        </w:tc>
        <w:tc>
          <w:tcPr>
            <w:tcW w:type="dxa" w:w="19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Close before May 2027</w:t>
            </w:r>
          </w:p>
        </w:tc>
      </w:tr>
      <w:tr>
        <w:tc>
          <w:tcPr>
            <w:tcW w:type="dxa" w:w="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NC-004</w:t>
            </w:r>
          </w:p>
        </w:tc>
        <w:tc>
          <w:tcPr>
            <w:tcW w:type="dxa" w:w="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GT-IAM-05</w:t>
            </w:r>
          </w:p>
        </w:tc>
        <w:tc>
          <w:tcPr>
            <w:tcW w:type="dxa" w:w="9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Minor NC</w:t>
            </w:r>
          </w:p>
        </w:tc>
        <w:tc>
          <w:tcPr>
            <w:tcW w:type="dxa" w:w="36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Break-glass accounts lack session logging and quarterly review cadence</w:t>
            </w:r>
          </w:p>
        </w:tc>
        <w:tc>
          <w:tcPr>
            <w:tcW w:type="dxa" w:w="10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2026-06-30</w:t>
            </w:r>
          </w:p>
        </w:tc>
        <w:tc>
          <w:tcPr>
            <w:tcW w:type="dxa" w:w="1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Close before May 2027</w:t>
            </w:r>
          </w:p>
        </w:tc>
      </w:tr>
      <w:tr>
        <w:tc>
          <w:tcPr>
            <w:tcW w:type="dxa" w:w="9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NC-005</w:t>
            </w:r>
          </w:p>
        </w:tc>
        <w:tc>
          <w:tcPr>
            <w:tcW w:type="dxa" w:w="9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GT-CHG-01</w:t>
            </w:r>
          </w:p>
        </w:tc>
        <w:tc>
          <w:tcPr>
            <w:tcW w:type="dxa" w:w="9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Minor NC</w:t>
            </w:r>
          </w:p>
        </w:tc>
        <w:tc>
          <w:tcPr>
            <w:tcW w:type="dxa" w:w="36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Authentication changes bypass CAB via stale Standard Change category (pre-MFA)</w:t>
            </w:r>
          </w:p>
        </w:tc>
        <w:tc>
          <w:tcPr>
            <w:tcW w:type="dxa" w:w="10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2026-06-15</w:t>
            </w:r>
          </w:p>
        </w:tc>
        <w:tc>
          <w:tcPr>
            <w:tcW w:type="dxa" w:w="19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Close before May 2027</w:t>
            </w:r>
          </w:p>
        </w:tc>
      </w:tr>
      <w:tr>
        <w:tc>
          <w:tcPr>
            <w:tcW w:type="dxa" w:w="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NC-006</w:t>
            </w:r>
          </w:p>
        </w:tc>
        <w:tc>
          <w:tcPr>
            <w:tcW w:type="dxa" w:w="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GT-CHG-02</w:t>
            </w:r>
          </w:p>
        </w:tc>
        <w:tc>
          <w:tcPr>
            <w:tcW w:type="dxa" w:w="9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Minor NC</w:t>
            </w:r>
          </w:p>
        </w:tc>
        <w:tc>
          <w:tcPr>
            <w:tcW w:type="dxa" w:w="36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OSAP release DAST evidence missing   |   ZAP upload failed silently</w:t>
            </w:r>
          </w:p>
        </w:tc>
        <w:tc>
          <w:tcPr>
            <w:tcW w:type="dxa" w:w="10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2026-06-07</w:t>
            </w:r>
          </w:p>
        </w:tc>
        <w:tc>
          <w:tcPr>
            <w:tcW w:type="dxa" w:w="1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Close before May 2027</w:t>
            </w:r>
          </w:p>
        </w:tc>
      </w:tr>
      <w:tr>
        <w:tc>
          <w:tcPr>
            <w:tcW w:type="dxa" w:w="9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NC-007</w:t>
            </w:r>
          </w:p>
        </w:tc>
        <w:tc>
          <w:tcPr>
            <w:tcW w:type="dxa" w:w="9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GT-LOG-01</w:t>
            </w:r>
          </w:p>
        </w:tc>
        <w:tc>
          <w:tcPr>
            <w:tcW w:type="dxa" w:w="9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Minor NC</w:t>
            </w:r>
          </w:p>
        </w:tc>
        <w:tc>
          <w:tcPr>
            <w:tcW w:type="dxa" w:w="36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citizen_id missing from OSAP middleware logs (April 14 to May 25)   |   FIPPA gap</w:t>
            </w:r>
          </w:p>
        </w:tc>
        <w:tc>
          <w:tcPr>
            <w:tcW w:type="dxa" w:w="10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2026-06-07</w:t>
            </w:r>
          </w:p>
        </w:tc>
        <w:tc>
          <w:tcPr>
            <w:tcW w:type="dxa" w:w="19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Close before May 2027</w:t>
            </w:r>
          </w:p>
        </w:tc>
      </w:tr>
      <w:tr>
        <w:tc>
          <w:tcPr>
            <w:tcW w:type="dxa" w:w="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NC-008</w:t>
            </w:r>
          </w:p>
        </w:tc>
        <w:tc>
          <w:tcPr>
            <w:tcW w:type="dxa" w:w="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GT-LOG-02</w:t>
            </w:r>
          </w:p>
        </w:tc>
        <w:tc>
          <w:tcPr>
            <w:tcW w:type="dxa" w:w="9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Minor NC</w:t>
            </w:r>
          </w:p>
        </w:tc>
        <w:tc>
          <w:tcPr>
            <w:tcW w:type="dxa" w:w="36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SOC alert SLA missed on Saturday   |   coverage procedure depends on sick analyst action</w:t>
            </w:r>
          </w:p>
        </w:tc>
        <w:tc>
          <w:tcPr>
            <w:tcW w:type="dxa" w:w="10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2026-06-15</w:t>
            </w:r>
          </w:p>
        </w:tc>
        <w:tc>
          <w:tcPr>
            <w:tcW w:type="dxa" w:w="1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Close before May 2027</w:t>
            </w:r>
          </w:p>
        </w:tc>
      </w:tr>
      <w:tr>
        <w:tc>
          <w:tcPr>
            <w:tcW w:type="dxa" w:w="9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NC-009</w:t>
            </w:r>
          </w:p>
        </w:tc>
        <w:tc>
          <w:tcPr>
            <w:tcW w:type="dxa" w:w="9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GT-LOG-04</w:t>
            </w:r>
          </w:p>
        </w:tc>
        <w:tc>
          <w:tcPr>
            <w:tcW w:type="dxa" w:w="9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Minor NC</w:t>
            </w:r>
          </w:p>
        </w:tc>
        <w:tc>
          <w:tcPr>
            <w:tcW w:type="dxa" w:w="36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Daily review SLA missed (linked to NC-008 root cause)</w:t>
            </w:r>
          </w:p>
        </w:tc>
        <w:tc>
          <w:tcPr>
            <w:tcW w:type="dxa" w:w="10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2026-06-15</w:t>
            </w:r>
          </w:p>
        </w:tc>
        <w:tc>
          <w:tcPr>
            <w:tcW w:type="dxa" w:w="19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Close simultaneously with NC-008</w:t>
            </w:r>
          </w:p>
        </w:tc>
      </w:tr>
      <w:tr>
        <w:tc>
          <w:tcPr>
            <w:tcW w:type="dxa" w:w="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NC-010</w:t>
            </w:r>
          </w:p>
        </w:tc>
        <w:tc>
          <w:tcPr>
            <w:tcW w:type="dxa" w:w="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GT-CRY-02</w:t>
            </w:r>
          </w:p>
        </w:tc>
        <w:tc>
          <w:tcPr>
            <w:tcW w:type="dxa" w:w="9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Minor NC</w:t>
            </w:r>
          </w:p>
        </w:tc>
        <w:tc>
          <w:tcPr>
            <w:tcW w:type="dxa" w:w="36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Key destruction certificates missing for 2 annual rotations (2024, 2025)</w:t>
            </w:r>
          </w:p>
        </w:tc>
        <w:tc>
          <w:tcPr>
            <w:tcW w:type="dxa" w:w="10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2026-06-30</w:t>
            </w:r>
          </w:p>
        </w:tc>
        <w:tc>
          <w:tcPr>
            <w:tcW w:type="dxa" w:w="1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Close before May 2027</w:t>
            </w:r>
          </w:p>
        </w:tc>
      </w:tr>
      <w:tr>
        <w:tc>
          <w:tcPr>
            <w:tcW w:type="dxa" w:w="9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NC-011</w:t>
            </w:r>
          </w:p>
        </w:tc>
        <w:tc>
          <w:tcPr>
            <w:tcW w:type="dxa" w:w="9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GT-SUP-01</w:t>
            </w:r>
          </w:p>
        </w:tc>
        <w:tc>
          <w:tcPr>
            <w:tcW w:type="dxa" w:w="9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Minor NC</w:t>
            </w:r>
          </w:p>
        </w:tc>
        <w:tc>
          <w:tcPr>
            <w:tcW w:type="dxa" w:w="36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DataStream Analytics vendor reassessment overdue 4 months   |   contract amendment bypass</w:t>
            </w:r>
          </w:p>
        </w:tc>
        <w:tc>
          <w:tcPr>
            <w:tcW w:type="dxa" w:w="10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2026-06-30</w:t>
            </w:r>
          </w:p>
        </w:tc>
        <w:tc>
          <w:tcPr>
            <w:tcW w:type="dxa" w:w="19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Close before May 2027</w:t>
            </w:r>
          </w:p>
        </w:tc>
      </w:tr>
      <w:tr>
        <w:tc>
          <w:tcPr>
            <w:tcW w:type="dxa" w:w="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OFI-001</w:t>
            </w:r>
          </w:p>
        </w:tc>
        <w:tc>
          <w:tcPr>
            <w:tcW w:type="dxa" w:w="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GT-CHG-05</w:t>
            </w:r>
          </w:p>
        </w:tc>
        <w:tc>
          <w:tcPr>
            <w:tcW w:type="dxa" w:w="900"/>
            <w:tcBorders>
              <w:top w:val="single" w:color="B0C4D8" w:sz="4"/>
              <w:left w:val="single" w:color="B0C4D8" w:sz="4"/>
              <w:bottom w:val="single" w:color="B0C4D8" w:sz="4"/>
              <w:right w:val="single" w:color="B0C4D8" w:sz="4"/>
            </w:tcBorders>
            <w:shd w:fill="EBF5FB"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OFI</w:t>
            </w:r>
          </w:p>
        </w:tc>
        <w:tc>
          <w:tcPr>
            <w:tcW w:type="dxa" w:w="36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Network diagrams in Visio   |   no automated currency control; diagram drift risk</w:t>
            </w:r>
          </w:p>
        </w:tc>
        <w:tc>
          <w:tcPr>
            <w:tcW w:type="dxa" w:w="10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N/A</w:t>
            </w:r>
          </w:p>
        </w:tc>
        <w:tc>
          <w:tcPr>
            <w:tcW w:type="dxa" w:w="1900"/>
            <w:tcBorders>
              <w:top w:val="single" w:color="B0C4D8" w:sz="4"/>
              <w:left w:val="single" w:color="B0C4D8" w:sz="4"/>
              <w:bottom w:val="single" w:color="B0C4D8" w:sz="4"/>
              <w:right w:val="single" w:color="B0C4D8" w:sz="4"/>
            </w:tcBorders>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No certification impact</w:t>
            </w:r>
          </w:p>
        </w:tc>
      </w:tr>
      <w:tr>
        <w:tc>
          <w:tcPr>
            <w:tcW w:type="dxa" w:w="9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OFI-002</w:t>
            </w:r>
          </w:p>
        </w:tc>
        <w:tc>
          <w:tcPr>
            <w:tcW w:type="dxa" w:w="9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GT-SUP-02</w:t>
            </w:r>
          </w:p>
        </w:tc>
        <w:tc>
          <w:tcPr>
            <w:tcW w:type="dxa" w:w="900"/>
            <w:tcBorders>
              <w:top w:val="single" w:color="B0C4D8" w:sz="4"/>
              <w:left w:val="single" w:color="B0C4D8" w:sz="4"/>
              <w:bottom w:val="single" w:color="B0C4D8" w:sz="4"/>
              <w:right w:val="single" w:color="B0C4D8" w:sz="4"/>
            </w:tcBorders>
            <w:shd w:fill="EBF5FB"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OFI</w:t>
            </w:r>
          </w:p>
        </w:tc>
        <w:tc>
          <w:tcPr>
            <w:tcW w:type="dxa" w:w="36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Standard Ontario IT security schedule does not require SOC 2 for PROTECTED B vendors</w:t>
            </w:r>
          </w:p>
        </w:tc>
        <w:tc>
          <w:tcPr>
            <w:tcW w:type="dxa" w:w="10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N/A</w:t>
            </w:r>
          </w:p>
        </w:tc>
        <w:tc>
          <w:tcPr>
            <w:tcW w:type="dxa" w:w="19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No certification impact</w:t>
            </w:r>
          </w:p>
        </w:tc>
      </w:tr>
    </w:tbl>
    <w:p>
      <w:r>
        <w:br w:type="page"/>
      </w:r>
    </w:p>
    <w:p>
      <w:pPr>
        <w:pBdr>
          <w:bottom w:val="single" w:color="1C3557" w:sz="10" w:space="3"/>
        </w:pBdr>
        <w:spacing w:after="80" w:before="320"/>
      </w:pPr>
      <w:r>
        <w:rPr>
          <w:rFonts w:ascii="Calibri" w:cs="Calibri" w:eastAsia="Calibri" w:hAnsi="Calibri"/>
          <w:b/>
          <w:bCs/>
          <w:color w:val="1C3557"/>
          <w:sz w:val="26"/>
          <w:szCs w:val="26"/>
        </w:rPr>
        <w:t xml:space="preserve">6. POSITIVE OBSERVATIONS</w:t>
      </w:r>
    </w:p>
    <w:p>
      <w:pPr>
        <w:spacing w:after="120" w:before="60"/>
      </w:pPr>
      <w:r>
        <w:rPr>
          <w:rFonts w:ascii="Calibri" w:cs="Calibri" w:eastAsia="Calibri" w:hAnsi="Calibri"/>
          <w:color w:val="222222"/>
          <w:sz w:val="20"/>
          <w:szCs w:val="20"/>
        </w:rPr>
        <w:t xml:space="preserve">ISO 27001 surveillance audits identify nonconformities, but equally important is recognizing where controls are strong   |   both to provide balanced assurance to management and to identify practices that could be applied elsewhere in the ISMS.</w:t>
      </w:r>
    </w:p>
    <w:p>
      <w:pPr>
        <w:spacing w:after="0" w:before="60"/>
      </w:pPr>
      <w:r>
        <w:t xml:space="preserve"/>
      </w:r>
    </w:p>
    <w:p>
      <w:pPr>
        <w:pStyle w:val="ListParagraph"/>
        <w:numPr>
          <w:ilvl w:val="0"/>
          <w:numId w:val="2"/>
        </w:numPr>
        <w:spacing w:after="40" w:before="40"/>
      </w:pPr>
      <w:r>
        <w:rPr>
          <w:rFonts w:ascii="Calibri" w:cs="Calibri" w:eastAsia="Calibri" w:hAnsi="Calibri"/>
          <w:color w:val="222222"/>
          <w:sz w:val="19"/>
          <w:szCs w:val="19"/>
        </w:rPr>
        <w:t xml:space="preserve">Threat modelling maturity (GT-CHG-03): The Digital ID verification feature threat model is at the level expected for a critical government digital identity service. The adversarial analysis for synthetic identity fraud and credential stuffing reflects sophisticated security thinking. This should be used as a reference template for future high-risk features.</w:t>
      </w:r>
    </w:p>
    <w:p>
      <w:pPr>
        <w:pStyle w:val="ListParagraph"/>
        <w:numPr>
          <w:ilvl w:val="0"/>
          <w:numId w:val="2"/>
        </w:numPr>
        <w:spacing w:after="40" w:before="40"/>
      </w:pPr>
      <w:r>
        <w:rPr>
          <w:rFonts w:ascii="Calibri" w:cs="Calibri" w:eastAsia="Calibri" w:hAnsi="Calibri"/>
          <w:color w:val="222222"/>
          <w:sz w:val="19"/>
          <w:szCs w:val="19"/>
        </w:rPr>
        <w:t xml:space="preserve">SQL injection response time (GT-CHG-04): A Critical SQL injection vulnerability on the business permit search endpoint was remediated in 58 hours   |   within the 72-hour SLA. Rapid remediation of a Critical vulnerability on a citizen-facing government portal is commendable and reflects an effective vulnerability management program.</w:t>
      </w:r>
    </w:p>
    <w:p>
      <w:pPr>
        <w:pStyle w:val="ListParagraph"/>
        <w:numPr>
          <w:ilvl w:val="0"/>
          <w:numId w:val="2"/>
        </w:numPr>
        <w:spacing w:after="40" w:before="40"/>
      </w:pPr>
      <w:r>
        <w:rPr>
          <w:rFonts w:ascii="Calibri" w:cs="Calibri" w:eastAsia="Calibri" w:hAnsi="Calibri"/>
          <w:color w:val="222222"/>
          <w:sz w:val="19"/>
          <w:szCs w:val="19"/>
        </w:rPr>
        <w:t xml:space="preserve">Network segmentation architecture (GT-CHG-05): The PROTECTED B zone segmentation using Azure NSGs with explicit deny-all and least-privilege rules is well-designed. The January 2026 penetration test confirmed no unintended paths between DMZ and PROTECTED B zones.</w:t>
      </w:r>
    </w:p>
    <w:p>
      <w:pPr>
        <w:pStyle w:val="ListParagraph"/>
        <w:numPr>
          <w:ilvl w:val="0"/>
          <w:numId w:val="2"/>
        </w:numPr>
        <w:spacing w:after="40" w:before="40"/>
      </w:pPr>
      <w:r>
        <w:rPr>
          <w:rFonts w:ascii="Calibri" w:cs="Calibri" w:eastAsia="Calibri" w:hAnsi="Calibri"/>
          <w:color w:val="222222"/>
          <w:sz w:val="19"/>
          <w:szCs w:val="19"/>
        </w:rPr>
        <w:t xml:space="preserve">Immutable log storage (GT-LOG-03): Azure WORM configuration with 7-year total retention (1 year online, 6 years archived) exceeds GO-ITS 25.50 requirements and meets Ontario Archives Act obligations. The immutability test confirmed that even platform administrators cannot delete or modify logs.</w:t>
      </w:r>
    </w:p>
    <w:p>
      <w:pPr>
        <w:pStyle w:val="ListParagraph"/>
        <w:numPr>
          <w:ilvl w:val="0"/>
          <w:numId w:val="2"/>
        </w:numPr>
        <w:spacing w:after="40" w:before="40"/>
      </w:pPr>
      <w:r>
        <w:rPr>
          <w:rFonts w:ascii="Calibri" w:cs="Calibri" w:eastAsia="Calibri" w:hAnsi="Calibri"/>
          <w:color w:val="222222"/>
          <w:sz w:val="19"/>
          <w:szCs w:val="19"/>
        </w:rPr>
        <w:t xml:space="preserve">Open-source component management (GT-SUP-03): Three Critical OSS vulnerabilities in the last 6 months were all remediated within 48 hours   |   ahead of the 72-hour SLA. The log4j lineage dependency monitoring reflects mature SCA practices.</w:t>
      </w:r>
    </w:p>
    <w:p>
      <w:r>
        <w:br w:type="page"/>
      </w:r>
    </w:p>
    <w:p>
      <w:pPr>
        <w:pBdr>
          <w:bottom w:val="single" w:color="1C3557" w:sz="10" w:space="3"/>
        </w:pBdr>
        <w:spacing w:after="80" w:before="320"/>
      </w:pPr>
      <w:r>
        <w:rPr>
          <w:rFonts w:ascii="Calibri" w:cs="Calibri" w:eastAsia="Calibri" w:hAnsi="Calibri"/>
          <w:b/>
          <w:bCs/>
          <w:color w:val="1C3557"/>
          <w:sz w:val="26"/>
          <w:szCs w:val="26"/>
        </w:rPr>
        <w:t xml:space="preserve">7. CERTIFICATION STATUS AND NEXT STEPS</w:t>
      </w:r>
    </w:p>
    <w:p>
      <w:pPr>
        <w:spacing w:after="60" w:before="220"/>
      </w:pPr>
      <w:r>
        <w:rPr>
          <w:rFonts w:ascii="Calibri" w:cs="Calibri" w:eastAsia="Calibri" w:hAnsi="Calibri"/>
          <w:b/>
          <w:bCs/>
          <w:color w:val="1C3557"/>
          <w:sz w:val="22"/>
          <w:szCs w:val="22"/>
        </w:rPr>
        <w:t xml:space="preserve">7.1 Certification Status</w:t>
      </w:r>
    </w:p>
    <w:p>
      <w:pPr>
        <w:spacing w:after="120" w:before="60"/>
      </w:pPr>
      <w:r>
        <w:rPr>
          <w:rFonts w:ascii="Calibri" w:cs="Calibri" w:eastAsia="Calibri" w:hAnsi="Calibri"/>
          <w:color w:val="222222"/>
          <w:sz w:val="20"/>
          <w:szCs w:val="20"/>
        </w:rPr>
        <w:t xml:space="preserve">GovTech Ontario's ISO 27001:2022 certification (Certificate No. [FICTIONAL]) is currently AT RISK due to the Major Nonconformity (NC-001). Under BSI Group Canada's certification procedures, a Major NC identified during a surveillance audit must be closed with acceptable objective evidence within 90 days of the audit closing meeting (May 23, 2026). The deadline for NC-001 closure is August 25, 2026.</w:t>
      </w:r>
    </w:p>
    <w:p>
      <w:pPr>
        <w:spacing w:after="120" w:before="60"/>
      </w:pPr>
      <w:r>
        <w:rPr>
          <w:rFonts w:ascii="Calibri" w:cs="Calibri" w:eastAsia="Calibri" w:hAnsi="Calibri"/>
          <w:color w:val="222222"/>
          <w:sz w:val="20"/>
          <w:szCs w:val="20"/>
        </w:rPr>
        <w:t xml:space="preserve">If NC-001 is not closed by August 25, 2026, BSI Group Canada will initiate a certification suspension review. A suspended certification would need to be disclosed to Ontario Health (as a GovTech Ontario customer with information security contractual requirements), to the Treasury Board Secretariat, and potentially in the agency's annual public accountability report.</w:t>
      </w:r>
    </w:p>
    <w:p>
      <w:pPr>
        <w:spacing w:after="0" w:before="60"/>
      </w:pPr>
      <w:r>
        <w:t xml:space="preserve"/>
      </w:r>
    </w:p>
    <w:p>
      <w:pPr>
        <w:spacing w:after="60" w:before="220"/>
      </w:pPr>
      <w:r>
        <w:rPr>
          <w:rFonts w:ascii="Calibri" w:cs="Calibri" w:eastAsia="Calibri" w:hAnsi="Calibri"/>
          <w:b/>
          <w:bCs/>
          <w:color w:val="1C3557"/>
          <w:sz w:val="22"/>
          <w:szCs w:val="22"/>
        </w:rPr>
        <w:t xml:space="preserve">7.2 Recommended Remediation Timeline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800"/>
      </w:tblGrid>
      <w:tr>
        <w:tc>
          <w:tcPr>
            <w:tcW w:type="dxa" w:w="18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Priority</w:t>
            </w:r>
          </w:p>
        </w:tc>
        <w:tc>
          <w:tcPr>
            <w:tcW w:type="dxa" w:w="22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NCs</w:t>
            </w:r>
          </w:p>
        </w:tc>
        <w:tc>
          <w:tcPr>
            <w:tcW w:type="dxa" w:w="24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Target</w:t>
            </w:r>
          </w:p>
        </w:tc>
        <w:tc>
          <w:tcPr>
            <w:tcW w:type="dxa" w:w="2800"/>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Rationale</w:t>
            </w:r>
          </w:p>
        </w:tc>
      </w:tr>
      <w:tr>
        <w:tc>
          <w:tcPr>
            <w:tcW w:type="dxa" w:w="18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Immediate (by June 7)</w:t>
            </w:r>
          </w:p>
        </w:tc>
        <w:tc>
          <w:tcPr>
            <w:tcW w:type="dxa" w:w="22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NC-001 initial action; NC-006; NC-007</w:t>
            </w:r>
          </w:p>
        </w:tc>
        <w:tc>
          <w:tcPr>
            <w:tcW w:type="dxa" w:w="24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2026-06-07</w:t>
            </w:r>
          </w:p>
        </w:tc>
        <w:tc>
          <w:tcPr>
            <w:tcW w:type="dxa" w:w="2800"/>
            <w:tcBorders>
              <w:top w:val="single" w:color="B0C4D8" w:sz="4"/>
              <w:left w:val="single" w:color="B0C4D8" w:sz="4"/>
              <w:bottom w:val="single" w:color="B0C4D8" w:sz="4"/>
              <w:right w:val="single" w:color="B0C4D8" w:sz="4"/>
            </w:tcBorders>
            <w:shd w:fill="FFEEEE"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FIPPA audit trail gap (NC-007) and DAST evidence gap (NC-006) must be resolved urgently. NC-001 initial access review must begin immediately.</w:t>
            </w:r>
          </w:p>
        </w:tc>
      </w:tr>
      <w:tr>
        <w:tc>
          <w:tcPr>
            <w:tcW w:type="dxa" w:w="18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Short-term (by June 15)</w:t>
            </w:r>
          </w:p>
        </w:tc>
        <w:tc>
          <w:tcPr>
            <w:tcW w:type="dxa" w:w="22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NC-003; NC-005; NC-008; NC-009</w:t>
            </w:r>
          </w:p>
        </w:tc>
        <w:tc>
          <w:tcPr>
            <w:tcW w:type="dxa" w:w="24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2026-06-15</w:t>
            </w:r>
          </w:p>
        </w:tc>
        <w:tc>
          <w:tcPr>
            <w:tcW w:type="dxa" w:w="2800"/>
            <w:tcBorders>
              <w:top w:val="single" w:color="B0C4D8" w:sz="4"/>
              <w:left w:val="single" w:color="B0C4D8" w:sz="4"/>
              <w:bottom w:val="single" w:color="B0C4D8" w:sz="4"/>
              <w:right w:val="single" w:color="B0C4D8" w:sz="4"/>
            </w:tcBorders>
            <w:shd w:fill="FFF8E1"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IAM role and change management gaps; SOC coverage procedure   |   all have straightforward corrective actions.</w:t>
            </w:r>
          </w:p>
        </w:tc>
      </w:tr>
      <w:tr>
        <w:tc>
          <w:tcPr>
            <w:tcW w:type="dxa" w:w="18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bCs/>
                <w:color w:val="222222"/>
                <w:sz w:val="19"/>
                <w:szCs w:val="19"/>
              </w:rPr>
              <w:t xml:space="preserve">Medium-term (by June 30)</w:t>
            </w:r>
          </w:p>
        </w:tc>
        <w:tc>
          <w:tcPr>
            <w:tcW w:type="dxa" w:w="22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NC-001 full closure; NC-002; NC-004; NC-010; NC-011</w:t>
            </w:r>
          </w:p>
        </w:tc>
        <w:tc>
          <w:tcPr>
            <w:tcW w:type="dxa" w:w="24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center"/>
            </w:pPr>
            <w:r>
              <w:rPr>
                <w:rFonts w:ascii="Calibri" w:cs="Calibri" w:eastAsia="Calibri" w:hAnsi="Calibri"/>
                <w:b/>
                <w:bCs/>
                <w:color w:val="222222"/>
                <w:sz w:val="19"/>
                <w:szCs w:val="19"/>
              </w:rPr>
              <w:t xml:space="preserve">2026-06-30</w:t>
            </w:r>
          </w:p>
        </w:tc>
        <w:tc>
          <w:tcPr>
            <w:tcW w:type="dxa" w:w="2800"/>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SAP SuccessFactors config, break-glass, key certificates, vendor reassessment   |   require coordination across teams. NC-001 must be fully closed well before the August 25 deadline.</w:t>
            </w:r>
          </w:p>
        </w:tc>
      </w:tr>
    </w:tbl>
    <w:p>
      <w:pPr>
        <w:spacing w:after="0" w:before="80"/>
      </w:pPr>
      <w:r>
        <w:t xml:space="preserve"/>
      </w:r>
    </w:p>
    <w:p>
      <w:pPr>
        <w:pBdr>
          <w:left w:val="single" w:color="264A72" w:sz="12" w:space="8"/>
        </w:pBdr>
        <w:spacing w:after="100" w:before="60"/>
        <w:ind w:left="200"/>
      </w:pPr>
      <w:r>
        <w:rPr>
          <w:rFonts w:ascii="Calibri" w:cs="Calibri" w:eastAsia="Calibri" w:hAnsi="Calibri"/>
          <w:i/>
          <w:iCs/>
          <w:color w:val="264A72"/>
          <w:sz w:val="18"/>
          <w:szCs w:val="18"/>
        </w:rPr>
        <w:t xml:space="preserve">Auditor's recommendation: The CISO should convene a weekly NC remediation review meeting with the Director of IAM, SOC Manager, Director of Platform Engineering, and Manager of Vendor Risk   |   beginning immediately and running until all NCs are closed. Closure evidence should be submitted to the CISO for review before being submitted to BSI Group Canada. The auditor is available to conduct an informal evidence review in July 2026 to confirm NC-001 closure evidence is acceptable before the formal BSI submission.</w:t>
      </w:r>
    </w:p>
    <w:p>
      <w:r>
        <w:br w:type="page"/>
      </w:r>
    </w:p>
    <w:p>
      <w:pPr>
        <w:pBdr>
          <w:bottom w:val="single" w:color="1C3557" w:sz="10" w:space="3"/>
        </w:pBdr>
        <w:spacing w:after="80" w:before="320"/>
      </w:pPr>
      <w:r>
        <w:rPr>
          <w:rFonts w:ascii="Calibri" w:cs="Calibri" w:eastAsia="Calibri" w:hAnsi="Calibri"/>
          <w:b/>
          <w:bCs/>
          <w:color w:val="1C3557"/>
          <w:sz w:val="26"/>
          <w:szCs w:val="26"/>
        </w:rPr>
        <w:t xml:space="preserve">8. AUDIT CLOSING MEETING AND DISTRIBUTION</w:t>
      </w:r>
    </w:p>
    <w:p>
      <w:pPr>
        <w:spacing w:after="120" w:before="60"/>
      </w:pPr>
      <w:r>
        <w:rPr>
          <w:rFonts w:ascii="Calibri" w:cs="Calibri" w:eastAsia="Calibri" w:hAnsi="Calibri"/>
          <w:color w:val="222222"/>
          <w:sz w:val="20"/>
          <w:szCs w:val="20"/>
        </w:rPr>
        <w:t xml:space="preserve">The audit closing meeting was held on May 23, 2026. Attendees: CISO, Deputy Minister IT, Director of IAM, SOC Manager, Director of Platform Engineering, Director of AppSec, Manager of Vendor Risk, and BSI Group Canada surveillance audit representative. All findings were verbally communicated. Management acknowledged all nonconformities and provided initial corrective action commitments.</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Prepared By</w:t>
            </w:r>
          </w:p>
        </w:tc>
        <w:tc>
          <w:tcPr>
            <w:tcW w:type="dxa" w:w="3067"/>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Reviewed By</w:t>
            </w:r>
          </w:p>
        </w:tc>
        <w:tc>
          <w:tcPr>
            <w:tcW w:type="dxa" w:w="3067"/>
            <w:tcBorders>
              <w:top w:val="single" w:color="1C3557" w:sz="8"/>
              <w:left w:val="single" w:color="B0C4D8" w:sz="4"/>
              <w:bottom w:val="single" w:color="1C3557" w:sz="8"/>
              <w:right w:val="single" w:color="B0C4D8" w:sz="4"/>
            </w:tcBorders>
            <w:shd w:fill="1C35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CISO Acknowledgement</w:t>
            </w:r>
          </w:p>
        </w:tc>
      </w:tr>
      <w:tr>
        <w:tc>
          <w:tcPr>
            <w:tcW w:type="dxa" w:w="3066"/>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Edem Messiga
ISO 27001 Certified Lead Auditor
Chief Information Security Office
May 25, 2026</w:t>
            </w:r>
          </w:p>
        </w:tc>
        <w:tc>
          <w:tcPr>
            <w:tcW w:type="dxa" w:w="3067"/>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[Deputy Minister IT]
[Name]
[Date]</w:t>
            </w:r>
          </w:p>
        </w:tc>
        <w:tc>
          <w:tcPr>
            <w:tcW w:type="dxa" w:w="3067"/>
            <w:tcBorders>
              <w:top w:val="single" w:color="B0C4D8" w:sz="4"/>
              <w:left w:val="single" w:color="B0C4D8" w:sz="4"/>
              <w:bottom w:val="single" w:color="B0C4D8" w:sz="4"/>
              <w:right w:val="single" w:color="B0C4D8" w:sz="4"/>
            </w:tcBorders>
            <w:shd w:fill="F0F4F8"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[CISO]
[Name   |   acknowledges all NCs]
[Date]</w:t>
            </w:r>
          </w:p>
        </w:tc>
      </w:tr>
    </w:tbl>
    <w:p>
      <w:pPr>
        <w:spacing w:after="0" w:before="60"/>
      </w:pPr>
      <w:r>
        <w:t xml:space="preserve"/>
      </w:r>
    </w:p>
    <w:p>
      <w:pPr>
        <w:spacing w:after="40" w:before="60"/>
      </w:pPr>
      <w:r>
        <w:rPr>
          <w:rFonts w:ascii="Calibri" w:cs="Calibri" w:eastAsia="Calibri" w:hAnsi="Calibri"/>
          <w:color w:val="222222"/>
          <w:sz w:val="20"/>
          <w:szCs w:val="20"/>
        </w:rPr>
        <w:t xml:space="preserve">Distribution: CISO, Deputy Minister IT, Ontario Digital Service Director General. This report is classified PROTECTED B. Redistribution requires CISO approval. This document must be retained for 7 years per Ontario Archives Act.</w:t>
      </w:r>
    </w:p>
    <w:p>
      <w:pPr>
        <w:spacing w:after="20" w:before="20"/>
      </w:pPr>
      <w:r>
        <w:rPr>
          <w:rFonts w:ascii="Calibri" w:cs="Calibri" w:eastAsia="Calibri" w:hAnsi="Calibri"/>
          <w:color w:val="222222"/>
          <w:sz w:val="20"/>
          <w:szCs w:val="20"/>
        </w:rPr>
        <w:t xml:space="preserve">All entities, individuals, systems, and government references in this document are fictional and created for portfolio and professional development purposes only.</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2026-05-28T22:21:49.495Z</dcterms:created>
  <dcterms:modified xsi:type="dcterms:W3CDTF">2026-05-28T22:21:49.508Z</dcterms:modified>
</cp:coreProperties>
</file>

<file path=docProps/custom.xml><?xml version="1.0" encoding="utf-8"?>
<Properties xmlns="http://schemas.openxmlformats.org/officeDocument/2006/custom-properties" xmlns:vt="http://schemas.openxmlformats.org/officeDocument/2006/docPropsVTypes"/>
</file>