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40" w:before="0"/>
        <w:jc w:val="center"/>
      </w:pPr>
      <w:r>
        <w:rPr>
          <w:rFonts w:ascii="Calibri" w:cs="Calibri" w:eastAsia="Calibri" w:hAnsi="Calibri"/>
          <w:b/>
          <w:bCs/>
          <w:color w:val="1C3A52"/>
          <w:sz w:val="28"/>
          <w:szCs w:val="28"/>
        </w:rPr>
        <w:t xml:space="preserve">NORTHERNPOWER ENERGY CORP.</w:t>
      </w:r>
    </w:p>
    <w:p>
      <w:pPr>
        <w:spacing w:after="60" w:before="0"/>
        <w:jc w:val="center"/>
      </w:pPr>
      <w:r>
        <w:rPr>
          <w:rFonts w:ascii="Calibri" w:cs="Calibri" w:eastAsia="Calibri" w:hAnsi="Calibri"/>
          <w:b/>
          <w:bCs/>
          <w:color w:val="000000"/>
          <w:sz w:val="40"/>
          <w:szCs w:val="40"/>
        </w:rPr>
        <w:t xml:space="preserve">SOX Section 404 ITGC Pre-Assessment Report</w:t>
      </w:r>
    </w:p>
    <w:p>
      <w:pPr>
        <w:spacing w:after="40" w:before="0"/>
        <w:jc w:val="center"/>
      </w:pPr>
      <w:r>
        <w:rPr>
          <w:rFonts w:ascii="Calibri" w:cs="Calibri" w:eastAsia="Calibri" w:hAnsi="Calibri"/>
          <w:i/>
          <w:iCs/>
          <w:color w:val="334D63"/>
          <w:sz w:val="22"/>
          <w:szCs w:val="22"/>
        </w:rPr>
        <w:t xml:space="preserve">Internal Audit Division   |   Pre-KPMG Fieldwork Gap Assessment   |   May 2026</w:t>
      </w:r>
    </w:p>
    <w:p>
      <w:pPr>
        <w:pBdr>
          <w:bottom w:val="single" w:color="1C3A52" w:sz="6" w:space="4"/>
        </w:pBdr>
        <w:spacing w:after="280" w:before="0"/>
        <w:jc w:val="center"/>
      </w:pPr>
      <w:r>
        <w:rPr>
          <w:rFonts w:ascii="Calibri" w:cs="Calibri" w:eastAsia="Calibri" w:hAnsi="Calibri"/>
          <w:b/>
          <w:bCs/>
          <w:color w:val="1C3A52"/>
          <w:sz w:val="20"/>
          <w:szCs w:val="20"/>
        </w:rPr>
        <w:t xml:space="preserve">CONFIDENTIAL   |   Audit Committee, CFO, CISO, VP Internal Audit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Engagement Detail</w:t>
            </w:r>
          </w:p>
        </w:tc>
        <w:tc>
          <w:tcPr>
            <w:tcW w:type="dxa" w:w="64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Information</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Audit Lead</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Edem Messiga, ISO 27001 Certified Lead Auditor   |   Internal Audit Division</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Entity (Fictional)</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NorthernPower Energy Corp.   |   Integrated energy company   |   Dual-listed TSX and NYSE</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Regulatory Framework</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US SOX Section 302 and 404   |   PCAOB AS 2201   |   NI 52-109 (Canadian equivalent)   |   OSC oversight</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ERP Systems</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SAP S/4HANA (primary financial ERP)   |   Salesforce (customer billing)   |   Workday (HR and payroll)</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External Auditor</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KPMG LLP   |   ITGC fieldwork scheduled September 2026</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Prior Year</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2025: 1 Significant Deficiency (SAP HR access provisioning)   |   Remediated March 2026</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Assessment Type</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Internal SOX ITGC Pre-Assessment (pre-KPMG fieldwork gap identification and remediation)</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Assessment Period</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01 May 2026 to 23 May 2026 (15 business days)</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Report Date</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May 25, 2026</w:t>
            </w:r>
          </w:p>
        </w:tc>
      </w:tr>
    </w:tbl>
    <w:p>
      <w:r>
        <w:br w:type="page"/>
      </w:r>
    </w:p>
    <w:p>
      <w:pPr>
        <w:pBdr>
          <w:bottom w:val="single" w:color="1C3A52" w:sz="10" w:space="3"/>
        </w:pBdr>
        <w:spacing w:after="80" w:before="320"/>
      </w:pPr>
      <w:r>
        <w:rPr>
          <w:rFonts w:ascii="Calibri" w:cs="Calibri" w:eastAsia="Calibri" w:hAnsi="Calibri"/>
          <w:b/>
          <w:bCs/>
          <w:color w:val="1C3A52"/>
          <w:sz w:val="26"/>
          <w:szCs w:val="26"/>
        </w:rPr>
        <w:t xml:space="preserve">1. EXECUTIVE SUMMARY</w:t>
      </w:r>
    </w:p>
    <w:p>
      <w:pPr>
        <w:spacing w:after="120" w:before="60"/>
      </w:pPr>
      <w:r>
        <w:rPr>
          <w:rFonts w:ascii="Calibri" w:cs="Calibri" w:eastAsia="Calibri" w:hAnsi="Calibri"/>
          <w:color w:val="222222"/>
          <w:sz w:val="20"/>
          <w:szCs w:val="20"/>
        </w:rPr>
        <w:t xml:space="preserve">This report presents the findings of an internal SOX Section 404 IT General Controls (ITGC) pre-assessment of NorthernPower Energy Corp., a dual-listed (TSX and NYSE) integrated energy company subject to both US Sarbanes-Oxley Act requirements and Canadian National Instrument 52-109. The assessment was conducted by the Internal Audit Division to identify and remediate ITGC gaps before KPMG LLP commences its annual external auditor ITGC fieldwork in September 2026.</w:t>
      </w:r>
    </w:p>
    <w:p>
      <w:pPr>
        <w:spacing w:after="120" w:before="60"/>
      </w:pPr>
      <w:r>
        <w:rPr>
          <w:rFonts w:ascii="Calibri" w:cs="Calibri" w:eastAsia="Calibri" w:hAnsi="Calibri"/>
          <w:color w:val="222222"/>
          <w:sz w:val="20"/>
          <w:szCs w:val="20"/>
        </w:rPr>
        <w:t xml:space="preserve">The assessment covered 22 controls across five ITGC domains: Logical Access Controls, Change Management, Computer Operations, Financial Reporting Systems, and IT Risk Management. It identified 1 Material Weakness, 2 Significant Deficiencies, and 14 Control Deficiencies. The Material Weakness relates to an undocumented change to a SAP cash flow statement report parameter, which requires immediate escalation to the Audit Committee, CFO, and KPMG.</w:t>
      </w:r>
    </w:p>
    <w:p>
      <w:pPr>
        <w:pBdr>
          <w:left w:val="single" w:color="C62828" w:sz="16" w:space="8"/>
        </w:pBdr>
        <w:spacing w:after="100" w:before="60"/>
        <w:ind w:left="200"/>
      </w:pPr>
      <w:r>
        <w:rPr>
          <w:rFonts w:ascii="Calibri" w:cs="Calibri" w:eastAsia="Calibri" w:hAnsi="Calibri"/>
          <w:b/>
          <w:bCs/>
          <w:color w:val="C62828"/>
          <w:sz w:val="18"/>
          <w:szCs w:val="18"/>
        </w:rPr>
        <w:t xml:space="preserve">MATERIAL WEAKNESS IDENTIFIED   |   AUDIT COMMITTEE ESCALATION REQUIRED. An undocumented change to the SAP cash flow statement report parameter (MW-001) constitutes a Material Weakness under PCAOB AS 2201. This finding must be communicated to the Audit Committee at the next scheduled meeting (June 3, 2026) and to KPMG by June 7, 2026. If this deficiency is not remediated before September KPMG fieldwork, KPMG will be required to issue an adverse opinion on internal controls over financial reporting (ICFR).</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200"/>
        <w:gridCol w:w="1300"/>
      </w:tblGrid>
      <w:tr>
        <w:tc>
          <w:tcPr>
            <w:tcW w:type="dxa" w:w="28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ITGC Domain</w:t>
            </w:r>
          </w:p>
        </w:tc>
        <w:tc>
          <w:tcPr>
            <w:tcW w:type="dxa" w:w="13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Controls</w:t>
            </w:r>
          </w:p>
        </w:tc>
        <w:tc>
          <w:tcPr>
            <w:tcW w:type="dxa" w:w="13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Effective</w:t>
            </w:r>
          </w:p>
        </w:tc>
        <w:tc>
          <w:tcPr>
            <w:tcW w:type="dxa" w:w="13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Partial</w:t>
            </w:r>
          </w:p>
        </w:tc>
        <w:tc>
          <w:tcPr>
            <w:tcW w:type="dxa" w:w="12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MW</w:t>
            </w:r>
          </w:p>
        </w:tc>
        <w:tc>
          <w:tcPr>
            <w:tcW w:type="dxa" w:w="13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SD</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Logical Access Controls</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7</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w:t>
            </w:r>
          </w:p>
        </w:tc>
        <w:tc>
          <w:tcPr>
            <w:tcW w:type="dxa" w:w="12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5</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r>
      <w:tr>
        <w:tc>
          <w:tcPr>
            <w:tcW w:type="dxa" w:w="2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Change Management</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5</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12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4</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Computer Operations</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5</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w:t>
            </w:r>
          </w:p>
        </w:tc>
        <w:tc>
          <w:tcPr>
            <w:tcW w:type="dxa" w:w="12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3</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r>
      <w:tr>
        <w:tc>
          <w:tcPr>
            <w:tcW w:type="dxa" w:w="2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Financial Reporting Systems</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7</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4</w:t>
            </w:r>
          </w:p>
        </w:tc>
        <w:tc>
          <w:tcPr>
            <w:tcW w:type="dxa" w:w="12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3</w:t>
            </w:r>
          </w:p>
        </w:tc>
        <w:tc>
          <w:tcPr>
            <w:tcW w:type="dxa" w:w="13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IT Risk Management</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12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r>
      <w:tr>
        <w:tc>
          <w:tcPr>
            <w:tcW w:type="dxa" w:w="2800"/>
            <w:tcBorders>
              <w:top w:val="single" w:color="B0C4D8" w:sz="4"/>
              <w:left w:val="single" w:color="B0C4D8" w:sz="4"/>
              <w:bottom w:val="single" w:color="B0C4D8" w:sz="4"/>
              <w:right w:val="single" w:color="B0C4D8" w:sz="4"/>
            </w:tcBorders>
            <w:shd w:fill="1C3A52"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TOTALS</w:t>
            </w:r>
          </w:p>
        </w:tc>
        <w:tc>
          <w:tcPr>
            <w:tcW w:type="dxa" w:w="1300"/>
            <w:tcBorders>
              <w:top w:val="single" w:color="B0C4D8" w:sz="4"/>
              <w:left w:val="single" w:color="B0C4D8" w:sz="4"/>
              <w:bottom w:val="single" w:color="B0C4D8" w:sz="4"/>
              <w:right w:val="single" w:color="B0C4D8" w:sz="4"/>
            </w:tcBorders>
            <w:shd w:fill="1C3A52"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26</w:t>
            </w:r>
          </w:p>
        </w:tc>
        <w:tc>
          <w:tcPr>
            <w:tcW w:type="dxa" w:w="1300"/>
            <w:tcBorders>
              <w:top w:val="single" w:color="B0C4D8" w:sz="4"/>
              <w:left w:val="single" w:color="B0C4D8" w:sz="4"/>
              <w:bottom w:val="single" w:color="B0C4D8" w:sz="4"/>
              <w:right w:val="single" w:color="B0C4D8" w:sz="4"/>
            </w:tcBorders>
            <w:shd w:fill="1C3A52"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10</w:t>
            </w:r>
          </w:p>
        </w:tc>
        <w:tc>
          <w:tcPr>
            <w:tcW w:type="dxa" w:w="1200"/>
            <w:tcBorders>
              <w:top w:val="single" w:color="B0C4D8" w:sz="4"/>
              <w:left w:val="single" w:color="B0C4D8" w:sz="4"/>
              <w:bottom w:val="single" w:color="B0C4D8" w:sz="4"/>
              <w:right w:val="single" w:color="B0C4D8" w:sz="4"/>
            </w:tcBorders>
            <w:shd w:fill="1C3A52"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16</w:t>
            </w:r>
          </w:p>
        </w:tc>
        <w:tc>
          <w:tcPr>
            <w:tcW w:type="dxa" w:w="1300"/>
            <w:tcBorders>
              <w:top w:val="single" w:color="B0C4D8" w:sz="4"/>
              <w:left w:val="single" w:color="B0C4D8" w:sz="4"/>
              <w:bottom w:val="single" w:color="B0C4D8" w:sz="4"/>
              <w:right w:val="single" w:color="B0C4D8" w:sz="4"/>
            </w:tcBorders>
            <w:shd w:fill="1C3A52"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1</w:t>
            </w:r>
          </w:p>
        </w:tc>
        <w:tc>
          <w:tcPr>
            <w:tcW w:type="dxa" w:w="1300"/>
            <w:tcBorders>
              <w:top w:val="single" w:color="B0C4D8" w:sz="4"/>
              <w:left w:val="single" w:color="B0C4D8" w:sz="4"/>
              <w:bottom w:val="single" w:color="B0C4D8" w:sz="4"/>
              <w:right w:val="single" w:color="B0C4D8" w:sz="4"/>
            </w:tcBorders>
            <w:shd w:fill="1C3A52"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2</w:t>
            </w:r>
          </w:p>
        </w:tc>
      </w:tr>
    </w:tbl>
    <w:p>
      <w:pPr>
        <w:spacing w:after="0" w:before="80"/>
      </w:pPr>
      <w:r>
        <w:t xml:space="preserve"/>
      </w:r>
    </w:p>
    <w:p>
      <w:pPr>
        <w:pBdr>
          <w:left w:val="single" w:color="26506E" w:sz="12" w:space="8"/>
        </w:pBdr>
        <w:spacing w:after="100" w:before="60"/>
        <w:ind w:left="200"/>
      </w:pPr>
      <w:r>
        <w:rPr>
          <w:rFonts w:ascii="Calibri" w:cs="Calibri" w:eastAsia="Calibri" w:hAnsi="Calibri"/>
          <w:i/>
          <w:iCs/>
          <w:color w:val="26506E"/>
          <w:sz w:val="18"/>
          <w:szCs w:val="18"/>
        </w:rPr>
        <w:t xml:space="preserve">Auditor's note: NorthernPower's ITGC environment has improved materially since the 2025 Significant Deficiency in SAP HR access provisioning. Logical access and change management controls are largely well-designed. The Material Weakness is a documentation gap rather than a fundamental control absence, and the path to remediation is clear. With focused effort on the 14 management actions by early August 2026, NorthernPower can present a substantially clean control environment to KPMG in September.</w:t>
      </w:r>
    </w:p>
    <w:p>
      <w:r>
        <w:br w:type="page"/>
      </w:r>
    </w:p>
    <w:p>
      <w:pPr>
        <w:pBdr>
          <w:bottom w:val="single" w:color="1C3A52" w:sz="10" w:space="3"/>
        </w:pBdr>
        <w:spacing w:after="80" w:before="320"/>
      </w:pPr>
      <w:r>
        <w:rPr>
          <w:rFonts w:ascii="Calibri" w:cs="Calibri" w:eastAsia="Calibri" w:hAnsi="Calibri"/>
          <w:b/>
          <w:bCs/>
          <w:color w:val="1C3A52"/>
          <w:sz w:val="26"/>
          <w:szCs w:val="26"/>
        </w:rPr>
        <w:t xml:space="preserve">2. SOX AND NI 52-109 FRAMEWORK CONTEXT</w:t>
      </w:r>
    </w:p>
    <w:p>
      <w:pPr>
        <w:spacing w:after="60" w:before="220"/>
      </w:pPr>
      <w:r>
        <w:rPr>
          <w:rFonts w:ascii="Calibri" w:cs="Calibri" w:eastAsia="Calibri" w:hAnsi="Calibri"/>
          <w:b/>
          <w:bCs/>
          <w:color w:val="1C3A52"/>
          <w:sz w:val="22"/>
          <w:szCs w:val="22"/>
        </w:rPr>
        <w:t xml:space="preserve">2.1 Why NorthernPower Is Subject to Both SOX and NI 52-109</w:t>
      </w:r>
    </w:p>
    <w:p>
      <w:pPr>
        <w:spacing w:after="120" w:before="60"/>
      </w:pPr>
      <w:r>
        <w:rPr>
          <w:rFonts w:ascii="Calibri" w:cs="Calibri" w:eastAsia="Calibri" w:hAnsi="Calibri"/>
          <w:color w:val="222222"/>
          <w:sz w:val="20"/>
          <w:szCs w:val="20"/>
        </w:rPr>
        <w:t xml:space="preserve">NorthernPower Energy Corp. is dual-listed on the TSX and NYSE, which means it is subject to both the US Sarbanes-Oxley Act (for its NYSE listing) and Canadian National Instrument 52-109 (for its TSX listing and OSC oversight). In practice, NorthernPower complies with the more demanding US SOX framework and documents that compliance in a way that satisfies NI 52-109 simultaneously.</w:t>
      </w:r>
    </w:p>
    <w:p>
      <w:pPr>
        <w:spacing w:after="120" w:before="60"/>
      </w:pPr>
      <w:r>
        <w:rPr>
          <w:rFonts w:ascii="Calibri" w:cs="Calibri" w:eastAsia="Calibri" w:hAnsi="Calibri"/>
          <w:color w:val="222222"/>
          <w:sz w:val="20"/>
          <w:szCs w:val="20"/>
        </w:rPr>
        <w:t xml:space="preserve">As a large accelerated filer under SEC rules, NorthernPower is required under SOX Section 404(b) to obtain an external auditor attestation on its assessment of internal controls over financial reporting (ICFR). This is KPMG's role. The Internal Audit function conducts this pre-assessment to give management visibility into control gaps before the external auditors test, allowing remediation before KPMG fieldwork begins.</w:t>
      </w:r>
    </w:p>
    <w:p>
      <w:pPr>
        <w:spacing w:after="0" w:before="60"/>
      </w:pPr>
      <w:r>
        <w:t xml:space="preserve"/>
      </w:r>
    </w:p>
    <w:p>
      <w:pPr>
        <w:spacing w:after="60" w:before="220"/>
      </w:pPr>
      <w:r>
        <w:rPr>
          <w:rFonts w:ascii="Calibri" w:cs="Calibri" w:eastAsia="Calibri" w:hAnsi="Calibri"/>
          <w:b/>
          <w:bCs/>
          <w:color w:val="1C3A52"/>
          <w:sz w:val="22"/>
          <w:szCs w:val="22"/>
        </w:rPr>
        <w:t xml:space="preserve">2.2 PCAOB AS 2201 Deficiency Classification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Classification</w:t>
            </w:r>
          </w:p>
        </w:tc>
        <w:tc>
          <w:tcPr>
            <w:tcW w:type="dxa" w:w="34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Definition (PCAOB AS 2201)</w:t>
            </w:r>
          </w:p>
        </w:tc>
        <w:tc>
          <w:tcPr>
            <w:tcW w:type="dxa" w:w="34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NorthernPower Implication</w:t>
            </w:r>
          </w:p>
        </w:tc>
      </w:tr>
      <w:tr>
        <w:tc>
          <w:tcPr>
            <w:tcW w:type="dxa" w:w="24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Material Weakness</w:t>
            </w:r>
          </w:p>
        </w:tc>
        <w:tc>
          <w:tcPr>
            <w:tcW w:type="dxa" w:w="34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 deficiency, or combination of deficiencies, such that there is a reasonable possibility that a material misstatement of the financial statements will not be prevented or detected on a timely basis.</w:t>
            </w:r>
          </w:p>
        </w:tc>
        <w:tc>
          <w:tcPr>
            <w:tcW w:type="dxa" w:w="34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Adverse ICFR opinion from KPMG if not remediated by year-end. Required disclosure in 10-K/annual report. CEO and CFO Section 302 certifications at risk. Immediate Audit Committee notification required.</w:t>
            </w:r>
          </w:p>
        </w:tc>
      </w:tr>
      <w:tr>
        <w:tc>
          <w:tcPr>
            <w:tcW w:type="dxa" w:w="24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Significant Deficiency</w:t>
            </w:r>
          </w:p>
        </w:tc>
        <w:tc>
          <w:tcPr>
            <w:tcW w:type="dxa" w:w="34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 deficiency less severe than a Material Weakness yet important enough to merit attention by those responsible for oversight of financial reporting.</w:t>
            </w:r>
          </w:p>
        </w:tc>
        <w:tc>
          <w:tcPr>
            <w:tcW w:type="dxa" w:w="34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Required communication to Audit Committee and KPMG. No adverse opinion but audit scope increases. Remediation expected before year-end.</w:t>
            </w:r>
          </w:p>
        </w:tc>
      </w:tr>
      <w:tr>
        <w:tc>
          <w:tcPr>
            <w:tcW w:type="dxa" w:w="2400"/>
            <w:tcBorders>
              <w:top w:val="single" w:color="B0C4D8" w:sz="4"/>
              <w:left w:val="single" w:color="B0C4D8" w:sz="4"/>
              <w:bottom w:val="single" w:color="B0C4D8" w:sz="4"/>
              <w:right w:val="single" w:color="B0C4D8" w:sz="4"/>
            </w:tcBorders>
            <w:shd w:fill="FFFF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Control Deficiency</w:t>
            </w:r>
          </w:p>
        </w:tc>
        <w:tc>
          <w:tcPr>
            <w:tcW w:type="dxa" w:w="3400"/>
            <w:tcBorders>
              <w:top w:val="single" w:color="B0C4D8" w:sz="4"/>
              <w:left w:val="single" w:color="B0C4D8" w:sz="4"/>
              <w:bottom w:val="single" w:color="B0C4D8" w:sz="4"/>
              <w:right w:val="single" w:color="B0C4D8" w:sz="4"/>
            </w:tcBorders>
            <w:shd w:fill="FFFF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 deficiency that exists when the design or operation of a control does not allow management or employees to prevent or detect misstatements on a timely basis.</w:t>
            </w:r>
          </w:p>
        </w:tc>
        <w:tc>
          <w:tcPr>
            <w:tcW w:type="dxa" w:w="3400"/>
            <w:tcBorders>
              <w:top w:val="single" w:color="B0C4D8" w:sz="4"/>
              <w:left w:val="single" w:color="B0C4D8" w:sz="4"/>
              <w:bottom w:val="single" w:color="B0C4D8" w:sz="4"/>
              <w:right w:val="single" w:color="B0C4D8" w:sz="4"/>
            </w:tcBorders>
            <w:shd w:fill="FFFF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Internal communication to management. Monitored for aggregation risk. Multiple related Control Deficiencies may aggregate to a Significant Deficiency or Material Weakness.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Aggregation Risk</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Multiple Control Deficiencies affecting the same account, assertion, or financial reporting process may collectively constitute a more severe deficiency than any individual gap.</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KPMG applies aggregation judgment. 3 revenue-related Control Deficiencies in this assessment (CD-005, CD-008, MW-001) create aggregation risk that Internal Audit will monitor.</w:t>
            </w:r>
          </w:p>
        </w:tc>
      </w:tr>
    </w:tbl>
    <w:p>
      <w:r>
        <w:br w:type="page"/>
      </w:r>
    </w:p>
    <w:p>
      <w:pPr>
        <w:pBdr>
          <w:bottom w:val="single" w:color="1C3A52" w:sz="10" w:space="3"/>
        </w:pBdr>
        <w:spacing w:after="80" w:before="320"/>
      </w:pPr>
      <w:r>
        <w:rPr>
          <w:rFonts w:ascii="Calibri" w:cs="Calibri" w:eastAsia="Calibri" w:hAnsi="Calibri"/>
          <w:b/>
          <w:bCs/>
          <w:color w:val="1C3A52"/>
          <w:sz w:val="26"/>
          <w:szCs w:val="26"/>
        </w:rPr>
        <w:t xml:space="preserve">3. MATERIAL WEAKNESS</w:t>
      </w:r>
    </w:p>
    <w:p>
      <w:pPr>
        <w:spacing w:after="60" w:before="220"/>
      </w:pPr>
      <w:r>
        <w:rPr>
          <w:rFonts w:ascii="Calibri" w:cs="Calibri" w:eastAsia="Calibri" w:hAnsi="Calibri"/>
          <w:b/>
          <w:bCs/>
          <w:color w:val="1C3A52"/>
          <w:sz w:val="22"/>
          <w:szCs w:val="22"/>
        </w:rPr>
        <w:t xml:space="preserve">MW-001   |   Undocumented Change to SAP Cash Flow Statement Report Parameter   |   NP-FR-05   |   §164.308 Financial Reporting Systems</w:t>
      </w:r>
    </w:p>
    <w:p>
      <w:pPr>
        <w:pBdr>
          <w:left w:val="single" w:color="C62828" w:sz="16" w:space="8"/>
        </w:pBdr>
        <w:spacing w:after="100" w:before="60"/>
        <w:ind w:left="200"/>
      </w:pPr>
      <w:r>
        <w:rPr>
          <w:rFonts w:ascii="Calibri" w:cs="Calibri" w:eastAsia="Calibri" w:hAnsi="Calibri"/>
          <w:b/>
          <w:bCs/>
          <w:color w:val="C62828"/>
          <w:sz w:val="18"/>
          <w:szCs w:val="18"/>
        </w:rPr>
        <w:t xml:space="preserve">This finding requires immediate Audit Committee notification and KPMG communication. Management has been verbally briefed. Written communication to the Audit Committee must occur by June 3, 2026.</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PCAOB Reference</w:t>
            </w:r>
          </w:p>
        </w:tc>
        <w:tc>
          <w:tcPr>
            <w:tcW w:type="dxa" w:w="6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AS 2201.09: A material weakness in internal control over financial reporting exists when there is a reasonable possibility that a material misstatement of the annual or interim financial statements will not be prevented or detected on a timely basis.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NI 52-109 Reference</w:t>
            </w:r>
          </w:p>
        </w:tc>
        <w:tc>
          <w:tcPr>
            <w:tcW w:type="dxa" w:w="6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Part 6, s.6.1: The certifying officers of an issuer are responsible for establishing and maintaining disclosure controls and procedures and internal control over financial reporting.</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The SAP S/4HANA cash flow statement report parameter file was modified in Q3 2025 without a documented change control record. The modification adds a filter that excludes intercompany financing transactions from the operating activities section of the cash flow statement. This parameter change affected the Q3 2025, Q4 2025, and Q1 2026 financial statement presentations. The Q1 2026 cash flow statement report parameter file version (v3.4) contains this filter, which was identified during a detailed review of report parameter documentation.</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Evidence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SAP report parameter file v3.4 reviewed and compared to v3.3 (the prior version, retrieved from SAP version history). The intercompany financing filter was not present in v3.3. SAP change log shows a parameter modification on August 14, 2025. No ServiceNow change record, UAT sign-off, or IT Security approval was found for this modification. Controller interview confirmed the change was made to address a presentation issue identified in Q2 2025 financial statement preparation but was treated as a configuration adjustment rather than a formal change.</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Why This Is a Material Weakness</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Under PCAOB AS 2201, changes to the parameters of financial reporting systems require the same change management controls as other IT General Controls. An undocumented change to a cash flow statement parameter affects a primary financial statement and represents a breakdown in the control environment over financial reporting. The change may have been technically correct in substance, but the absence of documentation means management cannot demonstrate that the change was authorized, tested, and reviewed. KPMG will characterize this as a Material Weakness.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Financial Statement Impact</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The intercompany financing filter affects the classification of transactions between operating and financing activities in the cash flow statement across 3 quarters. Management should assess whether the filter represents a correct presentation under IFRS and document that assessment. If the filter is correct, the remediation is documentation and process. If the filter creates a misclassification, a restatement may be required.</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Aggregation Risk</w:t>
            </w:r>
          </w:p>
        </w:tc>
        <w:tc>
          <w:tcPr>
            <w:tcW w:type="dxa" w:w="68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This finding relates to revenue and financial reporting system integrity. Combined with CD-005 (revenue regression test plan) and CD-008 (revenue processing timeout), the revenue recognition control environment requires focused Audit Committee attention.</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Required Actions</w:t>
            </w:r>
          </w:p>
        </w:tc>
        <w:tc>
          <w:tcPr>
            <w:tcW w:type="dxa" w:w="68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Immediate (by June 7, 2026): Reconstruct the change control record for the Q3 2025 parameter change using available evidence. Obtain retroactive CFO approval and document the business rationale for the intercompany financing filter. Assess whether the filter represents a correct IFRS presentation.
Short-term (by June 30, 2026): Classify all SAP financial statement report parameter changes as material changes requiring full change management procedure. Train affected teams.
Before KPMG fieldwork: Provide KPMG with the reconstructed change record and CFO approval as remediation evidence.</w:t>
            </w:r>
          </w:p>
        </w:tc>
      </w:tr>
    </w:tbl>
    <w:p>
      <w:r>
        <w:br w:type="page"/>
      </w:r>
    </w:p>
    <w:p>
      <w:pPr>
        <w:pBdr>
          <w:bottom w:val="single" w:color="1C3A52" w:sz="10" w:space="3"/>
        </w:pBdr>
        <w:spacing w:after="80" w:before="320"/>
      </w:pPr>
      <w:r>
        <w:rPr>
          <w:rFonts w:ascii="Calibri" w:cs="Calibri" w:eastAsia="Calibri" w:hAnsi="Calibri"/>
          <w:b/>
          <w:bCs/>
          <w:color w:val="1C3A52"/>
          <w:sz w:val="26"/>
          <w:szCs w:val="26"/>
        </w:rPr>
        <w:t xml:space="preserve">4. SIGNIFICANT DEFICIENCIES</w:t>
      </w:r>
    </w:p>
    <w:p>
      <w:pPr>
        <w:spacing w:after="60" w:before="220"/>
      </w:pPr>
      <w:r>
        <w:rPr>
          <w:rFonts w:ascii="Calibri" w:cs="Calibri" w:eastAsia="Calibri" w:hAnsi="Calibri"/>
          <w:b/>
          <w:bCs/>
          <w:color w:val="1C3A52"/>
          <w:sz w:val="22"/>
          <w:szCs w:val="22"/>
        </w:rPr>
        <w:t xml:space="preserve">SD-001   |   Terminated Employee Retained SAP BW Access for 8 Days   |   NP-LA-02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Classification</w:t>
            </w:r>
          </w:p>
        </w:tc>
        <w:tc>
          <w:tcPr>
            <w:tcW w:type="dxa" w:w="68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Significant Deficiency   |   Approaching Material Weakness if combined with provisioning gaps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 Chaudhary, a former NorthernPower employee terminated March 19, 2026, retained access to SAP BW (Business Warehouse, the consolidated financial reporting instance) until March 27, 2026. SAP BW is not integrated into the Workday automated offboarding workflow. The SAP Basis team manages BW access manually and was not notified of the termination until the SAP Security team identified the active account during a routine scan 8 days later.</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Financial Reporting Risk</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SAP BW contains consolidated financial reporting data used in the period-end close process. A former employee with active BW access during a period-end preparation window had the technical ability to access unreleased financial data. A review of P. Chaudhary's SAP BW access log for the 8-day period is required to confirm no data was accessed.</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Root Cause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SAP BW was deployed as a separate reporting system and was never integrated into the Workday offboarding automation. The omission was flagged in the 2024 IT risk assessment as a future integration item but was not prioritized in the 2025 roadmap.</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Aggregation Risk</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Combined with CD-001 (provisioning gaps for 2 Finance Analyst accounts), the access lifecycle management domain shows a pattern of control gaps that could aggregate to a Material Weakness under KPMG's judgment.</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Required Actions</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(1) Review P. Chaudhary SAP BW access log for March 19 to March 27 to confirm no unauthorized access. (2) Integrate SAP BW into the Workday offboarding automation by June 30, 2026. (3) Add SAP BW to the manual offboarding checklist as an interim measure immediately.</w:t>
            </w:r>
          </w:p>
        </w:tc>
      </w:tr>
    </w:tbl>
    <w:p>
      <w:pPr>
        <w:spacing w:after="0" w:before="80"/>
      </w:pPr>
      <w:r>
        <w:t xml:space="preserve"/>
      </w:r>
    </w:p>
    <w:p>
      <w:pPr>
        <w:spacing w:after="60" w:before="220"/>
      </w:pPr>
      <w:r>
        <w:rPr>
          <w:rFonts w:ascii="Calibri" w:cs="Calibri" w:eastAsia="Calibri" w:hAnsi="Calibri"/>
          <w:b/>
          <w:bCs/>
          <w:color w:val="1C3A52"/>
          <w:sz w:val="22"/>
          <w:szCs w:val="22"/>
        </w:rPr>
        <w:t xml:space="preserve">SD-002   |   5 Undocumented SOD Conflicts Including High-Risk AP Combinations   |   NP-LA-04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Classification</w:t>
            </w:r>
          </w:p>
        </w:tc>
        <w:tc>
          <w:tcPr>
            <w:tcW w:type="dxa" w:w="68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Significant Deficiency   |   Aggregation risk with access monitoring gaps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SAP GRC Access Risk Analysis identified 23 active SOD conflicts across 19 users. 18 have documented compensating controls approved by the CFO or Controller. 5 conflicts have no compensating control documentation. Two of the 5 involve the combination of Create Vendor and Approve Payment in the Accounts Payable module, held by 2 different users.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Financial Reporting Risk</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The Create Vendor and Approve Payment combination in a single user account creates a direct financial fraud risk. NorthernPower's energy infrastructure operations generate significant AP payments to construction, maintenance, and fuel supply vendors. A single user able to add a fictitious vendor and approve payments to that vendor could execute a fraud that bypasses all downstream controls.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Root Cause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The 5 undocumented SOD conflicts were identified in the March 2026 quarterly review and assigned to business process owners for compensating control design. No action was taken in the 2-month window. The SOD monitoring process has no escalation mechanism for conflicts that remain open beyond 30 days.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Aggregation Risk</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Combined with CD-002 (Firefighter log review gaps), the privileged access monitoring domain shows inadequate detective controls alongside the SOD design gaps. KPMG may view these together as a more serious finding.</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Required Actions</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(1) Remove one conflicting role from the 2 AP users by June 14, 2026. (2) Document CFO-approved compensating controls for the remaining 2 users by June 30, 2026. (3) Implement an automated quarterly SOD escalation to the CFO for any conflict open beyond 30 days.</w:t>
            </w:r>
          </w:p>
        </w:tc>
      </w:tr>
    </w:tbl>
    <w:p>
      <w:r>
        <w:br w:type="page"/>
      </w:r>
    </w:p>
    <w:p>
      <w:pPr>
        <w:pBdr>
          <w:bottom w:val="single" w:color="1C3A52" w:sz="10" w:space="3"/>
        </w:pBdr>
        <w:spacing w:after="80" w:before="320"/>
      </w:pPr>
      <w:r>
        <w:rPr>
          <w:rFonts w:ascii="Calibri" w:cs="Calibri" w:eastAsia="Calibri" w:hAnsi="Calibri"/>
          <w:b/>
          <w:bCs/>
          <w:color w:val="1C3A52"/>
          <w:sz w:val="26"/>
          <w:szCs w:val="26"/>
        </w:rPr>
        <w:t xml:space="preserve">5. CONTROL DEFICIENCIES BY DOMAIN</w:t>
      </w:r>
    </w:p>
    <w:p>
      <w:pPr>
        <w:spacing w:after="60" w:before="220"/>
      </w:pPr>
      <w:r>
        <w:rPr>
          <w:rFonts w:ascii="Calibri" w:cs="Calibri" w:eastAsia="Calibri" w:hAnsi="Calibri"/>
          <w:b/>
          <w:bCs/>
          <w:color w:val="1C3A52"/>
          <w:sz w:val="22"/>
          <w:szCs w:val="22"/>
        </w:rPr>
        <w:t xml:space="preserve">5.1   Logical Access Controls   |   3 Control Deficiencies</w:t>
      </w:r>
    </w:p>
    <w:p>
      <w:pPr>
        <w:spacing w:after="120" w:before="60"/>
      </w:pPr>
      <w:r>
        <w:rPr>
          <w:rFonts w:ascii="Calibri" w:cs="Calibri" w:eastAsia="Calibri" w:hAnsi="Calibri"/>
          <w:color w:val="222222"/>
          <w:sz w:val="20"/>
          <w:szCs w:val="20"/>
        </w:rPr>
        <w:t xml:space="preserve">Beyond SD-001 (SAP BW offboarding) and SD-002 (SOD conflicts), logical access controls have three additional gaps:</w:t>
      </w:r>
    </w:p>
    <w:p>
      <w:pPr>
        <w:pStyle w:val="ListParagraph"/>
        <w:numPr>
          <w:ilvl w:val="0"/>
          <w:numId w:val="2"/>
        </w:numPr>
        <w:spacing w:after="40" w:before="40"/>
      </w:pPr>
      <w:r>
        <w:rPr>
          <w:rFonts w:ascii="Calibri" w:cs="Calibri" w:eastAsia="Calibri" w:hAnsi="Calibri"/>
          <w:color w:val="222222"/>
          <w:sz w:val="19"/>
          <w:szCs w:val="19"/>
        </w:rPr>
        <w:t xml:space="preserve">CD-001: Two Finance Analyst accounts activated in SAP without documented IT Security sign-off. Both accounts hold standard roles and the approval was given verbally. The missing documentation creates an ITGC evidence gap. Remediation: ServiceNow workflow gate preventing activation before all three approvals are recorded.</w:t>
      </w:r>
    </w:p>
    <w:p>
      <w:pPr>
        <w:pStyle w:val="ListParagraph"/>
        <w:numPr>
          <w:ilvl w:val="0"/>
          <w:numId w:val="2"/>
        </w:numPr>
        <w:spacing w:after="40" w:before="40"/>
      </w:pPr>
      <w:r>
        <w:rPr>
          <w:rFonts w:ascii="Calibri" w:cs="Calibri" w:eastAsia="Calibri" w:hAnsi="Calibri"/>
          <w:color w:val="222222"/>
          <w:sz w:val="19"/>
          <w:szCs w:val="19"/>
        </w:rPr>
        <w:t xml:space="preserve">CD-002: Four of 20 weekly Firefighter ID log reviews were not completed (Feb 3, Feb 17, March 3, March 24). No backup reviewer was designated for the SAP Security Manager. The 4 unreviewed sessions have not been analyzed for unauthorized activity. Remediation: Backup reviewer designation and makeup reviews by June 15.</w:t>
      </w:r>
    </w:p>
    <w:p>
      <w:pPr>
        <w:pStyle w:val="ListParagraph"/>
        <w:numPr>
          <w:ilvl w:val="0"/>
          <w:numId w:val="2"/>
        </w:numPr>
        <w:spacing w:after="40" w:before="40"/>
      </w:pPr>
      <w:r>
        <w:rPr>
          <w:rFonts w:ascii="Calibri" w:cs="Calibri" w:eastAsia="Calibri" w:hAnsi="Calibri"/>
          <w:color w:val="222222"/>
          <w:sz w:val="19"/>
          <w:szCs w:val="19"/>
        </w:rPr>
        <w:t xml:space="preserve">CD-014: J. Whitfield (transferred from Operations to Legal, January 15, 2026) retains SAP financial reporting read access 4 months after the role change. Role changes within the organization do not automatically trigger an access review. Remediation: Remove access within 5 business days. Implement a Workday role-change trigger for access reviews.</w:t>
      </w:r>
    </w:p>
    <w:p>
      <w:pPr>
        <w:spacing w:after="0" w:before="60"/>
      </w:pPr>
      <w:r>
        <w:t xml:space="preserve"/>
      </w:r>
    </w:p>
    <w:p>
      <w:pPr>
        <w:spacing w:after="60" w:before="220"/>
      </w:pPr>
      <w:r>
        <w:rPr>
          <w:rFonts w:ascii="Calibri" w:cs="Calibri" w:eastAsia="Calibri" w:hAnsi="Calibri"/>
          <w:b/>
          <w:bCs/>
          <w:color w:val="1C3A52"/>
          <w:sz w:val="22"/>
          <w:szCs w:val="22"/>
        </w:rPr>
        <w:t xml:space="preserve">5.2   Change Management   |   4 Control Deficiencies</w:t>
      </w:r>
    </w:p>
    <w:p>
      <w:pPr>
        <w:spacing w:after="120" w:before="60"/>
      </w:pPr>
      <w:r>
        <w:rPr>
          <w:rFonts w:ascii="Calibri" w:cs="Calibri" w:eastAsia="Calibri" w:hAnsi="Calibri"/>
          <w:color w:val="222222"/>
          <w:sz w:val="20"/>
          <w:szCs w:val="20"/>
        </w:rPr>
        <w:t xml:space="preserve">Change management controls are largely well-designed. The 4 Control Deficiencies are documentation gaps rather than design failures:</w:t>
      </w:r>
    </w:p>
    <w:p>
      <w:pPr>
        <w:pStyle w:val="ListParagraph"/>
        <w:numPr>
          <w:ilvl w:val="0"/>
          <w:numId w:val="2"/>
        </w:numPr>
        <w:spacing w:after="40" w:before="40"/>
      </w:pPr>
      <w:r>
        <w:rPr>
          <w:rFonts w:ascii="Calibri" w:cs="Calibri" w:eastAsia="Calibri" w:hAnsi="Calibri"/>
          <w:color w:val="222222"/>
          <w:sz w:val="19"/>
          <w:szCs w:val="19"/>
        </w:rPr>
        <w:t xml:space="preserve">CD-003: Two emergency SAP transports had UAT sign-off from an IT project manager rather than a business owner. Verbal business approval was obtained but not documented correctly. Emergency change procedure does not enforce electronic in-system sign-off.</w:t>
      </w:r>
    </w:p>
    <w:p>
      <w:pPr>
        <w:pStyle w:val="ListParagraph"/>
        <w:numPr>
          <w:ilvl w:val="0"/>
          <w:numId w:val="2"/>
        </w:numPr>
        <w:spacing w:after="40" w:before="40"/>
      </w:pPr>
      <w:r>
        <w:rPr>
          <w:rFonts w:ascii="Calibri" w:cs="Calibri" w:eastAsia="Calibri" w:hAnsi="Calibri"/>
          <w:color w:val="222222"/>
          <w:sz w:val="19"/>
          <w:szCs w:val="19"/>
        </w:rPr>
        <w:t xml:space="preserve">CD-004: One emergency change (EC-2026-0018) had CFO authorization documented via email rather than ServiceNow. Post-implementation review was completed 96 hours after implementation against a 48-hour SLA. Both gaps relate to the same February 14 emergency change.</w:t>
      </w:r>
    </w:p>
    <w:p>
      <w:pPr>
        <w:pStyle w:val="ListParagraph"/>
        <w:numPr>
          <w:ilvl w:val="0"/>
          <w:numId w:val="2"/>
        </w:numPr>
        <w:spacing w:after="40" w:before="40"/>
      </w:pPr>
      <w:r>
        <w:rPr>
          <w:rFonts w:ascii="Calibri" w:cs="Calibri" w:eastAsia="Calibri" w:hAnsi="Calibri"/>
          <w:color w:val="222222"/>
          <w:sz w:val="19"/>
          <w:szCs w:val="19"/>
        </w:rPr>
        <w:t xml:space="preserve">CD-005: Revenue recognition regression test plan last updated in 2023 and does not cover IFRS 15 configuration changes made in 2024. Three revenue-related transports were tested against an incomplete plan. This finding has aggregation risk with MW-001 and CD-008 given all three relate to revenue integrity.</w:t>
      </w:r>
    </w:p>
    <w:p>
      <w:pPr>
        <w:pStyle w:val="ListParagraph"/>
        <w:numPr>
          <w:ilvl w:val="0"/>
          <w:numId w:val="2"/>
        </w:numPr>
        <w:spacing w:after="40" w:before="40"/>
      </w:pPr>
      <w:r>
        <w:rPr>
          <w:rFonts w:ascii="Calibri" w:cs="Calibri" w:eastAsia="Calibri" w:hAnsi="Calibri"/>
          <w:color w:val="222222"/>
          <w:sz w:val="19"/>
          <w:szCs w:val="19"/>
        </w:rPr>
        <w:t xml:space="preserve">CD-013: IT Security sign-off for a February Salesforce-to-SAP integration change was an email approval without an attached security assessment form. A single documentation gap for a change affecting the revenue data flow.</w:t>
      </w:r>
    </w:p>
    <w:p>
      <w:pPr>
        <w:spacing w:after="0" w:before="60"/>
      </w:pPr>
      <w:r>
        <w:t xml:space="preserve"/>
      </w:r>
    </w:p>
    <w:p>
      <w:pPr>
        <w:spacing w:after="60" w:before="220"/>
      </w:pPr>
      <w:r>
        <w:rPr>
          <w:rFonts w:ascii="Calibri" w:cs="Calibri" w:eastAsia="Calibri" w:hAnsi="Calibri"/>
          <w:b/>
          <w:bCs/>
          <w:color w:val="1C3A52"/>
          <w:sz w:val="22"/>
          <w:szCs w:val="22"/>
        </w:rPr>
        <w:t xml:space="preserve">5.3   Computer Operations   |   3 Control Deficiencies</w:t>
      </w:r>
    </w:p>
    <w:p>
      <w:pPr>
        <w:spacing w:after="120" w:before="60"/>
      </w:pPr>
      <w:r>
        <w:rPr>
          <w:rFonts w:ascii="Calibri" w:cs="Calibri" w:eastAsia="Calibri" w:hAnsi="Calibri"/>
          <w:color w:val="222222"/>
          <w:sz w:val="20"/>
          <w:szCs w:val="20"/>
        </w:rPr>
        <w:t xml:space="preserve">Computer operations controls are strong. The three Control Deficiencies are operational process gaps with low financial reporting impact:</w:t>
      </w:r>
    </w:p>
    <w:p>
      <w:pPr>
        <w:pStyle w:val="ListParagraph"/>
        <w:numPr>
          <w:ilvl w:val="0"/>
          <w:numId w:val="2"/>
        </w:numPr>
        <w:spacing w:after="40" w:before="40"/>
      </w:pPr>
      <w:r>
        <w:rPr>
          <w:rFonts w:ascii="Calibri" w:cs="Calibri" w:eastAsia="Calibri" w:hAnsi="Calibri"/>
          <w:color w:val="222222"/>
          <w:sz w:val="19"/>
          <w:szCs w:val="19"/>
        </w:rPr>
        <w:t xml:space="preserve">CD-006: One P2 batch job (salary accrual, April 19) exceeded the 4-hour SLA by 1.5 hours due to an on-call coverage gap. The delay did not affect period-end close. Remediation: Automated on-call escalation paging.</w:t>
      </w:r>
    </w:p>
    <w:p>
      <w:pPr>
        <w:pStyle w:val="ListParagraph"/>
        <w:numPr>
          <w:ilvl w:val="0"/>
          <w:numId w:val="2"/>
        </w:numPr>
        <w:spacing w:after="40" w:before="40"/>
      </w:pPr>
      <w:r>
        <w:rPr>
          <w:rFonts w:ascii="Calibri" w:cs="Calibri" w:eastAsia="Calibri" w:hAnsi="Calibri"/>
          <w:color w:val="222222"/>
          <w:sz w:val="19"/>
          <w:szCs w:val="19"/>
        </w:rPr>
        <w:t xml:space="preserve">CD-007: Q1 2026 restore test identified an SAP application compatibility issue from a kernel patch not reflected in the restore procedure. The issue was corrected during the test. Remediation: Update restore procedure to include kernel version check.</w:t>
      </w:r>
    </w:p>
    <w:p>
      <w:pPr>
        <w:pStyle w:val="ListParagraph"/>
        <w:numPr>
          <w:ilvl w:val="0"/>
          <w:numId w:val="2"/>
        </w:numPr>
        <w:spacing w:after="40" w:before="40"/>
      </w:pPr>
      <w:r>
        <w:rPr>
          <w:rFonts w:ascii="Calibri" w:cs="Calibri" w:eastAsia="Calibri" w:hAnsi="Calibri"/>
          <w:color w:val="222222"/>
          <w:sz w:val="19"/>
          <w:szCs w:val="19"/>
        </w:rPr>
        <w:t xml:space="preserve">CD-008: SAP Revenue Accounting module timeout problem open 4 months without a committed resolution from SAP SE. Workaround is documented. Remediation: Escalation to SAP SE account management for a committed resolution date.</w:t>
      </w:r>
    </w:p>
    <w:p>
      <w:pPr>
        <w:spacing w:after="0" w:before="60"/>
      </w:pPr>
      <w:r>
        <w:t xml:space="preserve"/>
      </w:r>
    </w:p>
    <w:p>
      <w:pPr>
        <w:spacing w:after="60" w:before="220"/>
      </w:pPr>
      <w:r>
        <w:rPr>
          <w:rFonts w:ascii="Calibri" w:cs="Calibri" w:eastAsia="Calibri" w:hAnsi="Calibri"/>
          <w:b/>
          <w:bCs/>
          <w:color w:val="1C3A52"/>
          <w:sz w:val="22"/>
          <w:szCs w:val="22"/>
        </w:rPr>
        <w:t xml:space="preserve">5.4   Financial Reporting Systems   |   2 Control Deficiencies (plus MW-001)</w:t>
      </w:r>
    </w:p>
    <w:p>
      <w:pPr>
        <w:spacing w:after="120" w:before="60"/>
      </w:pPr>
      <w:r>
        <w:rPr>
          <w:rFonts w:ascii="Calibri" w:cs="Calibri" w:eastAsia="Calibri" w:hAnsi="Calibri"/>
          <w:color w:val="222222"/>
          <w:sz w:val="20"/>
          <w:szCs w:val="20"/>
        </w:rPr>
        <w:t xml:space="preserve">Financial reporting system controls are strong across interface completeness, GL reconciliation, and financial report distribution. Two Control Deficiencies exist beyond the Material Weakness:</w:t>
      </w:r>
    </w:p>
    <w:p>
      <w:pPr>
        <w:pStyle w:val="ListParagraph"/>
        <w:numPr>
          <w:ilvl w:val="0"/>
          <w:numId w:val="2"/>
        </w:numPr>
        <w:spacing w:after="40" w:before="40"/>
      </w:pPr>
      <w:r>
        <w:rPr>
          <w:rFonts w:ascii="Calibri" w:cs="Calibri" w:eastAsia="Calibri" w:hAnsi="Calibri"/>
          <w:color w:val="222222"/>
          <w:sz w:val="19"/>
          <w:szCs w:val="19"/>
        </w:rPr>
        <w:t xml:space="preserve">CD-009: May 2026 Workday-to-SAP payroll reconciliation complete with zero variance but system sign-off not recorded by assessment date. A 1-day documentation timing gap. Remediation: Immediate sign-off and tighter sign-off SLA.</w:t>
      </w:r>
    </w:p>
    <w:p>
      <w:pPr>
        <w:pStyle w:val="ListParagraph"/>
        <w:numPr>
          <w:ilvl w:val="0"/>
          <w:numId w:val="2"/>
        </w:numPr>
        <w:spacing w:after="40" w:before="40"/>
      </w:pPr>
      <w:r>
        <w:rPr>
          <w:rFonts w:ascii="Calibri" w:cs="Calibri" w:eastAsia="Calibri" w:hAnsi="Calibri"/>
          <w:color w:val="222222"/>
          <w:sz w:val="19"/>
          <w:szCs w:val="19"/>
        </w:rPr>
        <w:t xml:space="preserve">CD-010: Intercompany Elimination task completed before Intercompany Reconciliation in both March and April period-end closes, contrary to the prescribed checklist sequence. A recurring pattern across 2 consecutive months. Remediation: SharePoint dependency preventing task 22 before task 19 is signed off.</w:t>
      </w:r>
    </w:p>
    <w:p>
      <w:r>
        <w:br w:type="page"/>
      </w:r>
    </w:p>
    <w:p>
      <w:pPr>
        <w:pBdr>
          <w:bottom w:val="single" w:color="1C3A52" w:sz="10" w:space="3"/>
        </w:pBdr>
        <w:spacing w:after="80" w:before="320"/>
      </w:pPr>
      <w:r>
        <w:rPr>
          <w:rFonts w:ascii="Calibri" w:cs="Calibri" w:eastAsia="Calibri" w:hAnsi="Calibri"/>
          <w:b/>
          <w:bCs/>
          <w:color w:val="1C3A52"/>
          <w:sz w:val="26"/>
          <w:szCs w:val="26"/>
        </w:rPr>
        <w:t xml:space="preserve">6. AGGREGATION RISK ANALYSIS</w:t>
      </w:r>
    </w:p>
    <w:p>
      <w:pPr>
        <w:spacing w:after="120" w:before="60"/>
      </w:pPr>
      <w:r>
        <w:rPr>
          <w:rFonts w:ascii="Calibri" w:cs="Calibri" w:eastAsia="Calibri" w:hAnsi="Calibri"/>
          <w:color w:val="222222"/>
          <w:sz w:val="20"/>
          <w:szCs w:val="20"/>
        </w:rPr>
        <w:t xml:space="preserve">PCAOB AS 2201 requires auditors to evaluate whether individual Control Deficiencies, considered in combination, constitute a Significant Deficiency or Material Weakness. Internal Audit has identified three aggregation risk areas that KPMG will evaluate:</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800"/>
      </w:tblGrid>
      <w:tr>
        <w:tc>
          <w:tcPr>
            <w:tcW w:type="dxa" w:w="18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Risk Area</w:t>
            </w:r>
          </w:p>
        </w:tc>
        <w:tc>
          <w:tcPr>
            <w:tcW w:type="dxa" w:w="32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Deficiencies</w:t>
            </w:r>
          </w:p>
        </w:tc>
        <w:tc>
          <w:tcPr>
            <w:tcW w:type="dxa" w:w="24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Aggregation Concern</w:t>
            </w:r>
          </w:p>
        </w:tc>
        <w:tc>
          <w:tcPr>
            <w:tcW w:type="dxa" w:w="18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Current Assessment</w:t>
            </w:r>
          </w:p>
        </w:tc>
      </w:tr>
      <w:tr>
        <w:tc>
          <w:tcPr>
            <w:tcW w:type="dxa" w:w="1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Access Lifecycle Management</w:t>
            </w:r>
          </w:p>
        </w:tc>
        <w:tc>
          <w:tcPr>
            <w:tcW w:type="dxa" w:w="32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SD-001 (terminated user), CD-001 (provisioning gaps), CD-014 (role change gap)</w:t>
            </w:r>
          </w:p>
        </w:tc>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Pattern of access control gaps across provisioning, termination, and role change processes</w:t>
            </w:r>
          </w:p>
        </w:tc>
        <w:tc>
          <w:tcPr>
            <w:tcW w:type="dxa" w:w="1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Monitor   |   Does not currently aggregate to MW but KPMG will note the pattern</w:t>
            </w:r>
          </w:p>
        </w:tc>
      </w:tr>
      <w:tr>
        <w:tc>
          <w:tcPr>
            <w:tcW w:type="dxa" w:w="1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Revenue Recognition Integrity</w:t>
            </w:r>
          </w:p>
        </w:tc>
        <w:tc>
          <w:tcPr>
            <w:tcW w:type="dxa" w:w="3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MW-001 (cash flow parameter), CD-005 (regression test plan), CD-008 (timeout problem)</w:t>
            </w:r>
          </w:p>
        </w:tc>
        <w:tc>
          <w:tcPr>
            <w:tcW w:type="dxa" w:w="2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Three separate gaps all affecting revenue recognition controls</w:t>
            </w:r>
          </w:p>
        </w:tc>
        <w:tc>
          <w:tcPr>
            <w:tcW w:type="dxa" w:w="18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High   |   MW-001 is already a MW. CD-005 and CD-008 increase KPMG focus on revenue controls</w:t>
            </w:r>
          </w:p>
        </w:tc>
      </w:tr>
      <w:tr>
        <w:tc>
          <w:tcPr>
            <w:tcW w:type="dxa" w:w="1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Change Management Documentation</w:t>
            </w:r>
          </w:p>
        </w:tc>
        <w:tc>
          <w:tcPr>
            <w:tcW w:type="dxa" w:w="32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CD-003, CD-004 (emergency change documentation gaps), CD-013 (security assessment gap)</w:t>
            </w:r>
          </w:p>
        </w:tc>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Recurring documentation gaps in the change management process across 3 separate changes</w:t>
            </w:r>
          </w:p>
        </w:tc>
        <w:tc>
          <w:tcPr>
            <w:tcW w:type="dxa" w:w="1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Monitor   |   Pattern may indicate a systemic documentation culture gap rather than isolated incidents</w:t>
            </w:r>
          </w:p>
        </w:tc>
      </w:tr>
      <w:tr>
        <w:tc>
          <w:tcPr>
            <w:tcW w:type="dxa" w:w="1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Privileged Access Controls</w:t>
            </w:r>
          </w:p>
        </w:tc>
        <w:tc>
          <w:tcPr>
            <w:tcW w:type="dxa" w:w="3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SD-002 (SOD conflicts), CD-002 (Firefighter log gaps)</w:t>
            </w:r>
          </w:p>
        </w:tc>
        <w:tc>
          <w:tcPr>
            <w:tcW w:type="dxa" w:w="2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SOD design gaps combined with inadequate detective control (log review) for privileged access</w:t>
            </w:r>
          </w:p>
        </w:tc>
        <w:tc>
          <w:tcPr>
            <w:tcW w:type="dxa" w:w="18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High   |   Combined, these represent a weak privileged access control environment. KPMG may aggregate to a more serious finding</w:t>
            </w:r>
          </w:p>
        </w:tc>
      </w:tr>
    </w:tbl>
    <w:p>
      <w:r>
        <w:br w:type="page"/>
      </w:r>
    </w:p>
    <w:p>
      <w:pPr>
        <w:pBdr>
          <w:bottom w:val="single" w:color="1C3A52" w:sz="10" w:space="3"/>
        </w:pBdr>
        <w:spacing w:after="80" w:before="320"/>
      </w:pPr>
      <w:r>
        <w:rPr>
          <w:rFonts w:ascii="Calibri" w:cs="Calibri" w:eastAsia="Calibri" w:hAnsi="Calibri"/>
          <w:b/>
          <w:bCs/>
          <w:color w:val="1C3A52"/>
          <w:sz w:val="26"/>
          <w:szCs w:val="26"/>
        </w:rPr>
        <w:t xml:space="preserve">7. SOX   |   NI 52-109 CROSSWALK</w:t>
      </w:r>
    </w:p>
    <w:p>
      <w:pPr>
        <w:spacing w:after="120" w:before="60"/>
      </w:pPr>
      <w:r>
        <w:rPr>
          <w:rFonts w:ascii="Calibri" w:cs="Calibri" w:eastAsia="Calibri" w:hAnsi="Calibri"/>
          <w:color w:val="222222"/>
          <w:sz w:val="20"/>
          <w:szCs w:val="20"/>
        </w:rPr>
        <w:t xml:space="preserve">As a dual-listed company, NorthernPower must satisfy both US SOX requirements and Canadian NI 52-109. The frameworks are substantially aligned, with NI 52-109 modeled on SOX. The key operational differences relevant to this assessment are:</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Requirement</w:t>
            </w:r>
          </w:p>
        </w:tc>
        <w:tc>
          <w:tcPr>
            <w:tcW w:type="dxa" w:w="34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US SOX   |   PCAOB</w:t>
            </w:r>
          </w:p>
        </w:tc>
        <w:tc>
          <w:tcPr>
            <w:tcW w:type="dxa" w:w="34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Canadian NI 52-109   |   OSC</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CEO/CFO Certifications</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Section 302: quarterly and annual certifications on disclosure controls and ICFR</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Form 52-109F1 and F2: annual certifications; Form 52-109F1R and F2R: refiled with annual filing</w:t>
            </w:r>
          </w:p>
        </w:tc>
      </w:tr>
      <w:tr>
        <w:tc>
          <w:tcPr>
            <w:tcW w:type="dxa" w:w="2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External Auditor Attestation</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Section 404(b): external auditor required to attest to management's ICFR assessment for large accelerated filers</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NI 52-109 does not require external auditor attestation (ICFR evaluation by management only for most issuers)   |   NorthernPower does this voluntarily under NYSE requirements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Deficiency Reporting</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Material Weaknesses must be disclosed in the annual report; Significant Deficiencies communicated to Audit Committee</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All material weaknesses must be disclosed; NI 52-109 uses similar language to SOX</w:t>
            </w:r>
          </w:p>
        </w:tc>
      </w:tr>
      <w:tr>
        <w:tc>
          <w:tcPr>
            <w:tcW w:type="dxa" w:w="2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Assessment Basis</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PCAOB AS 2201; COSO 2013 Internal Control Framework</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COSO 2013 or equivalent recognized framework</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Change Controls</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ITGC requirements driven by PCAOB AS 2201 and SEC guidance</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No separate IT control framework; COSO-based assessment drives ITGC scope</w:t>
            </w:r>
          </w:p>
        </w:tc>
      </w:tr>
      <w:tr>
        <w:tc>
          <w:tcPr>
            <w:tcW w:type="dxa" w:w="2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Quarterly Reporting</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SOX 302 certifications required quarterly</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NI 52-109 certifications annual only (not quarterly)</w:t>
            </w:r>
          </w:p>
        </w:tc>
      </w:tr>
    </w:tbl>
    <w:p>
      <w:r>
        <w:br w:type="page"/>
      </w:r>
    </w:p>
    <w:p>
      <w:pPr>
        <w:pBdr>
          <w:bottom w:val="single" w:color="1C3A52" w:sz="10" w:space="3"/>
        </w:pBdr>
        <w:spacing w:after="80" w:before="320"/>
      </w:pPr>
      <w:r>
        <w:rPr>
          <w:rFonts w:ascii="Calibri" w:cs="Calibri" w:eastAsia="Calibri" w:hAnsi="Calibri"/>
          <w:b/>
          <w:bCs/>
          <w:color w:val="1C3A52"/>
          <w:sz w:val="26"/>
          <w:szCs w:val="26"/>
        </w:rPr>
        <w:t xml:space="preserve">8. REMEDIATION TIMELINE   |   PATH TO KPMG READINESS</w:t>
      </w:r>
    </w:p>
    <w:p>
      <w:pPr>
        <w:spacing w:after="120" w:before="60"/>
      </w:pPr>
      <w:r>
        <w:rPr>
          <w:rFonts w:ascii="Calibri" w:cs="Calibri" w:eastAsia="Calibri" w:hAnsi="Calibri"/>
          <w:color w:val="222222"/>
          <w:sz w:val="20"/>
          <w:szCs w:val="20"/>
        </w:rPr>
        <w:t xml:space="preserve">KPMG ITGC fieldwork is scheduled for September 2026. All Material Weakness and Significant Deficiency remediation actions must be complete with documented evidence before fieldwork begins. Control Deficiency remediation should be substantially complete by early August 2026 to allow management testing before KPMG arrival.</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1600"/>
        <w:gridCol w:w="1400"/>
      </w:tblGrid>
      <w:tr>
        <w:tc>
          <w:tcPr>
            <w:tcW w:type="dxa" w:w="16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Phase</w:t>
            </w:r>
          </w:p>
        </w:tc>
        <w:tc>
          <w:tcPr>
            <w:tcW w:type="dxa" w:w="20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By</w:t>
            </w:r>
          </w:p>
        </w:tc>
        <w:tc>
          <w:tcPr>
            <w:tcW w:type="dxa" w:w="26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Key Actions</w:t>
            </w:r>
          </w:p>
        </w:tc>
        <w:tc>
          <w:tcPr>
            <w:tcW w:type="dxa" w:w="16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Deficiencies</w:t>
            </w:r>
          </w:p>
        </w:tc>
        <w:tc>
          <w:tcPr>
            <w:tcW w:type="dxa" w:w="1400"/>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KPMG Impact</w:t>
            </w:r>
          </w:p>
        </w:tc>
      </w:tr>
      <w:tr>
        <w:tc>
          <w:tcPr>
            <w:tcW w:type="dxa" w:w="16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Phase 1: Immediate</w:t>
            </w:r>
          </w:p>
        </w:tc>
        <w:tc>
          <w:tcPr>
            <w:tcW w:type="dxa" w:w="20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June 7, 2026</w:t>
            </w:r>
          </w:p>
        </w:tc>
        <w:tc>
          <w:tcPr>
            <w:tcW w:type="dxa" w:w="26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Reconstruct MW-001 change control record. Obtain CFO retroactive approval. Notify Audit Committee (June 3) and KPMG (June 7). Review P. Chaudhary SAP BW access log (MA-004). Retroactive documentation for emergency changes (MA-009).</w:t>
            </w:r>
          </w:p>
        </w:tc>
        <w:tc>
          <w:tcPr>
            <w:tcW w:type="dxa" w:w="16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MW-001, SD-001, CD-003, CD-004</w:t>
            </w:r>
          </w:p>
        </w:tc>
        <w:tc>
          <w:tcPr>
            <w:tcW w:type="dxa" w:w="14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Critical   |   MW remediation evidence must be delivered to KPMG promptly</w:t>
            </w:r>
          </w:p>
        </w:tc>
      </w:tr>
      <w:tr>
        <w:tc>
          <w:tcPr>
            <w:tcW w:type="dxa" w:w="16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Phase 2: Access Remediation</w:t>
            </w:r>
          </w:p>
        </w:tc>
        <w:tc>
          <w:tcPr>
            <w:tcW w:type="dxa" w:w="20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June 15, 2026</w:t>
            </w:r>
          </w:p>
        </w:tc>
        <w:tc>
          <w:tcPr>
            <w:tcW w:type="dxa" w:w="26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Remove conflicting AP roles for SD-002. Remove J. Whitfield SAP access. ServiceNow provisioning gate. Firefighter backup reviewer designation and makeup reviews.</w:t>
            </w:r>
          </w:p>
        </w:tc>
        <w:tc>
          <w:tcPr>
            <w:tcW w:type="dxa" w:w="16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SD-002, CD-001, CD-002, CD-014</w:t>
            </w:r>
          </w:p>
        </w:tc>
        <w:tc>
          <w:tcPr>
            <w:tcW w:type="dxa" w:w="1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Required before KPMG fieldwork</w:t>
            </w:r>
          </w:p>
        </w:tc>
      </w:tr>
      <w:tr>
        <w:tc>
          <w:tcPr>
            <w:tcW w:type="dxa" w:w="16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Phase 3: Systems and Process</w:t>
            </w:r>
          </w:p>
        </w:tc>
        <w:tc>
          <w:tcPr>
            <w:tcW w:type="dxa" w:w="20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June 30, 2026</w:t>
            </w:r>
          </w:p>
        </w:tc>
        <w:tc>
          <w:tcPr>
            <w:tcW w:type="dxa" w:w="26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SAP BW offboarding automation (MA-003). CFO compensating controls for remaining SOD users (MA-006). Financial report parameter change classification (MA-002). Restore procedure update. SOC coverage escalation.</w:t>
            </w:r>
          </w:p>
        </w:tc>
        <w:tc>
          <w:tcPr>
            <w:tcW w:type="dxa" w:w="16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SD-001, SD-002, CD-006, CD-007, CD-008, CD-009</w:t>
            </w:r>
          </w:p>
        </w:tc>
        <w:tc>
          <w:tcPr>
            <w:tcW w:type="dxa" w:w="1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Required before KPMG fieldwork</w:t>
            </w:r>
          </w:p>
        </w:tc>
      </w:tr>
      <w:tr>
        <w:tc>
          <w:tcPr>
            <w:tcW w:type="dxa" w:w="16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Phase 4: Process Improvements</w:t>
            </w:r>
          </w:p>
        </w:tc>
        <w:tc>
          <w:tcPr>
            <w:tcW w:type="dxa" w:w="20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July 31, 2026</w:t>
            </w:r>
          </w:p>
        </w:tc>
        <w:tc>
          <w:tcPr>
            <w:tcW w:type="dxa" w:w="26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Revenue regression test plan update. MuleSoft risk assessment addendum. Workday role-change access trigger. SharePoint period-end dependency.</w:t>
            </w:r>
          </w:p>
        </w:tc>
        <w:tc>
          <w:tcPr>
            <w:tcW w:type="dxa" w:w="16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CD-005, CD-010, CD-011, CD-013</w:t>
            </w:r>
          </w:p>
        </w:tc>
        <w:tc>
          <w:tcPr>
            <w:tcW w:type="dxa" w:w="1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Substantially complete before KPMG fieldwork</w:t>
            </w:r>
          </w:p>
        </w:tc>
      </w:tr>
      <w:tr>
        <w:tc>
          <w:tcPr>
            <w:tcW w:type="dxa" w:w="16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KPMG Readiness Review</w:t>
            </w:r>
          </w:p>
        </w:tc>
        <w:tc>
          <w:tcPr>
            <w:tcW w:type="dxa" w:w="20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August 2026</w:t>
            </w:r>
          </w:p>
        </w:tc>
        <w:tc>
          <w:tcPr>
            <w:tcW w:type="dxa" w:w="26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Internal Audit conducts a control operating effectiveness test of all remediated controls. Evidence package assembled. KPMG briefing on remediation actions completed.</w:t>
            </w:r>
          </w:p>
        </w:tc>
        <w:tc>
          <w:tcPr>
            <w:tcW w:type="dxa" w:w="16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All</w:t>
            </w:r>
          </w:p>
        </w:tc>
        <w:tc>
          <w:tcPr>
            <w:tcW w:type="dxa" w:w="1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Pre-fieldwork confirmation</w:t>
            </w:r>
          </w:p>
        </w:tc>
      </w:tr>
    </w:tbl>
    <w:p>
      <w:pPr>
        <w:spacing w:after="0" w:before="80"/>
      </w:pPr>
      <w:r>
        <w:t xml:space="preserve"/>
      </w:r>
    </w:p>
    <w:p>
      <w:pPr>
        <w:pBdr>
          <w:left w:val="single" w:color="26506E" w:sz="12" w:space="8"/>
        </w:pBdr>
        <w:spacing w:after="100" w:before="60"/>
        <w:ind w:left="200"/>
      </w:pPr>
      <w:r>
        <w:rPr>
          <w:rFonts w:ascii="Calibri" w:cs="Calibri" w:eastAsia="Calibri" w:hAnsi="Calibri"/>
          <w:i/>
          <w:iCs/>
          <w:color w:val="26506E"/>
          <w:sz w:val="18"/>
          <w:szCs w:val="18"/>
        </w:rPr>
        <w:t xml:space="preserve">Auditor's recommendation: Schedule a weekly SOX remediation review meeting with the CFO, Controller, CISO, and Director of IT Applications beginning immediately. The Material Weakness (MW-001) requires hands-on executive attention. The 14 management actions in this report are achievable by early August with dedicated focus. Internal Audit will conduct a pre-KPMG effectiveness test in August to confirm all remediated controls are operating and evidence is ready for KPMG testing.</w:t>
      </w:r>
    </w:p>
    <w:p>
      <w:r>
        <w:br w:type="page"/>
      </w:r>
    </w:p>
    <w:p>
      <w:pPr>
        <w:pBdr>
          <w:bottom w:val="single" w:color="1C3A52" w:sz="10" w:space="3"/>
        </w:pBdr>
        <w:spacing w:after="80" w:before="320"/>
      </w:pPr>
      <w:r>
        <w:rPr>
          <w:rFonts w:ascii="Calibri" w:cs="Calibri" w:eastAsia="Calibri" w:hAnsi="Calibri"/>
          <w:b/>
          <w:bCs/>
          <w:color w:val="1C3A52"/>
          <w:sz w:val="26"/>
          <w:szCs w:val="26"/>
        </w:rPr>
        <w:t xml:space="preserve">9. REPORT APPROVAL AND DISTRIBUTION</w:t>
      </w:r>
    </w:p>
    <w:p>
      <w:pPr>
        <w:spacing w:after="120" w:before="60"/>
      </w:pPr>
      <w:r>
        <w:rPr>
          <w:rFonts w:ascii="Calibri" w:cs="Calibri" w:eastAsia="Calibri" w:hAnsi="Calibri"/>
          <w:color w:val="222222"/>
          <w:sz w:val="20"/>
          <w:szCs w:val="20"/>
        </w:rPr>
        <w:t xml:space="preserve">This report is communicated to the Audit Committee at the June 3, 2026 meeting. The Material Weakness (MW-001) is communicated to KPMG by June 7, 2026, per PCAOB AS 2201 requirements for timely communication of material weaknesses to the external auditor.</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Prepared By</w:t>
            </w:r>
          </w:p>
        </w:tc>
        <w:tc>
          <w:tcPr>
            <w:tcW w:type="dxa" w:w="3067"/>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VP Internal Audit</w:t>
            </w:r>
          </w:p>
        </w:tc>
        <w:tc>
          <w:tcPr>
            <w:tcW w:type="dxa" w:w="3067"/>
            <w:tcBorders>
              <w:top w:val="single" w:color="1C3A52" w:sz="8"/>
              <w:left w:val="single" w:color="B0C4D8" w:sz="4"/>
              <w:bottom w:val="single" w:color="1C3A52" w:sz="8"/>
              <w:right w:val="single" w:color="B0C4D8" w:sz="4"/>
            </w:tcBorders>
            <w:shd w:fill="1C3A52"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CFO Acknowledgement</w:t>
            </w:r>
          </w:p>
        </w:tc>
      </w:tr>
      <w:tr>
        <w:tc>
          <w:tcPr>
            <w:tcW w:type="dxa" w:w="3066"/>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Edem Messiga
ISO 27001 Certified Lead Auditor
Internal Audit Division
May 25, 2026</w:t>
            </w:r>
          </w:p>
        </w:tc>
        <w:tc>
          <w:tcPr>
            <w:tcW w:type="dxa" w:w="3067"/>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[VP Internal Audit]
[Name]
[Date]</w:t>
            </w:r>
          </w:p>
        </w:tc>
        <w:tc>
          <w:tcPr>
            <w:tcW w:type="dxa" w:w="3067"/>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[CFO   |   Acknowledges MW-001]
[Name]
[Date]</w:t>
            </w:r>
          </w:p>
        </w:tc>
      </w:tr>
    </w:tbl>
    <w:p>
      <w:pPr>
        <w:spacing w:after="0" w:before="60"/>
      </w:pPr>
      <w:r>
        <w:t xml:space="preserve"/>
      </w:r>
    </w:p>
    <w:p>
      <w:pPr>
        <w:spacing w:after="40" w:before="60"/>
      </w:pPr>
      <w:r>
        <w:rPr>
          <w:rFonts w:ascii="Calibri" w:cs="Calibri" w:eastAsia="Calibri" w:hAnsi="Calibri"/>
          <w:color w:val="222222"/>
          <w:sz w:val="20"/>
          <w:szCs w:val="20"/>
        </w:rPr>
        <w:t xml:space="preserve">Distribution: Audit Committee, CFO, CISO, VP Internal Audit, KPMG LLP (MW-001 communication only). Classification: Confidential.</w:t>
      </w:r>
    </w:p>
    <w:p>
      <w:pPr>
        <w:spacing w:after="20" w:before="20"/>
      </w:pPr>
      <w:r>
        <w:rPr>
          <w:rFonts w:ascii="Calibri" w:cs="Calibri" w:eastAsia="Calibri" w:hAnsi="Calibri"/>
          <w:color w:val="222222"/>
          <w:sz w:val="20"/>
          <w:szCs w:val="20"/>
        </w:rPr>
        <w:t xml:space="preserve">All entities, individuals, financial figures, and systems in this document are fictional and created for professional portfolio and development purposes only.</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2026-05-31T04:53:49.341Z</dcterms:created>
  <dcterms:modified xsi:type="dcterms:W3CDTF">2026-05-31T04:53:49.353Z</dcterms:modified>
</cp:coreProperties>
</file>

<file path=docProps/custom.xml><?xml version="1.0" encoding="utf-8"?>
<Properties xmlns="http://schemas.openxmlformats.org/officeDocument/2006/custom-properties" xmlns:vt="http://schemas.openxmlformats.org/officeDocument/2006/docPropsVTypes"/>
</file>