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
      </w:pPr>
      <w:r>
        <w:t xml:space="preserve"/>
      </w:r>
    </w:p>
    <w:p>
      <w:pPr>
        <w:spacing w:after="60" w:before="0"/>
        <w:jc w:val="center"/>
      </w:pPr>
      <w:r>
        <w:rPr>
          <w:rFonts w:ascii="Calibri" w:cs="Calibri" w:eastAsia="Calibri" w:hAnsi="Calibri"/>
          <w:b/>
          <w:bCs/>
          <w:color w:val="0D3349"/>
          <w:sz w:val="28"/>
          <w:szCs w:val="28"/>
        </w:rPr>
        <w:t xml:space="preserve">CARESYNC TECHNOLOGIES INC.</w:t>
      </w:r>
    </w:p>
    <w:p>
      <w:pPr>
        <w:spacing w:after="80" w:before="0"/>
        <w:jc w:val="center"/>
      </w:pPr>
      <w:r>
        <w:rPr>
          <w:rFonts w:ascii="Calibri" w:cs="Calibri" w:eastAsia="Calibri" w:hAnsi="Calibri"/>
          <w:b/>
          <w:bCs/>
          <w:color w:val="000000"/>
          <w:sz w:val="42"/>
          <w:szCs w:val="42"/>
        </w:rPr>
        <w:t xml:space="preserve">SOC 2 Type I Readiness Assessment Report</w:t>
      </w:r>
    </w:p>
    <w:p>
      <w:pPr>
        <w:spacing w:after="60" w:before="0"/>
        <w:jc w:val="center"/>
      </w:pPr>
      <w:r>
        <w:rPr>
          <w:rFonts w:ascii="Calibri" w:cs="Calibri" w:eastAsia="Calibri" w:hAnsi="Calibri"/>
          <w:i/>
          <w:iCs/>
          <w:color w:val="3A5270"/>
          <w:sz w:val="22"/>
          <w:szCs w:val="22"/>
        </w:rPr>
        <w:t xml:space="preserve">Privacy &amp; Compliance Office  |  May 2026  |  Pre-CPA Firm Engagement</w:t>
      </w:r>
    </w:p>
    <w:p>
      <w:pPr>
        <w:pBdr>
          <w:bottom w:val="single" w:color="0D3349" w:sz="6" w:space="4"/>
        </w:pBdr>
        <w:spacing w:after="320" w:before="0"/>
        <w:jc w:val="center"/>
      </w:pPr>
      <w:r>
        <w:rPr>
          <w:rFonts w:ascii="Calibri" w:cs="Calibri" w:eastAsia="Calibri" w:hAnsi="Calibri"/>
          <w:b/>
          <w:bCs/>
          <w:color w:val="0D3349"/>
          <w:sz w:val="20"/>
          <w:szCs w:val="20"/>
        </w:rPr>
        <w:t xml:space="preserve">CONFIDENTIAL   |   Privacy &amp; Compliance Office, CISO, CEO, Board Audit Committee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Engagement Detail</w:t>
            </w:r>
          </w:p>
        </w:tc>
        <w:tc>
          <w:tcPr>
            <w:tcW w:type="dxa" w:w="64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Information</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Assessor</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Edem Messiga, ISO 27001 Certified Lead Auditor   |   Privacy &amp; Compliance Office</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Client (Fictional)</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CareSync Technologies Inc.   |   Canadian Health IT SaaS (federally incorporated, Ontario)</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System</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Multi-tenant cloud EHR platform (AWS Canada) serving 47 hospitals and 312 clinics</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Patient Records</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Approx. 4.2M patient records; includes PSI under PHIPA (Ontario) and PIPA (Alberta)</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Regulatory Context</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PHIPA (Ontario); PIPA (Alberta); PIPEDA; Ontario Health BAA; IPC oversight</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Assessment Trigger</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Ontario Health requires SOC 2 Type II by Q1 2027   |   this Type I is the prerequisite</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TSC in Scope</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Security (CC1 to CC9), Availability (A1), Confidentiality (C1), Privacy (P)</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Assessment Period</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01 May 2026 to 23 May 2026 (15 business days)</w:t>
            </w:r>
          </w:p>
        </w:tc>
      </w:tr>
      <w:tr>
        <w:tc>
          <w:tcPr>
            <w:tcW w:type="dxa" w:w="2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Report Date</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May 25, 2026</w:t>
            </w:r>
          </w:p>
        </w:tc>
      </w:tr>
    </w:tbl>
    <w:p>
      <w:r>
        <w:br w:type="page"/>
      </w:r>
    </w:p>
    <w:p>
      <w:pPr>
        <w:pBdr>
          <w:bottom w:val="single" w:color="0D3349" w:sz="10" w:space="3"/>
        </w:pBdr>
        <w:spacing w:after="80" w:before="320"/>
      </w:pPr>
      <w:r>
        <w:rPr>
          <w:rFonts w:ascii="Calibri" w:cs="Calibri" w:eastAsia="Calibri" w:hAnsi="Calibri"/>
          <w:b/>
          <w:bCs/>
          <w:color w:val="0D3349"/>
          <w:sz w:val="26"/>
          <w:szCs w:val="26"/>
        </w:rPr>
        <w:t xml:space="preserve">1. EXECUTIVE SUMMARY</w:t>
      </w:r>
    </w:p>
    <w:p>
      <w:pPr>
        <w:spacing w:after="120" w:before="60"/>
      </w:pPr>
      <w:r>
        <w:rPr>
          <w:rFonts w:ascii="Calibri" w:cs="Calibri" w:eastAsia="Calibri" w:hAnsi="Calibri"/>
          <w:color w:val="222222"/>
          <w:sz w:val="20"/>
          <w:szCs w:val="20"/>
        </w:rPr>
        <w:t xml:space="preserve">This report presents the findings of a SOC 2 Type I readiness assessment of the CareSync Technologies Inc. electronic health record (EHR) platform, conducted by the Privacy and Compliance Office over 15 business days in May 2026. The engagement was initiated as a mandatory step toward a SOC 2 Type II examination by Q1 2027, required under CareSync's enterprise contract with Ontario Health   |   Ontario's health system integrator.</w:t>
      </w:r>
    </w:p>
    <w:p>
      <w:pPr>
        <w:spacing w:after="120" w:before="60"/>
      </w:pPr>
      <w:r>
        <w:rPr>
          <w:rFonts w:ascii="Calibri" w:cs="Calibri" w:eastAsia="Calibri" w:hAnsi="Calibri"/>
          <w:color w:val="222222"/>
          <w:sz w:val="20"/>
          <w:szCs w:val="20"/>
        </w:rPr>
        <w:t xml:space="preserve">CareSync operates as an agent of covered entities under the Personal Health Information Protection Act (PHIPA)   |   the province's primary health privacy legislation. This creates a dual obligation: meeting the AICPA Trust Services Criteria for SOC 2, while simultaneously demonstrating to hospital clients and the Ontario Information and Privacy Commissioner (IPC) that PHI is handled in accordance with PHIPA requirements. This report is written with both obligations in mind.</w:t>
      </w:r>
    </w:p>
    <w:p>
      <w:pPr>
        <w:spacing w:after="120" w:before="60"/>
      </w:pPr>
      <w:r>
        <w:rPr>
          <w:rFonts w:ascii="Calibri" w:cs="Calibri" w:eastAsia="Calibri" w:hAnsi="Calibri"/>
          <w:color w:val="222222"/>
          <w:sz w:val="20"/>
          <w:szCs w:val="20"/>
        </w:rPr>
        <w:t xml:space="preserve">The assessment evaluated 32 controls across all five Trust Services Criteria categories: Security (CC1 to CC9), Availability (A1), Confidentiality (C1), and Privacy (P). It identified 1 Critical finding, 8 High findings, and 3 Medium findings requiring remediation before a CPA firm engagement.</w:t>
      </w:r>
    </w:p>
    <w:p>
      <w:pPr>
        <w:pBdr>
          <w:left w:val="single" w:color="C62828" w:sz="16" w:space="8"/>
        </w:pBdr>
        <w:spacing w:after="100" w:before="60"/>
        <w:ind w:left="200"/>
      </w:pPr>
      <w:r>
        <w:rPr>
          <w:rFonts w:ascii="Calibri" w:cs="Calibri" w:eastAsia="Calibri" w:hAnsi="Calibri"/>
          <w:b/>
          <w:bCs/>
          <w:color w:val="C62828"/>
          <w:sz w:val="18"/>
          <w:szCs w:val="18"/>
        </w:rPr>
        <w:t xml:space="preserve">CRITICAL FINDING REQUIRING IMMEDIATE ESCALATION: The assessment identified a potential PHIPA breach (EX-001)   |   PHI was shared with a third-party vendor (ClinicalAI Corp) for AI model training purposes without a Business Associate Agreement, without Privacy Officer approval, and using a pseudonymization method that does not meet the Ontario IPC's de-identification standard. The Privacy Officer and legal counsel must be notified immediately. A PHIPA breach risk assessment is required within 48 hours.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400"/>
      </w:tblGrid>
      <w:tr>
        <w:tc>
          <w:tcPr>
            <w:tcW w:type="dxa" w:w="30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TSC Category</w:t>
            </w:r>
          </w:p>
        </w:tc>
        <w:tc>
          <w:tcPr>
            <w:tcW w:type="dxa" w:w="12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Total</w:t>
            </w:r>
          </w:p>
        </w:tc>
        <w:tc>
          <w:tcPr>
            <w:tcW w:type="dxa" w:w="12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Designed</w:t>
            </w:r>
          </w:p>
        </w:tc>
        <w:tc>
          <w:tcPr>
            <w:tcW w:type="dxa" w:w="12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Partial</w:t>
            </w:r>
          </w:p>
        </w:tc>
        <w:tc>
          <w:tcPr>
            <w:tcW w:type="dxa" w:w="12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Not Designed</w:t>
            </w:r>
          </w:p>
        </w:tc>
        <w:tc>
          <w:tcPr>
            <w:tcW w:type="dxa" w:w="14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Max Risk</w:t>
            </w:r>
          </w:p>
        </w:tc>
      </w:tr>
      <w:tr>
        <w:tc>
          <w:tcPr>
            <w:tcW w:type="dxa" w:w="30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CC   |   Common Criteria (Security)</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19</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9</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14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Critical</w:t>
            </w:r>
          </w:p>
        </w:tc>
      </w:tr>
      <w:tr>
        <w:tc>
          <w:tcPr>
            <w:tcW w:type="dxa" w:w="3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A1   |   Availability</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400"/>
            <w:tcBorders>
              <w:top w:val="single" w:color="B0C4D8" w:sz="4"/>
              <w:left w:val="single" w:color="B0C4D8" w:sz="4"/>
              <w:bottom w:val="single" w:color="B0C4D8" w:sz="4"/>
              <w:right w:val="single" w:color="B0C4D8" w:sz="4"/>
            </w:tcBorders>
            <w:shd w:fill="FFFFF0"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Medium</w:t>
            </w:r>
          </w:p>
        </w:tc>
      </w:tr>
      <w:tr>
        <w:tc>
          <w:tcPr>
            <w:tcW w:type="dxa" w:w="30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C1   |   Confidentiality</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400"/>
            <w:tcBorders>
              <w:top w:val="single" w:color="B0C4D8" w:sz="4"/>
              <w:left w:val="single" w:color="B0C4D8" w:sz="4"/>
              <w:bottom w:val="single" w:color="B0C4D8" w:sz="4"/>
              <w:right w:val="single" w:color="B0C4D8" w:sz="4"/>
            </w:tcBorders>
            <w:shd w:fill="FFFFF0"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Medium</w:t>
            </w:r>
          </w:p>
        </w:tc>
      </w:tr>
      <w:tr>
        <w:tc>
          <w:tcPr>
            <w:tcW w:type="dxa" w:w="3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   |   Privacy</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8</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5</w:t>
            </w:r>
          </w:p>
        </w:tc>
        <w:tc>
          <w:tcPr>
            <w:tcW w:type="dxa" w:w="12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4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Critical</w:t>
            </w:r>
          </w:p>
        </w:tc>
      </w:tr>
      <w:tr>
        <w:tc>
          <w:tcPr>
            <w:tcW w:type="dxa" w:w="3000"/>
            <w:tcBorders>
              <w:top w:val="single" w:color="B0C4D8" w:sz="4"/>
              <w:left w:val="single" w:color="B0C4D8" w:sz="4"/>
              <w:bottom w:val="single" w:color="B0C4D8" w:sz="4"/>
              <w:right w:val="single" w:color="B0C4D8" w:sz="4"/>
            </w:tcBorders>
            <w:shd w:fill="0D3349"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TOTALS</w:t>
            </w:r>
          </w:p>
        </w:tc>
        <w:tc>
          <w:tcPr>
            <w:tcW w:type="dxa" w:w="1200"/>
            <w:tcBorders>
              <w:top w:val="single" w:color="B0C4D8" w:sz="4"/>
              <w:left w:val="single" w:color="B0C4D8" w:sz="4"/>
              <w:bottom w:val="single" w:color="B0C4D8" w:sz="4"/>
              <w:right w:val="single" w:color="B0C4D8" w:sz="4"/>
            </w:tcBorders>
            <w:shd w:fill="0D3349"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32</w:t>
            </w:r>
          </w:p>
        </w:tc>
        <w:tc>
          <w:tcPr>
            <w:tcW w:type="dxa" w:w="1200"/>
            <w:tcBorders>
              <w:top w:val="single" w:color="B0C4D8" w:sz="4"/>
              <w:left w:val="single" w:color="B0C4D8" w:sz="4"/>
              <w:bottom w:val="single" w:color="B0C4D8" w:sz="4"/>
              <w:right w:val="single" w:color="B0C4D8" w:sz="4"/>
            </w:tcBorders>
            <w:shd w:fill="0D3349"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14</w:t>
            </w:r>
          </w:p>
        </w:tc>
        <w:tc>
          <w:tcPr>
            <w:tcW w:type="dxa" w:w="1200"/>
            <w:tcBorders>
              <w:top w:val="single" w:color="B0C4D8" w:sz="4"/>
              <w:left w:val="single" w:color="B0C4D8" w:sz="4"/>
              <w:bottom w:val="single" w:color="B0C4D8" w:sz="4"/>
              <w:right w:val="single" w:color="B0C4D8" w:sz="4"/>
            </w:tcBorders>
            <w:shd w:fill="0D3349"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14</w:t>
            </w:r>
          </w:p>
        </w:tc>
        <w:tc>
          <w:tcPr>
            <w:tcW w:type="dxa" w:w="1200"/>
            <w:tcBorders>
              <w:top w:val="single" w:color="B0C4D8" w:sz="4"/>
              <w:left w:val="single" w:color="B0C4D8" w:sz="4"/>
              <w:bottom w:val="single" w:color="B0C4D8" w:sz="4"/>
              <w:right w:val="single" w:color="B0C4D8" w:sz="4"/>
            </w:tcBorders>
            <w:shd w:fill="0D3349"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4</w:t>
            </w:r>
          </w:p>
        </w:tc>
        <w:tc>
          <w:tcPr>
            <w:tcW w:type="dxa" w:w="1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
            </w:r>
          </w:p>
        </w:tc>
      </w:tr>
    </w:tbl>
    <w:p>
      <w:r>
        <w:br w:type="page"/>
      </w:r>
    </w:p>
    <w:p>
      <w:pPr>
        <w:pBdr>
          <w:bottom w:val="single" w:color="0D3349" w:sz="10" w:space="3"/>
        </w:pBdr>
        <w:spacing w:after="80" w:before="320"/>
      </w:pPr>
      <w:r>
        <w:rPr>
          <w:rFonts w:ascii="Calibri" w:cs="Calibri" w:eastAsia="Calibri" w:hAnsi="Calibri"/>
          <w:b/>
          <w:bCs/>
          <w:color w:val="0D3349"/>
          <w:sz w:val="26"/>
          <w:szCs w:val="26"/>
        </w:rPr>
        <w:t xml:space="preserve">2. HEALTHCARE SECTOR CONTEXT AND REGULATORY FRAMEWORK</w:t>
      </w:r>
    </w:p>
    <w:p>
      <w:pPr>
        <w:spacing w:after="60" w:before="220"/>
      </w:pPr>
      <w:r>
        <w:rPr>
          <w:rFonts w:ascii="Calibri" w:cs="Calibri" w:eastAsia="Calibri" w:hAnsi="Calibri"/>
          <w:b/>
          <w:bCs/>
          <w:color w:val="0D3349"/>
          <w:sz w:val="22"/>
          <w:szCs w:val="22"/>
        </w:rPr>
        <w:t xml:space="preserve">2.1 Why Healthcare SOC 2 is Different</w:t>
      </w:r>
    </w:p>
    <w:p>
      <w:pPr>
        <w:spacing w:after="120" w:before="60"/>
      </w:pPr>
      <w:r>
        <w:rPr>
          <w:rFonts w:ascii="Calibri" w:cs="Calibri" w:eastAsia="Calibri" w:hAnsi="Calibri"/>
          <w:color w:val="222222"/>
          <w:sz w:val="20"/>
          <w:szCs w:val="20"/>
        </w:rPr>
        <w:t xml:space="preserve">A SOC 2 assessment for a healthcare SaaS company is materially more complex than an equivalent assessment for a general enterprise SaaS platform. CareSync processes personal health information (PHI) for millions of Canadians   |   information that is among the most sensitive categories of personal data, and that carries explicit legislative protections, mandatory breach reporting obligations, and the potential for significant financial penalties and reputational harm in the event of a control failure.</w:t>
      </w:r>
    </w:p>
    <w:p>
      <w:pPr>
        <w:spacing w:after="120" w:before="60"/>
      </w:pPr>
      <w:r>
        <w:rPr>
          <w:rFonts w:ascii="Calibri" w:cs="Calibri" w:eastAsia="Calibri" w:hAnsi="Calibri"/>
          <w:color w:val="222222"/>
          <w:sz w:val="20"/>
          <w:szCs w:val="20"/>
        </w:rPr>
        <w:t xml:space="preserve">This assessment must be read alongside CareSync's PHIPA obligations as an agent of covered entities. Every control gap identified in this report has a potential PHIPA dimension   |   not just a SOC 2 dimension. Where findings have specific PHIPA implications, this report identifies the applicable PHIPA sections and, where relevant, references Ontario IPC investigation outcomes and guidance.</w:t>
      </w:r>
    </w:p>
    <w:p>
      <w:pPr>
        <w:spacing w:after="0" w:before="60"/>
      </w:pPr>
      <w:r>
        <w:t xml:space="preserve"/>
      </w:r>
    </w:p>
    <w:p>
      <w:pPr>
        <w:spacing w:after="60" w:before="220"/>
      </w:pPr>
      <w:r>
        <w:rPr>
          <w:rFonts w:ascii="Calibri" w:cs="Calibri" w:eastAsia="Calibri" w:hAnsi="Calibri"/>
          <w:b/>
          <w:bCs/>
          <w:color w:val="0D3349"/>
          <w:sz w:val="22"/>
          <w:szCs w:val="22"/>
        </w:rPr>
        <w:t xml:space="preserve">2.2 Regulatory Framework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Legislation</w:t>
            </w:r>
          </w:p>
        </w:tc>
        <w:tc>
          <w:tcPr>
            <w:tcW w:type="dxa" w:w="34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Jurisdiction and Scope</w:t>
            </w:r>
          </w:p>
        </w:tc>
        <w:tc>
          <w:tcPr>
            <w:tcW w:type="dxa" w:w="34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Key Obligations for CareSync</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PHIPA (S.O. 2004, c. 3, Sch. A)</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Ontario   |   Primary framework for PHI in healthcare</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Safeguards (s.12), breach notification (ss.12,13), consent (s.18), disclosure limits (s.29), agent obligations, IPC oversight</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PIPA (SA 2003, c P-6.5)</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Alberta   |   Applies to 3 clinic clients in Alberta</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Separate consent regime, retention rules, OIPC oversight; stricter in some areas than PHIPA</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PIPEDA (S.C. 2000, c. 5)</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Federal   |   Applies to inter-provincial data flows and non-health data</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Ten Fair Information Principles; breach reporting (SOR/2018-64); applicable alongside PHIPA</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Ontario Health BAA</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Contractual   |   Ontario Health enterprise agreement</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SOC 2 Type II by Q1 2027; 99.9% uptime SLA; 2-hour breach notification; annual DR test submission</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Ontario IPC Oversight</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Ontario   |   IPC investigates PHIPA complaints and breaches</w:t>
            </w:r>
          </w:p>
        </w:tc>
        <w:tc>
          <w:tcPr>
            <w:tcW w:type="dxa" w:w="3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IPC can audit covered entities and agents; findings are public; fines up to $500,000 (PHIPA s.72)</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Bill C-27 / CPPA (Proposed)</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Federal   |   Proposed replacement for PIPEDA</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Stronger consent, right to disposal, algorithmic transparency, higher penalties; readiness assessment included in Section 7</w:t>
            </w:r>
          </w:p>
        </w:tc>
      </w:tr>
    </w:tbl>
    <w:p>
      <w:r>
        <w:br w:type="page"/>
      </w:r>
    </w:p>
    <w:p>
      <w:pPr>
        <w:pBdr>
          <w:bottom w:val="single" w:color="0D3349" w:sz="10" w:space="3"/>
        </w:pBdr>
        <w:spacing w:after="80" w:before="320"/>
      </w:pPr>
      <w:r>
        <w:rPr>
          <w:rFonts w:ascii="Calibri" w:cs="Calibri" w:eastAsia="Calibri" w:hAnsi="Calibri"/>
          <w:b/>
          <w:bCs/>
          <w:color w:val="0D3349"/>
          <w:sz w:val="26"/>
          <w:szCs w:val="26"/>
        </w:rPr>
        <w:t xml:space="preserve">3. CRITICAL FINDING   |   IMMEDIATE ACTION REQUIRED</w:t>
      </w:r>
    </w:p>
    <w:p>
      <w:pPr>
        <w:spacing w:after="60" w:before="220"/>
      </w:pPr>
      <w:r>
        <w:rPr>
          <w:rFonts w:ascii="Calibri" w:cs="Calibri" w:eastAsia="Calibri" w:hAnsi="Calibri"/>
          <w:b/>
          <w:bCs/>
          <w:color w:val="0D3349"/>
          <w:sz w:val="22"/>
          <w:szCs w:val="22"/>
        </w:rPr>
        <w:t xml:space="preserve">Finding 3.1 (Critical)   |   Unauthorized PHI Disclosure to ClinicalAI Corp: Potential PHIPA Breach | EX-001, EX-002 | P2.1, CC9.2</w:t>
      </w:r>
    </w:p>
    <w:p>
      <w:pPr>
        <w:pBdr>
          <w:left w:val="single" w:color="C62828" w:sz="16" w:space="8"/>
        </w:pBdr>
        <w:spacing w:after="100" w:before="60"/>
        <w:ind w:left="200"/>
      </w:pPr>
      <w:r>
        <w:rPr>
          <w:rFonts w:ascii="Calibri" w:cs="Calibri" w:eastAsia="Calibri" w:hAnsi="Calibri"/>
          <w:b/>
          <w:bCs/>
          <w:color w:val="C62828"/>
          <w:sz w:val="18"/>
          <w:szCs w:val="18"/>
        </w:rPr>
        <w:t xml:space="preserve">This finding requires immediate escalation to the Privacy Officer, CEO, and legal counsel. A PHIPA breach risk assessment must be completed within 48 hours of this report being received.</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TSC References</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P2.1 (Purpose Limitation), CC9.2 (Vendor Risk Mitigation)</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PHIPA References</w:t>
            </w:r>
          </w:p>
        </w:tc>
        <w:tc>
          <w:tcPr>
            <w:tcW w:type="dxa" w:w="6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s.29 (limiting collection/use to identified purposes); s.44 (research and secondary use); s.17 (agent obligations for third-party PHI handling)</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Risk Rating</w:t>
            </w:r>
          </w:p>
        </w:tc>
        <w:tc>
          <w:tcPr>
            <w:tcW w:type="dxa" w:w="68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Critical   |   Potential PHIPA breach with mandatory IPC notification obligations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In April 2026, the CareSync Engineering team added ClinicalAI Corp as a production vendor and shared patient data for AI model training purposes. This occurred without: (1) a Business Associate Agreement in place; (2) Privacy Officer review or approval; (3) patient consent for AI training use; and (4) a de-identification method meeting the Ontario IPC's de-identification standard. The pseudonymization method used retained a re-identification key   |   under Ontario IPC guidance, this is classified as identifiable PHI, not de-identified data. The data shared therefore constitutes PHI under PHIPA.</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Evidence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Engineering team Slack messages confirming ClinicalAI Corp data sharing decision (May 19, 2026 interview); AWS S3 transfer logs showing data export to ClinicalAI Corp S3 bucket (April 3 to 18, 2026); ClinicalAI Corp vendor record in procurement system   |   marked 'pilot, no formal onboarding required'; absence of BAA in vendor agreement register; Privacy Officer confirmed no knowledge of this activity prior to this assessment.</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Engineering culture treated the ClinicalAI Corp engagement as a technical pilot rather than a privacy-relevant vendor relationship. There is no system-level control in the vendor onboarding workflow that enforces Privacy Officer review before PHI data sharing commences. The policy exists but is purely manual   |   it can be bypassed without technical consequence.</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PHIPA Breach Assessment</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following factors indicate that a PHIPA breach risk assessment is required: (1) PHI was disclosed to a third party (PHIPA s.29 violation); (2) the disclosure was for a purpose (AI training) not covered by patient consent or any PHIPA exception; (3) the de-identification method used did not meet IPC standards, meaning the data was identifiable. The key question for the breach assessment is whether there is a real risk of harm to patients   |   if so, IPC notification within 30 days of determination and individual notification are required under PHIPA s.12(2).</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Immediate Actions</w:t>
            </w:r>
          </w:p>
        </w:tc>
        <w:tc>
          <w:tcPr>
            <w:tcW w:type="dxa" w:w="68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Within 24 hours: Notify Privacy Officer and legal counsel. Suspend all data sharing with ClinicalAI Corp.
Within 48 hours: Complete initial PHIPA breach risk assessment using Ontario IPC risk assessment tool.
Within 7 days: Implement mandatory Privacy Officer approval gate in vendor onboarding workflow.
Within 30 days of breach determination: Notify Ontario IPC if risk of harm is identified (PHIPA s.12(2)).</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Workpaper Reference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WP-P2-001, WP-CC9-002   |   Evidence: AWS S3 transfer logs, vendor register, interview notes, IPC de-identification guidance</w:t>
            </w:r>
          </w:p>
        </w:tc>
      </w:tr>
    </w:tbl>
    <w:p>
      <w:r>
        <w:br w:type="page"/>
      </w:r>
    </w:p>
    <w:p>
      <w:pPr>
        <w:pBdr>
          <w:bottom w:val="single" w:color="0D3349" w:sz="10" w:space="3"/>
        </w:pBdr>
        <w:spacing w:after="80" w:before="320"/>
      </w:pPr>
      <w:r>
        <w:rPr>
          <w:rFonts w:ascii="Calibri" w:cs="Calibri" w:eastAsia="Calibri" w:hAnsi="Calibri"/>
          <w:b/>
          <w:bCs/>
          <w:color w:val="0D3349"/>
          <w:sz w:val="26"/>
          <w:szCs w:val="26"/>
        </w:rPr>
        <w:t xml:space="preserve">4. HIGH-SEVERITY FINDINGS</w:t>
      </w:r>
    </w:p>
    <w:p>
      <w:pPr>
        <w:spacing w:after="60" w:before="220"/>
      </w:pPr>
      <w:r>
        <w:rPr>
          <w:rFonts w:ascii="Calibri" w:cs="Calibri" w:eastAsia="Calibri" w:hAnsi="Calibri"/>
          <w:b/>
          <w:bCs/>
          <w:color w:val="0D3349"/>
          <w:sz w:val="22"/>
          <w:szCs w:val="22"/>
        </w:rPr>
        <w:t xml:space="preserve">Finding 4.1   |   No Deficiency Tracking Register: 2 Q4 2025 Deficiencies Unresolved | EX-009 | CC4.2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Risk Rating</w:t>
            </w:r>
          </w:p>
        </w:tc>
        <w:tc>
          <w:tcPr>
            <w:tcW w:type="dxa" w:w="6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High</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No formal deficiency tracking register exists. Two deficiencies from the Q4 2025 quarterly privacy control review   |   a PHI audit log review gap and a consent record completeness gap   |   remain unresolved 6 months later. Their persistence was not visible without manual investigation during this assessment.</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PHIPA Dimension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Unresolved privacy control deficiencies may constitute ongoing PHIPA non-compliance. The PHI audit log review gap, in particular, means that inappropriate PHI access may have occurred without detection during the 6-month period.</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No deficiency tracking tool or formal process was established when the Privacy function was built. Informal email tracking provides no audit trail and no escalation mechanism.</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Implement deficiency register in Jira by June 15. Back-populate all unresolved deficiencies from last 12 months. Assign owners and SLAs. Escalate overdue Critical/High items to CISO weekly.</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Workpaper Reference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WP-CC4-002</w:t>
            </w:r>
          </w:p>
        </w:tc>
      </w:tr>
    </w:tbl>
    <w:p>
      <w:pPr>
        <w:spacing w:after="0" w:before="80"/>
      </w:pPr>
      <w:r>
        <w:t xml:space="preserve"/>
      </w:r>
    </w:p>
    <w:p>
      <w:pPr>
        <w:spacing w:after="60" w:before="220"/>
      </w:pPr>
      <w:r>
        <w:rPr>
          <w:rFonts w:ascii="Calibri" w:cs="Calibri" w:eastAsia="Calibri" w:hAnsi="Calibri"/>
          <w:b/>
          <w:bCs/>
          <w:color w:val="0D3349"/>
          <w:sz w:val="22"/>
          <w:szCs w:val="22"/>
        </w:rPr>
        <w:t xml:space="preserve">Finding 4.2   |   8 Former Clinical Staff PHI Accounts Not Deprovisioned | EX-004 | CC6.6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Risk Rating</w:t>
            </w:r>
          </w:p>
        </w:tc>
        <w:tc>
          <w:tcPr>
            <w:tcW w:type="dxa" w:w="6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High</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8 accounts belonging to former clinical staff at 3 client institutions have not been deprovisioned. CareSync has no automated control over client-managed clinical accounts   |   it relies on client administrators to act. These 8 accounts retain active PHI access.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PHIPA Dimension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Failure to revoke PHI access after staff termination is a reportable PHIPA breach in Ontario. The Ontario IPC investigated a similar case in 2023 (HC-000089-2023) and found the covered entity's agent liable for inadequate access revocation controls.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CareSync's client agreements require deprovisioning within 24 hours of termination but there is no technical enforcement. CareSync depends on client administrators to act   |   3 of 47 clients failed to do so.</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Disable 8 identified accounts after client confirmation. Add automated deprovisioning requirement or 4-hour notification clause to client agreement template. Implement 30-day inactivity alert to client administrators.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Workpaper Reference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WP-CC6-004</w:t>
            </w:r>
          </w:p>
        </w:tc>
      </w:tr>
    </w:tbl>
    <w:p>
      <w:pPr>
        <w:spacing w:after="0" w:before="80"/>
      </w:pPr>
      <w:r>
        <w:t xml:space="preserve"/>
      </w:r>
    </w:p>
    <w:p>
      <w:pPr>
        <w:spacing w:after="60" w:before="220"/>
      </w:pPr>
      <w:r>
        <w:rPr>
          <w:rFonts w:ascii="Calibri" w:cs="Calibri" w:eastAsia="Calibri" w:hAnsi="Calibri"/>
          <w:b/>
          <w:bCs/>
          <w:color w:val="0D3349"/>
          <w:sz w:val="22"/>
          <w:szCs w:val="22"/>
        </w:rPr>
        <w:t xml:space="preserve">Finding 4.3   |   PHI Bulk Download Alerts Muted Without Documentation | EX-006 | CC7.1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Risk Rating</w:t>
            </w:r>
          </w:p>
        </w:tc>
        <w:tc>
          <w:tcPr>
            <w:tcW w:type="dxa" w:w="6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High</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PHI bulk download alert threshold (100 records in 10 minutes) generates false positives for legitimate clinical workflows. The SOC team manually mutes these alerts without any documentation, rationale, or Privacy Officer acknowledgement. A genuine bulk PHI exfiltration attempt could be muted as a false positive.</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PHIPA Dimension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PHIPA s.12(2) requires detection of inappropriate PHI access. Undocumented alert muting creates a blind spot that could mask a reportable breach.</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Alert thresholds were set without clinical workflow analysis. The SOC team developed muting habits to manage alert fatigue   |   without realizing the compliance implication.</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Halt undocumented muting immediately. Conduct clinical workflow analysis with 3 hospital clients. Recalibrate thresholds with Privacy Officer sign-off. Document all future alert muting.</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Workpaper Reference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WP-CC7-001</w:t>
            </w:r>
          </w:p>
        </w:tc>
      </w:tr>
    </w:tbl>
    <w:p>
      <w:pPr>
        <w:spacing w:after="0" w:before="80"/>
      </w:pPr>
      <w:r>
        <w:t xml:space="preserve"/>
      </w:r>
    </w:p>
    <w:p>
      <w:pPr>
        <w:spacing w:after="60" w:before="220"/>
      </w:pPr>
      <w:r>
        <w:rPr>
          <w:rFonts w:ascii="Calibri" w:cs="Calibri" w:eastAsia="Calibri" w:hAnsi="Calibri"/>
          <w:b/>
          <w:bCs/>
          <w:color w:val="0D3349"/>
          <w:sz w:val="22"/>
          <w:szCs w:val="22"/>
        </w:rPr>
        <w:t xml:space="preserve">Finding 4.4   |   Consent Audit Trail Missing | EX-008 | P3.1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Risk Rating</w:t>
            </w:r>
          </w:p>
        </w:tc>
        <w:tc>
          <w:tcPr>
            <w:tcW w:type="dxa" w:w="6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High</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EHR consent module records current consent status but does not maintain a history of consent changes   |   who changed it, when, from what previous state, and why. Ontario IPC guidance requires covered entities to demonstrate the history of consent decisions.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PHIPA Dimension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PHIPA s.18 governs consent for PHI use and disclosure. Inability to audit consent history means CareSync cannot demonstrate compliance with consent requirements during an IPC investigation.</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Consent module was designed to enforce current consent status, not to maintain historical records   |   an architectural decision not revisited since initial design.</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Implement consent change audit trail: user ID, timestamp, previous state, new state, reason. Retain for patient record retention period. Prioritize for next engineering sprint.</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Workpaper Reference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WP-P3-001</w:t>
            </w:r>
          </w:p>
        </w:tc>
      </w:tr>
    </w:tbl>
    <w:p>
      <w:pPr>
        <w:spacing w:after="0" w:before="80"/>
      </w:pPr>
      <w:r>
        <w:t xml:space="preserve"/>
      </w:r>
    </w:p>
    <w:p>
      <w:pPr>
        <w:spacing w:after="60" w:before="220"/>
      </w:pPr>
      <w:r>
        <w:rPr>
          <w:rFonts w:ascii="Calibri" w:cs="Calibri" w:eastAsia="Calibri" w:hAnsi="Calibri"/>
          <w:b/>
          <w:bCs/>
          <w:color w:val="0D3349"/>
          <w:sz w:val="22"/>
          <w:szCs w:val="22"/>
        </w:rPr>
        <w:t xml:space="preserve">Finding 4.5   |   3 Institutional Super User Accounts Without PHIPA Justification | EX-005 | CC6.1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Risk Rating</w:t>
            </w:r>
          </w:p>
        </w:tc>
        <w:tc>
          <w:tcPr>
            <w:tcW w:type="dxa" w:w="6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High</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3 covered entity client institutions have 'super user' accounts with unrestricted PHI access   |   outside the standard RBAC model. No PHIPA justification (minimum necessary access) has been documented for these accounts.</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PHIPA Dimension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PHIPA s.29 requires PHI access to be limited to the minimum necessary. Unrestricted PHI access without documented justification directly violates this requirement.</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Implementation team created super user accounts at client request without requiring PHIPA justification. The implementation checklist did not include a mandatory PHIPA access justification step.</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Require written PHIPA justification from each institution within 30 days. If not provided, restrict to most permissive standard clinical role. Add justification requirement to implementation checklist.</w:t>
            </w:r>
          </w:p>
        </w:tc>
      </w:tr>
      <w:tr>
        <w:tc>
          <w:tcPr>
            <w:tcW w:type="dxa" w:w="24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Workpaper Reference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WP-CC6-001</w:t>
            </w:r>
          </w:p>
        </w:tc>
      </w:tr>
    </w:tbl>
    <w:p>
      <w:r>
        <w:br w:type="page"/>
      </w:r>
    </w:p>
    <w:p>
      <w:pPr>
        <w:pBdr>
          <w:bottom w:val="single" w:color="0D3349" w:sz="10" w:space="3"/>
        </w:pBdr>
        <w:spacing w:after="80" w:before="320"/>
      </w:pPr>
      <w:r>
        <w:rPr>
          <w:rFonts w:ascii="Calibri" w:cs="Calibri" w:eastAsia="Calibri" w:hAnsi="Calibri"/>
          <w:b/>
          <w:bCs/>
          <w:color w:val="0D3349"/>
          <w:sz w:val="26"/>
          <w:szCs w:val="26"/>
        </w:rPr>
        <w:t xml:space="preserve">5. EXCEPTION LOG SUMMARY</w:t>
      </w:r>
    </w:p>
    <w:p>
      <w:pPr>
        <w:spacing w:after="120" w:before="60"/>
      </w:pPr>
      <w:r>
        <w:rPr>
          <w:rFonts w:ascii="Calibri" w:cs="Calibri" w:eastAsia="Calibri" w:hAnsi="Calibri"/>
          <w:color w:val="222222"/>
          <w:sz w:val="20"/>
          <w:szCs w:val="20"/>
        </w:rPr>
        <w:t xml:space="preserve">The table below summarizes all 12 exceptions identified in this assessment. Full remediation detail is in the Exception Log tab of the Controls Workbook.</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800"/>
        <w:gridCol w:w="3500"/>
        <w:gridCol w:w="1000"/>
        <w:gridCol w:w="1500"/>
        <w:gridCol w:w="700"/>
      </w:tblGrid>
      <w:tr>
        <w:tc>
          <w:tcPr>
            <w:tcW w:type="dxa" w:w="8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ID</w:t>
            </w:r>
          </w:p>
        </w:tc>
        <w:tc>
          <w:tcPr>
            <w:tcW w:type="dxa" w:w="9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Ctrl</w:t>
            </w:r>
          </w:p>
        </w:tc>
        <w:tc>
          <w:tcPr>
            <w:tcW w:type="dxa" w:w="8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TSC</w:t>
            </w:r>
          </w:p>
        </w:tc>
        <w:tc>
          <w:tcPr>
            <w:tcW w:type="dxa" w:w="35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Exception</w:t>
            </w:r>
          </w:p>
        </w:tc>
        <w:tc>
          <w:tcPr>
            <w:tcW w:type="dxa" w:w="10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Rating</w:t>
            </w:r>
          </w:p>
        </w:tc>
        <w:tc>
          <w:tcPr>
            <w:tcW w:type="dxa" w:w="15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Target</w:t>
            </w:r>
          </w:p>
        </w:tc>
        <w:tc>
          <w:tcPr>
            <w:tcW w:type="dxa" w:w="700"/>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WP</w:t>
            </w:r>
          </w:p>
        </w:tc>
      </w:tr>
      <w:tr>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EX-001</w:t>
            </w:r>
          </w:p>
        </w:tc>
        <w:tc>
          <w:tcPr>
            <w:tcW w:type="dxa" w:w="9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CS-P2.1</w:t>
            </w:r>
          </w:p>
        </w:tc>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P</w:t>
            </w:r>
          </w:p>
        </w:tc>
        <w:tc>
          <w:tcPr>
            <w:tcW w:type="dxa" w:w="3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PHI shared with ClinicalAI Corp for AI training   |   no BAA, no consent, non-compliant de-identification. Potential PHIPA breach.</w:t>
            </w:r>
          </w:p>
        </w:tc>
        <w:tc>
          <w:tcPr>
            <w:tcW w:type="dxa" w:w="10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Critical</w:t>
            </w:r>
          </w:p>
        </w:tc>
        <w:tc>
          <w:tcPr>
            <w:tcW w:type="dxa" w:w="1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2026-06-01</w:t>
            </w:r>
          </w:p>
        </w:tc>
        <w:tc>
          <w:tcPr>
            <w:tcW w:type="dxa" w:w="7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WP-P2-001</w:t>
            </w:r>
          </w:p>
        </w:tc>
      </w:tr>
      <w:tr>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EX-002</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CS-CC9.2</w:t>
            </w:r>
          </w:p>
        </w:tc>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CC</w:t>
            </w:r>
          </w:p>
        </w:tc>
        <w:tc>
          <w:tcPr>
            <w:tcW w:type="dxa" w:w="3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ClinicalAI Corp added to production without BAA or vendor risk assessment</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2026-06-07</w:t>
            </w:r>
          </w:p>
        </w:tc>
        <w:tc>
          <w:tcPr>
            <w:tcW w:type="dxa" w:w="7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WP-CC9-002</w:t>
            </w:r>
          </w:p>
        </w:tc>
      </w:tr>
      <w:tr>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EX-003</w:t>
            </w:r>
          </w:p>
        </w:tc>
        <w:tc>
          <w:tcPr>
            <w:tcW w:type="dxa" w:w="9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CS-CC3.2</w:t>
            </w:r>
          </w:p>
        </w:tc>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CC</w:t>
            </w:r>
          </w:p>
        </w:tc>
        <w:tc>
          <w:tcPr>
            <w:tcW w:type="dxa" w:w="3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No insider threat monitoring for PHI; UEBA not procured; 2 open curiosity access complaints</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2026-09-30</w:t>
            </w:r>
          </w:p>
        </w:tc>
        <w:tc>
          <w:tcPr>
            <w:tcW w:type="dxa" w:w="7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WP-CC3-002</w:t>
            </w:r>
          </w:p>
        </w:tc>
      </w:tr>
      <w:tr>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EX-004</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CS-CC6.6</w:t>
            </w:r>
          </w:p>
        </w:tc>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CC</w:t>
            </w:r>
          </w:p>
        </w:tc>
        <w:tc>
          <w:tcPr>
            <w:tcW w:type="dxa" w:w="3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8 former clinical staff accounts not deprovisioned at 3 client institutions</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2026-07-31</w:t>
            </w:r>
          </w:p>
        </w:tc>
        <w:tc>
          <w:tcPr>
            <w:tcW w:type="dxa" w:w="7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WP-CC6-004</w:t>
            </w:r>
          </w:p>
        </w:tc>
      </w:tr>
      <w:tr>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EX-005</w:t>
            </w:r>
          </w:p>
        </w:tc>
        <w:tc>
          <w:tcPr>
            <w:tcW w:type="dxa" w:w="9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CS-CC6.1</w:t>
            </w:r>
          </w:p>
        </w:tc>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CC</w:t>
            </w:r>
          </w:p>
        </w:tc>
        <w:tc>
          <w:tcPr>
            <w:tcW w:type="dxa" w:w="3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3 institutional super user accounts   |   unrestricted PHI access without PHIPA justification</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2026-06-15</w:t>
            </w:r>
          </w:p>
        </w:tc>
        <w:tc>
          <w:tcPr>
            <w:tcW w:type="dxa" w:w="7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WP-CC6-001</w:t>
            </w:r>
          </w:p>
        </w:tc>
      </w:tr>
      <w:tr>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EX-006</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CS-CC7.1</w:t>
            </w:r>
          </w:p>
        </w:tc>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CC</w:t>
            </w:r>
          </w:p>
        </w:tc>
        <w:tc>
          <w:tcPr>
            <w:tcW w:type="dxa" w:w="3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PHI bulk download alerts muted without documentation   |   genuine exfiltration could be missed</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2026-07-15</w:t>
            </w:r>
          </w:p>
        </w:tc>
        <w:tc>
          <w:tcPr>
            <w:tcW w:type="dxa" w:w="7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WP-CC7-001</w:t>
            </w:r>
          </w:p>
        </w:tc>
      </w:tr>
      <w:tr>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EX-007</w:t>
            </w:r>
          </w:p>
        </w:tc>
        <w:tc>
          <w:tcPr>
            <w:tcW w:type="dxa" w:w="9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CS-CC9.2</w:t>
            </w:r>
          </w:p>
        </w:tc>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CC</w:t>
            </w:r>
          </w:p>
        </w:tc>
        <w:tc>
          <w:tcPr>
            <w:tcW w:type="dxa" w:w="3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MedTranscribe BAA expired March 31; PHI continues to be transmitted without current BAA</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2026-06-07</w:t>
            </w:r>
          </w:p>
        </w:tc>
        <w:tc>
          <w:tcPr>
            <w:tcW w:type="dxa" w:w="7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WP-CC9-002</w:t>
            </w:r>
          </w:p>
        </w:tc>
      </w:tr>
      <w:tr>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EX-008</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CS-P3.1</w:t>
            </w:r>
          </w:p>
        </w:tc>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P</w:t>
            </w:r>
          </w:p>
        </w:tc>
        <w:tc>
          <w:tcPr>
            <w:tcW w:type="dxa" w:w="3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Consent audit trail missing   |   no history of who changed consent, when, or from what state</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2026-07-31</w:t>
            </w:r>
          </w:p>
        </w:tc>
        <w:tc>
          <w:tcPr>
            <w:tcW w:type="dxa" w:w="7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WP-P3-001</w:t>
            </w:r>
          </w:p>
        </w:tc>
      </w:tr>
      <w:tr>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EX-009</w:t>
            </w:r>
          </w:p>
        </w:tc>
        <w:tc>
          <w:tcPr>
            <w:tcW w:type="dxa" w:w="9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CS-CC4.2</w:t>
            </w:r>
          </w:p>
        </w:tc>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CC</w:t>
            </w:r>
          </w:p>
        </w:tc>
        <w:tc>
          <w:tcPr>
            <w:tcW w:type="dxa" w:w="3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No deficiency register; 2 Q4 2025 deficiencies unresolved 6 months later</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2026-06-15</w:t>
            </w:r>
          </w:p>
        </w:tc>
        <w:tc>
          <w:tcPr>
            <w:tcW w:type="dxa" w:w="7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WP-CC4-002</w:t>
            </w:r>
          </w:p>
        </w:tc>
      </w:tr>
      <w:tr>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EX-010</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CS-P4.1</w:t>
            </w:r>
          </w:p>
        </w:tc>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P</w:t>
            </w:r>
          </w:p>
        </w:tc>
        <w:tc>
          <w:tcPr>
            <w:tcW w:type="dxa" w:w="3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ClinicalAI pilot bypassed secondary use review   |   no system-level enforcement gate</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2026-06-30</w:t>
            </w:r>
          </w:p>
        </w:tc>
        <w:tc>
          <w:tcPr>
            <w:tcW w:type="dxa" w:w="7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WP-P4-001</w:t>
            </w:r>
          </w:p>
        </w:tc>
      </w:tr>
      <w:tr>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EX-011</w:t>
            </w:r>
          </w:p>
        </w:tc>
        <w:tc>
          <w:tcPr>
            <w:tcW w:type="dxa" w:w="9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CS-CC5.2</w:t>
            </w:r>
          </w:p>
        </w:tc>
        <w:tc>
          <w:tcPr>
            <w:tcW w:type="dxa" w:w="8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CC</w:t>
            </w:r>
          </w:p>
        </w:tc>
        <w:tc>
          <w:tcPr>
            <w:tcW w:type="dxa" w:w="3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4 support workstations running EOL Windows 10 21H2 (3 years out of support) with EHR access</w:t>
            </w:r>
          </w:p>
        </w:tc>
        <w:tc>
          <w:tcPr>
            <w:tcW w:type="dxa" w:w="10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High</w:t>
            </w:r>
          </w:p>
        </w:tc>
        <w:tc>
          <w:tcPr>
            <w:tcW w:type="dxa" w:w="15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2026-06-30</w:t>
            </w:r>
          </w:p>
        </w:tc>
        <w:tc>
          <w:tcPr>
            <w:tcW w:type="dxa" w:w="700"/>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WP-CC5-002</w:t>
            </w:r>
          </w:p>
        </w:tc>
      </w:tr>
      <w:tr>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EX-012</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CS-C1.2</w:t>
            </w:r>
          </w:p>
        </w:tc>
        <w:tc>
          <w:tcPr>
            <w:tcW w:type="dxa" w:w="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C</w:t>
            </w:r>
          </w:p>
        </w:tc>
        <w:tc>
          <w:tcPr>
            <w:tcW w:type="dxa" w:w="3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Alberta and BC client retention rules applied using Ontario defaults   |   may not meet PIPA requirements</w:t>
            </w:r>
          </w:p>
        </w:tc>
        <w:tc>
          <w:tcPr>
            <w:tcW w:type="dxa" w:w="1000"/>
            <w:tcBorders>
              <w:top w:val="single" w:color="B0C4D8" w:sz="4"/>
              <w:left w:val="single" w:color="B0C4D8" w:sz="4"/>
              <w:bottom w:val="single" w:color="B0C4D8" w:sz="4"/>
              <w:right w:val="single" w:color="B0C4D8" w:sz="4"/>
            </w:tcBorders>
            <w:shd w:fill="FFFFF0"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Medium</w:t>
            </w:r>
          </w:p>
        </w:tc>
        <w:tc>
          <w:tcPr>
            <w:tcW w:type="dxa" w:w="15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2026-08-31</w:t>
            </w:r>
          </w:p>
        </w:tc>
        <w:tc>
          <w:tcPr>
            <w:tcW w:type="dxa" w:w="7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WP-C1-002</w:t>
            </w:r>
          </w:p>
        </w:tc>
      </w:tr>
    </w:tbl>
    <w:p>
      <w:r>
        <w:br w:type="page"/>
      </w:r>
    </w:p>
    <w:p>
      <w:pPr>
        <w:pBdr>
          <w:bottom w:val="single" w:color="0D3349" w:sz="10" w:space="3"/>
        </w:pBdr>
        <w:spacing w:after="80" w:before="320"/>
      </w:pPr>
      <w:r>
        <w:rPr>
          <w:rFonts w:ascii="Calibri" w:cs="Calibri" w:eastAsia="Calibri" w:hAnsi="Calibri"/>
          <w:b/>
          <w:bCs/>
          <w:color w:val="0D3349"/>
          <w:sz w:val="26"/>
          <w:szCs w:val="26"/>
        </w:rPr>
        <w:t xml:space="preserve">6. PHIPA-SPECIFIC OBSERVATIONS</w:t>
      </w:r>
    </w:p>
    <w:p>
      <w:pPr>
        <w:spacing w:after="60" w:before="220"/>
      </w:pPr>
      <w:r>
        <w:rPr>
          <w:rFonts w:ascii="Calibri" w:cs="Calibri" w:eastAsia="Calibri" w:hAnsi="Calibri"/>
          <w:b/>
          <w:bCs/>
          <w:color w:val="0D3349"/>
          <w:sz w:val="22"/>
          <w:szCs w:val="22"/>
        </w:rPr>
        <w:t xml:space="preserve">6.1 Insider Threat   |   The Dominant Healthcare Privacy Risk</w:t>
      </w:r>
    </w:p>
    <w:p>
      <w:pPr>
        <w:spacing w:after="120" w:before="60"/>
      </w:pPr>
      <w:r>
        <w:rPr>
          <w:rFonts w:ascii="Calibri" w:cs="Calibri" w:eastAsia="Calibri" w:hAnsi="Calibri"/>
          <w:color w:val="222222"/>
          <w:sz w:val="20"/>
          <w:szCs w:val="20"/>
        </w:rPr>
        <w:t xml:space="preserve">The Ontario IPC's Annual Report consistently identifies unauthorized access to PHI by insiders (curiosity access, snooping) as the most common PHIPA breach type. Two of CareSync's 3 open patient privacy complaints relate to clinical staff accessing patient records outside their unit   |   a pattern that, if systemic, suggests an RBAC design gap. The absence of a UEBA tool (EX-003) means this pattern is not being detected proactively.</w:t>
      </w:r>
    </w:p>
    <w:p>
      <w:pPr>
        <w:pBdr>
          <w:left w:val="single" w:color="1A4A6B" w:sz="12" w:space="8"/>
        </w:pBdr>
        <w:spacing w:after="100" w:before="60"/>
        <w:ind w:left="200"/>
      </w:pPr>
      <w:r>
        <w:rPr>
          <w:rFonts w:ascii="Calibri" w:cs="Calibri" w:eastAsia="Calibri" w:hAnsi="Calibri"/>
          <w:i/>
          <w:iCs/>
          <w:color w:val="1A4A6B"/>
          <w:sz w:val="18"/>
          <w:szCs w:val="18"/>
        </w:rPr>
        <w:t xml:space="preserve">Auditor's observation: CareSync should consider implementing a 'break-glass' access model for out-of-unit PHI access   |   requiring a documented clinical justification before access is granted, with automatic Privacy Officer notification. This is becoming an emerging standard in Canadian hospital EHR systems and would materially reduce PHIPA breach exposure.</w:t>
      </w:r>
    </w:p>
    <w:p>
      <w:pPr>
        <w:spacing w:after="0" w:before="60"/>
      </w:pPr>
      <w:r>
        <w:t xml:space="preserve"/>
      </w:r>
    </w:p>
    <w:p>
      <w:pPr>
        <w:spacing w:after="60" w:before="220"/>
      </w:pPr>
      <w:r>
        <w:rPr>
          <w:rFonts w:ascii="Calibri" w:cs="Calibri" w:eastAsia="Calibri" w:hAnsi="Calibri"/>
          <w:b/>
          <w:bCs/>
          <w:color w:val="0D3349"/>
          <w:sz w:val="22"/>
          <w:szCs w:val="22"/>
        </w:rPr>
        <w:t xml:space="preserve">6.2 AI and PHI   |   An Emerging High-Risk Area</w:t>
      </w:r>
    </w:p>
    <w:p>
      <w:pPr>
        <w:spacing w:after="120" w:before="60"/>
      </w:pPr>
      <w:r>
        <w:rPr>
          <w:rFonts w:ascii="Calibri" w:cs="Calibri" w:eastAsia="Calibri" w:hAnsi="Calibri"/>
          <w:color w:val="222222"/>
          <w:sz w:val="20"/>
          <w:szCs w:val="20"/>
        </w:rPr>
        <w:t xml:space="preserve">The ClinicalAI Corp situation (EX-001) reflects a sector-wide challenge. Healthcare AI vendors are aggressively seeking PHI for model training, and Engineering teams without strong privacy governance frameworks are vulnerable to treating these relationships as technical decisions rather than privacy decisions. The Ontario IPC issued specific guidance on health data AI use in 2025, and the anticipated CPPA (Bill C-27) will further restrict secondary use of health data.</w:t>
      </w:r>
    </w:p>
    <w:p>
      <w:pPr>
        <w:spacing w:after="120" w:before="60"/>
      </w:pPr>
      <w:r>
        <w:rPr>
          <w:rFonts w:ascii="Calibri" w:cs="Calibri" w:eastAsia="Calibri" w:hAnsi="Calibri"/>
          <w:color w:val="222222"/>
          <w:sz w:val="20"/>
          <w:szCs w:val="20"/>
        </w:rPr>
        <w:t xml:space="preserve">CareSync's explicit prohibition on AI training use of PHI is correctly designed   |   the failure was in the enforcement mechanism (policy-only, no system gate). Implementing a mandatory Privacy Officer approval workflow in the vendor onboarding process (EX-010) would prevent recurrence regardless of individual judgment calls by Engineering teams.</w:t>
      </w:r>
    </w:p>
    <w:p>
      <w:pPr>
        <w:spacing w:after="0" w:before="60"/>
      </w:pPr>
      <w:r>
        <w:t xml:space="preserve"/>
      </w:r>
    </w:p>
    <w:p>
      <w:pPr>
        <w:spacing w:after="60" w:before="220"/>
      </w:pPr>
      <w:r>
        <w:rPr>
          <w:rFonts w:ascii="Calibri" w:cs="Calibri" w:eastAsia="Calibri" w:hAnsi="Calibri"/>
          <w:b/>
          <w:bCs/>
          <w:color w:val="0D3349"/>
          <w:sz w:val="22"/>
          <w:szCs w:val="22"/>
        </w:rPr>
        <w:t xml:space="preserve">6.3 Multi-Jurisdiction Complexity</w:t>
      </w:r>
    </w:p>
    <w:p>
      <w:pPr>
        <w:spacing w:after="120" w:before="60"/>
      </w:pPr>
      <w:r>
        <w:rPr>
          <w:rFonts w:ascii="Calibri" w:cs="Calibri" w:eastAsia="Calibri" w:hAnsi="Calibri"/>
          <w:color w:val="222222"/>
          <w:sz w:val="20"/>
          <w:szCs w:val="20"/>
        </w:rPr>
        <w:t xml:space="preserve">CareSync's expansion into Alberta and British Columbia has created two unsolved multi-jurisdiction privacy challenges: (1) retention rules for non-Ontario clients are applied using Ontario defaults (EX-012), which may not comply with PIPA (Alberta) or PIPA BC requirements; and (2) the Breach Response Procedure does not address multi-jurisdiction breach notification scenarios. Both gaps require attention before any further provincial expansion.</w:t>
      </w:r>
    </w:p>
    <w:p>
      <w:r>
        <w:br w:type="page"/>
      </w:r>
    </w:p>
    <w:p>
      <w:pPr>
        <w:pBdr>
          <w:bottom w:val="single" w:color="0D3349" w:sz="10" w:space="3"/>
        </w:pBdr>
        <w:spacing w:after="80" w:before="320"/>
      </w:pPr>
      <w:r>
        <w:rPr>
          <w:rFonts w:ascii="Calibri" w:cs="Calibri" w:eastAsia="Calibri" w:hAnsi="Calibri"/>
          <w:b/>
          <w:bCs/>
          <w:color w:val="0D3349"/>
          <w:sz w:val="26"/>
          <w:szCs w:val="26"/>
        </w:rPr>
        <w:t xml:space="preserve">7. SOC 2 TYPE I READINESS OPINION</w:t>
      </w:r>
    </w:p>
    <w:p>
      <w:pPr>
        <w:spacing w:after="120" w:before="60"/>
      </w:pPr>
      <w:r>
        <w:rPr>
          <w:rFonts w:ascii="Calibri" w:cs="Calibri" w:eastAsia="Calibri" w:hAnsi="Calibri"/>
          <w:color w:val="222222"/>
          <w:sz w:val="20"/>
          <w:szCs w:val="20"/>
        </w:rPr>
        <w:t xml:space="preserve">CareSync Technologies Inc. is not ready for a SOC 2 Type I examination by a licensed CPA firm in its current state. The Critical finding (EX-001   |   potential PHIPA breach involving ClinicalAI Corp) must be fully resolved   |   including completion of a PHIPA breach risk assessment and any required IPC notifications   |   before a CPA firm engagement can proceed. A CPA firm conducting a SOC 2 examination would be required to evaluate the ClinicalAI Corp situation as a potential Privacy TSC failure, and the absence of a BAA and Privacy Officer oversight would be findings in the Type I report.</w:t>
      </w:r>
    </w:p>
    <w:p>
      <w:pPr>
        <w:spacing w:after="0" w:before="60"/>
      </w:pPr>
      <w:r>
        <w:t xml:space="preserve"/>
      </w:r>
    </w:p>
    <w:p>
      <w:pPr>
        <w:spacing w:after="120" w:before="60"/>
      </w:pPr>
      <w:r>
        <w:rPr>
          <w:rFonts w:ascii="Calibri" w:cs="Calibri" w:eastAsia="Calibri" w:hAnsi="Calibri"/>
          <w:color w:val="222222"/>
          <w:sz w:val="20"/>
          <w:szCs w:val="20"/>
        </w:rPr>
        <w:t xml:space="preserve">The following conditions must be met before CPA firm engagement:</w:t>
      </w:r>
    </w:p>
    <w:p>
      <w:pPr>
        <w:pStyle w:val="ListParagraph"/>
        <w:numPr>
          <w:ilvl w:val="0"/>
          <w:numId w:val="2"/>
        </w:numPr>
        <w:spacing w:after="40" w:before="40"/>
      </w:pPr>
      <w:r>
        <w:rPr>
          <w:rFonts w:ascii="Calibri" w:cs="Calibri" w:eastAsia="Calibri" w:hAnsi="Calibri"/>
          <w:color w:val="222222"/>
          <w:sz w:val="19"/>
          <w:szCs w:val="19"/>
        </w:rPr>
        <w:t xml:space="preserve">EX-001: PHIPA breach risk assessment completed; IPC notification made if required; PHI sharing with ClinicalAI Corp suspended; BAA executed before any sharing resumes</w:t>
      </w:r>
    </w:p>
    <w:p>
      <w:pPr>
        <w:pStyle w:val="ListParagraph"/>
        <w:numPr>
          <w:ilvl w:val="0"/>
          <w:numId w:val="2"/>
        </w:numPr>
        <w:spacing w:after="40" w:before="40"/>
      </w:pPr>
      <w:r>
        <w:rPr>
          <w:rFonts w:ascii="Calibri" w:cs="Calibri" w:eastAsia="Calibri" w:hAnsi="Calibri"/>
          <w:color w:val="222222"/>
          <w:sz w:val="19"/>
          <w:szCs w:val="19"/>
        </w:rPr>
        <w:t xml:space="preserve">EX-002, EX-007: Both vendor BAA situations resolved   |   BAAs executed or PHI sharing suspended</w:t>
      </w:r>
    </w:p>
    <w:p>
      <w:pPr>
        <w:pStyle w:val="ListParagraph"/>
        <w:numPr>
          <w:ilvl w:val="0"/>
          <w:numId w:val="2"/>
        </w:numPr>
        <w:spacing w:after="40" w:before="40"/>
      </w:pPr>
      <w:r>
        <w:rPr>
          <w:rFonts w:ascii="Calibri" w:cs="Calibri" w:eastAsia="Calibri" w:hAnsi="Calibri"/>
          <w:color w:val="222222"/>
          <w:sz w:val="19"/>
          <w:szCs w:val="19"/>
        </w:rPr>
        <w:t xml:space="preserve">EX-005: Super user PHIPA justifications obtained or access restricted</w:t>
      </w:r>
    </w:p>
    <w:p>
      <w:pPr>
        <w:pStyle w:val="ListParagraph"/>
        <w:numPr>
          <w:ilvl w:val="0"/>
          <w:numId w:val="2"/>
        </w:numPr>
        <w:spacing w:after="40" w:before="40"/>
      </w:pPr>
      <w:r>
        <w:rPr>
          <w:rFonts w:ascii="Calibri" w:cs="Calibri" w:eastAsia="Calibri" w:hAnsi="Calibri"/>
          <w:color w:val="222222"/>
          <w:sz w:val="19"/>
          <w:szCs w:val="19"/>
        </w:rPr>
        <w:t xml:space="preserve">EX-006: Alert muting documented and thresholds recalibrated</w:t>
      </w:r>
    </w:p>
    <w:p>
      <w:pPr>
        <w:pStyle w:val="ListParagraph"/>
        <w:numPr>
          <w:ilvl w:val="0"/>
          <w:numId w:val="2"/>
        </w:numPr>
        <w:spacing w:after="40" w:before="40"/>
      </w:pPr>
      <w:r>
        <w:rPr>
          <w:rFonts w:ascii="Calibri" w:cs="Calibri" w:eastAsia="Calibri" w:hAnsi="Calibri"/>
          <w:color w:val="222222"/>
          <w:sz w:val="19"/>
          <w:szCs w:val="19"/>
        </w:rPr>
        <w:t xml:space="preserve">EX-009: Deficiency register implemented and prior deficiencies back-populated</w:t>
      </w:r>
    </w:p>
    <w:p>
      <w:pPr>
        <w:spacing w:after="0" w:before="60"/>
      </w:pPr>
      <w:r>
        <w:t xml:space="preserve"/>
      </w:r>
    </w:p>
    <w:p>
      <w:pPr>
        <w:spacing w:after="120" w:before="60"/>
      </w:pPr>
      <w:r>
        <w:rPr>
          <w:rFonts w:ascii="Calibri" w:cs="Calibri" w:eastAsia="Calibri" w:hAnsi="Calibri"/>
          <w:color w:val="222222"/>
          <w:sz w:val="20"/>
          <w:szCs w:val="20"/>
        </w:rPr>
        <w:t xml:space="preserve">The following can be treated as in-progress items during the CPA firm engagement, provided remediation plans are documented and active:</w:t>
      </w:r>
    </w:p>
    <w:p>
      <w:pPr>
        <w:pStyle w:val="ListParagraph"/>
        <w:numPr>
          <w:ilvl w:val="0"/>
          <w:numId w:val="2"/>
        </w:numPr>
        <w:spacing w:after="40" w:before="40"/>
      </w:pPr>
      <w:r>
        <w:rPr>
          <w:rFonts w:ascii="Calibri" w:cs="Calibri" w:eastAsia="Calibri" w:hAnsi="Calibri"/>
          <w:color w:val="222222"/>
          <w:sz w:val="19"/>
          <w:szCs w:val="19"/>
        </w:rPr>
        <w:t xml:space="preserve">EX-003: UEBA procurement   |   acceptable if interim manual review is in place</w:t>
      </w:r>
    </w:p>
    <w:p>
      <w:pPr>
        <w:pStyle w:val="ListParagraph"/>
        <w:numPr>
          <w:ilvl w:val="0"/>
          <w:numId w:val="2"/>
        </w:numPr>
        <w:spacing w:after="40" w:before="40"/>
      </w:pPr>
      <w:r>
        <w:rPr>
          <w:rFonts w:ascii="Calibri" w:cs="Calibri" w:eastAsia="Calibri" w:hAnsi="Calibri"/>
          <w:color w:val="222222"/>
          <w:sz w:val="19"/>
          <w:szCs w:val="19"/>
        </w:rPr>
        <w:t xml:space="preserve">EX-004: Client deprovisioning   |   acceptable if contractual remediation is underway</w:t>
      </w:r>
    </w:p>
    <w:p>
      <w:pPr>
        <w:pStyle w:val="ListParagraph"/>
        <w:numPr>
          <w:ilvl w:val="0"/>
          <w:numId w:val="2"/>
        </w:numPr>
        <w:spacing w:after="40" w:before="40"/>
      </w:pPr>
      <w:r>
        <w:rPr>
          <w:rFonts w:ascii="Calibri" w:cs="Calibri" w:eastAsia="Calibri" w:hAnsi="Calibri"/>
          <w:color w:val="222222"/>
          <w:sz w:val="19"/>
          <w:szCs w:val="19"/>
        </w:rPr>
        <w:t xml:space="preserve">EX-008, EX-010: Consent audit trail and secondary use workflow   |   acceptable if sprint commitment is documented</w:t>
      </w:r>
    </w:p>
    <w:p>
      <w:pPr>
        <w:spacing w:after="0" w:before="60"/>
      </w:pPr>
      <w:r>
        <w:t xml:space="preserve"/>
      </w:r>
    </w:p>
    <w:p>
      <w:pPr>
        <w:pBdr>
          <w:left w:val="single" w:color="1A4A6B" w:sz="12" w:space="8"/>
        </w:pBdr>
        <w:spacing w:after="100" w:before="60"/>
        <w:ind w:left="200"/>
      </w:pPr>
      <w:r>
        <w:rPr>
          <w:rFonts w:ascii="Calibri" w:cs="Calibri" w:eastAsia="Calibri" w:hAnsi="Calibri"/>
          <w:i/>
          <w:iCs/>
          <w:color w:val="1A4A6B"/>
          <w:sz w:val="18"/>
          <w:szCs w:val="18"/>
        </w:rPr>
        <w:t xml:space="preserve">Auditor's recommendation: CareSync should schedule an internal pre-CPA validation in August 2026 to verify all Critical and High exceptions are resolved before engaging a CPA firm. Given the PHIPA complexity of this environment, the auditor recommends engaging a CPA firm with demonstrated Canadian healthcare SOC 2 experience   |   specifically one familiar with PHIPA's interaction with SOC 2 Privacy TSC. The IPC has published guidance on SOC 2 for Ontario health agents that the selected CPA firm should be familiar with.</w:t>
      </w:r>
    </w:p>
    <w:p>
      <w:r>
        <w:br w:type="page"/>
      </w:r>
    </w:p>
    <w:p>
      <w:pPr>
        <w:pBdr>
          <w:bottom w:val="single" w:color="0D3349" w:sz="10" w:space="3"/>
        </w:pBdr>
        <w:spacing w:after="80" w:before="320"/>
      </w:pPr>
      <w:r>
        <w:rPr>
          <w:rFonts w:ascii="Calibri" w:cs="Calibri" w:eastAsia="Calibri" w:hAnsi="Calibri"/>
          <w:b/>
          <w:bCs/>
          <w:color w:val="0D3349"/>
          <w:sz w:val="26"/>
          <w:szCs w:val="26"/>
        </w:rPr>
        <w:t xml:space="preserve">8. REPORT APPROVAL AND DISTRIBUTION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Prepared By</w:t>
            </w:r>
          </w:p>
        </w:tc>
        <w:tc>
          <w:tcPr>
            <w:tcW w:type="dxa" w:w="3067"/>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Reviewed By</w:t>
            </w:r>
          </w:p>
        </w:tc>
        <w:tc>
          <w:tcPr>
            <w:tcW w:type="dxa" w:w="3067"/>
            <w:tcBorders>
              <w:top w:val="single" w:color="0D3349" w:sz="8"/>
              <w:left w:val="single" w:color="B0C4D8" w:sz="4"/>
              <w:bottom w:val="single" w:color="0D3349" w:sz="8"/>
              <w:right w:val="single" w:color="B0C4D8" w:sz="4"/>
            </w:tcBorders>
            <w:shd w:fill="0D3349"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Approved For Distribution</w:t>
            </w:r>
          </w:p>
        </w:tc>
      </w:tr>
      <w:tr>
        <w:tc>
          <w:tcPr>
            <w:tcW w:type="dxa" w:w="3066"/>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Edem Messiga
ISO 27001 Certified Lead Auditor
Privacy &amp; Compliance Office
May 25, 2026</w:t>
            </w:r>
          </w:p>
        </w:tc>
        <w:tc>
          <w:tcPr>
            <w:tcW w:type="dxa" w:w="3067"/>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[Privacy Officer]
[Name]
[Date]</w:t>
            </w:r>
          </w:p>
        </w:tc>
        <w:tc>
          <w:tcPr>
            <w:tcW w:type="dxa" w:w="3067"/>
            <w:tcBorders>
              <w:top w:val="single" w:color="B0C4D8" w:sz="4"/>
              <w:left w:val="single" w:color="B0C4D8" w:sz="4"/>
              <w:bottom w:val="single" w:color="B0C4D8" w:sz="4"/>
              <w:right w:val="single" w:color="B0C4D8" w:sz="4"/>
            </w:tcBorders>
            <w:shd w:fill="F0F5F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[CEO / CISO]
[Name]
[Date]</w:t>
            </w:r>
          </w:p>
        </w:tc>
      </w:tr>
    </w:tbl>
    <w:p>
      <w:pPr>
        <w:spacing w:after="0" w:before="60"/>
      </w:pPr>
      <w:r>
        <w:t xml:space="preserve"/>
      </w:r>
    </w:p>
    <w:p>
      <w:pPr>
        <w:spacing w:after="40" w:before="60"/>
      </w:pPr>
      <w:r>
        <w:rPr>
          <w:rFonts w:ascii="Calibri" w:cs="Calibri" w:eastAsia="Calibri" w:hAnsi="Calibri"/>
          <w:color w:val="222222"/>
          <w:sz w:val="20"/>
          <w:szCs w:val="20"/>
        </w:rPr>
        <w:t xml:space="preserve">Distribution: Privacy Officer, CISO, CEO, Board Audit Committee. This report contains sensitive findings including a potential PHIPA breach. Redistribution beyond named recipients is prohibited without CEO approval.</w:t>
      </w:r>
    </w:p>
    <w:p>
      <w:pPr>
        <w:spacing w:after="20" w:before="20"/>
      </w:pPr>
      <w:r>
        <w:rPr>
          <w:rFonts w:ascii="Calibri" w:cs="Calibri" w:eastAsia="Calibri" w:hAnsi="Calibri"/>
          <w:color w:val="222222"/>
          <w:sz w:val="20"/>
          <w:szCs w:val="20"/>
        </w:rPr>
        <w:t xml:space="preserve">All entities, systems, individuals, and regulatory citations are fictional or used for illustrative purposes. This document was created for professional portfolio and development purposes only.</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2026-05-28T21:58:51.464Z</dcterms:created>
  <dcterms:modified xsi:type="dcterms:W3CDTF">2026-05-28T21:58:51.476Z</dcterms:modified>
</cp:coreProperties>
</file>

<file path=docProps/custom.xml><?xml version="1.0" encoding="utf-8"?>
<Properties xmlns="http://schemas.openxmlformats.org/officeDocument/2006/custom-properties" xmlns:vt="http://schemas.openxmlformats.org/officeDocument/2006/docPropsVTypes"/>
</file>