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EDEN PARTNER GROUP</w:t>
      </w:r>
    </w:p>
    <w:p>
      <w:r>
        <w:rPr>
          <w:b/>
          <w:sz w:val="32"/>
        </w:rPr>
        <w:t>Split Partner Agreement</w:t>
      </w:r>
    </w:p>
    <w:p>
      <w:r>
        <w:rPr>
          <w:i/>
          <w:sz w:val="20"/>
        </w:rPr>
        <w:t>Version 2 · 30 October 2026 · incorporates the Vesta Search redlines of 28 July 2026 and Eden's payment terms of 30 October 2026</w:t>
      </w:r>
    </w:p>
    <w:p>
      <w:r>
        <w:t>This Split Partner Agreement (the "Agreement") is made between:</w:t>
      </w:r>
    </w:p>
    <w:p>
      <w:r>
        <w:t>Party A: Vesta Search, LLC, represented by Brian Skenandore, Founder &amp; Chief Recruiter ("Vesta"); and</w:t>
      </w:r>
    </w:p>
    <w:p>
      <w:r>
        <w:t>Party B: Eden Partner Group LLC, doing business with Eden Executive Search, represented by Kevin Williams, Founding Partner / CEO ("Eden").</w:t>
      </w:r>
    </w:p>
    <w:p>
      <w:r>
        <w:t>Each is a "party" and together the "parties". The Agreement takes effect on the date of the last signature below (the "Effective Date").</w:t>
      </w:r>
    </w:p>
    <w:p>
      <w:pPr>
        <w:spacing w:before="200"/>
      </w:pPr>
      <w:r>
        <w:rPr>
          <w:b/>
        </w:rPr>
        <w:t>1. Scope of Work</w:t>
      </w:r>
    </w:p>
    <w:p>
      <w:r>
        <w:t>The parties will work together on executive search placements. Either party may recruit candidates for the other party's clients. For each placement, the party that holds the client relationship and fee agreement is the "client-side recruiter", and the party that sourced and represents the candidate is the "candidate-side recruiter". The client-side recruiter alone decides whether a candidate is submitted to its client and handles all communication with that client unless it agrees otherwise.</w:t>
      </w:r>
    </w:p>
    <w:p>
      <w:r>
        <w:t>This Agreement also governs every candidate and job order the parties have exchanged since 22 July 2026, including Robert ("Bob") Gianni, as if it had been signed on that date.</w:t>
      </w:r>
    </w:p>
    <w:p>
      <w:pPr>
        <w:spacing w:before="200"/>
      </w:pPr>
      <w:r>
        <w:rPr>
          <w:b/>
        </w:rPr>
        <w:t>2. Split Model</w:t>
      </w:r>
    </w:p>
    <w:p>
      <w:r>
        <w:t>Selected model:  ☒ 50% / 50% Split Fee Model     ☐ 70% Full / 35% Split Model</w:t>
      </w:r>
    </w:p>
    <w:p>
      <w:r>
        <w:t>Under the 50% / 50% model, job orders and resumes are shared as the work comes in, Eden's admin team is not involved, and each party receives 50% of the Fee on every placement made under this Agreement. The parties may move to the 70% / 35% model only by a signed written amendment.</w:t>
      </w:r>
    </w:p>
    <w:p>
      <w:r>
        <w:t>"Fee" means the placement fee the client actually pays for a placement, less any refund, credit or discount given to that client for that placement, and excluding sales tax and reimbursed expenses.</w:t>
      </w:r>
    </w:p>
    <w:p>
      <w:r>
        <w:t>Where one party does materially less than its expected share of the work on a placement, the parties will agree a fair adjustment using the four-quadrant guide in Exhibit A.</w:t>
      </w:r>
    </w:p>
    <w:p>
      <w:pPr>
        <w:spacing w:before="200"/>
      </w:pPr>
      <w:r>
        <w:rPr>
          <w:b/>
        </w:rPr>
        <w:t>3. Candidate Ownership</w:t>
      </w:r>
    </w:p>
    <w:p>
      <w:r>
        <w:t>As between the parties, a candidate belongs to the party that first submitted that candidate to the client for the open role, with the client's acknowledgment (a "valid submittal"). A submittal is valid only if (a) the candidate consented to it in writing beforehand, and (b) the candidate was not already active with that client, directly or through the other party, at the time. If both parties claim the same candidate for the same role, the Fee follows the first valid submittal. If the first valid submittal cannot be determined, the parties split the disputed Fee equally.</w:t>
      </w:r>
    </w:p>
    <w:p>
      <w:pPr>
        <w:spacing w:before="200"/>
      </w:pPr>
      <w:r>
        <w:rPr>
          <w:b/>
        </w:rPr>
        <w:t>4. Invoicing and Payment</w:t>
      </w:r>
    </w:p>
    <w:p>
      <w:r>
        <w:t>4.1 The client-side recruiter will invoice the client on the candidate's start date and will send the candidate-side recruiter a copy of the invoice.</w:t>
      </w:r>
    </w:p>
    <w:p>
      <w:r>
        <w:t>4.2 The client-side recruiter will pay the candidate-side recruiter its full share within 5 business days after receiving payment of the Fee from the client. The share is payable only from Fees actually collected.</w:t>
      </w:r>
    </w:p>
    <w:p>
      <w:r>
        <w:t>4.3 If a client is late in paying, the parties will work together in good faith to agree on the best course of action. Neither party will discount, settle or write off a Fee without the other party's agreement; any discount, settlement or write-off the parties agree reduces both shares in proportion.</w:t>
      </w:r>
    </w:p>
    <w:p>
      <w:r>
        <w:t>4.4 The client-side recruiter will tell the candidate-side recruiter the client's guarantee terms (length, what triggers them, and the remedy) before or at the time it shares the job order.</w:t>
      </w:r>
    </w:p>
    <w:p>
      <w:pPr>
        <w:spacing w:before="200"/>
      </w:pPr>
      <w:r>
        <w:rPr>
          <w:b/>
        </w:rPr>
        <w:t>5. Guarantee, Replacement and Refund</w:t>
      </w:r>
    </w:p>
    <w:p>
      <w:r>
        <w:t>5.1 If a placed candidate leaves during the guarantee period and the client is entitled to a replacement, both parties will work in good faith and give the replacement search priority. The replacement is made at no additional fee to the client, and no new Fee is split on it.</w:t>
      </w:r>
    </w:p>
    <w:p>
      <w:r>
        <w:t>5.2 If the client is instead entitled to a refund or credit (or no replacement is made within the time the client agreement allows, or within 90 days if it states none), the refund or credit is borne by the parties in proportion to their shares. If the candidate-side recruiter has already been paid, it repays its proportionate part within 30 days after written notice with a copy of the client's refund or credit.</w:t>
      </w:r>
    </w:p>
    <w:p>
      <w:r>
        <w:t>5.3 Each party's obligations under this section match what the client agreement requires, no more and no less. A party's remedy for a missed replacement is limited to the refund-sharing in section 5.2 for that placement; neither party may withhold payments owed on unrelated placements.</w:t>
      </w:r>
    </w:p>
    <w:p>
      <w:pPr>
        <w:spacing w:before="200"/>
      </w:pPr>
      <w:r>
        <w:rPr>
          <w:b/>
        </w:rPr>
        <w:t>6. Confidentiality</w:t>
      </w:r>
    </w:p>
    <w:p>
      <w:r>
        <w:t>Both parties will keep confidential all proprietary information exchanged under this Agreement, including client lists, candidate information and other sensitive data. Confidential information is also governed by the parties' Mutual Non-Disclosure Agreement (the "NDA"), which controls if it conflicts with this section and continues in force alongside this Agreement.</w:t>
      </w:r>
    </w:p>
    <w:p>
      <w:pPr>
        <w:spacing w:before="200"/>
      </w:pPr>
      <w:r>
        <w:rPr>
          <w:b/>
        </w:rPr>
        <w:t>7. Non-Solicitation</w:t>
      </w:r>
    </w:p>
    <w:p>
      <w:r>
        <w:t>While this Agreement is in effect and for 12 months after it ends, neither party will, directly or indirectly, solicit or accept work from any client the other party introduced or worked with under this Agreement, except a client (a) with whom it had a relationship before that introduction, or (b) that it developed independently of this Agreement. A party relying on (a) or (b) must be able to show it with records created before the introduction or without use of the other party's information. The parties may waive this section in writing when the Agreement ends.</w:t>
      </w:r>
    </w:p>
    <w:p>
      <w:pPr>
        <w:spacing w:before="200"/>
      </w:pPr>
      <w:r>
        <w:rPr>
          <w:b/>
        </w:rPr>
        <w:t>8. Term and Termination</w:t>
      </w:r>
    </w:p>
    <w:p>
      <w:r>
        <w:t>This Agreement begins on the Effective Date and continues until either party ends it on 30 days' written notice. Ending the Agreement does not affect any Fee share already earned. The parties will continue to split Fees, on the terms of this Agreement, for any candidate submitted before termination who is placed within 12 months after it.</w:t>
      </w:r>
    </w:p>
    <w:p>
      <w:pPr>
        <w:spacing w:before="200"/>
      </w:pPr>
      <w:r>
        <w:rPr>
          <w:b/>
        </w:rPr>
        <w:t>9. Independent Businesses</w:t>
      </w:r>
    </w:p>
    <w:p>
      <w:r>
        <w:t>The parties are independent businesses. Nothing in this Agreement creates an employment, partnership, joint venture or agency relationship, and neither party may bind the other. Each party is responsible for its own taxes, insurance, staff and expenses. Vesta will give Eden a completed IRS Form W-9 before the first payment.</w:t>
      </w:r>
    </w:p>
    <w:p>
      <w:pPr>
        <w:spacing w:before="200"/>
      </w:pPr>
      <w:r>
        <w:rPr>
          <w:b/>
        </w:rPr>
        <w:t>10. Indemnification and Limitation of Liability</w:t>
      </w:r>
    </w:p>
    <w:p>
      <w:r>
        <w:t>10.1 Each party will indemnify the other against third-party claims to the extent they arise from the indemnifying party's own negligence, willful misconduct or breach of this Agreement.</w:t>
      </w:r>
    </w:p>
    <w:p>
      <w:r>
        <w:t>10.2 Neither party is liable to the other for indirect, incidental, consequential or punitive damages. Except as stated in 10.3, each party's total liability under this Agreement will not exceed the Fee shares paid or payable to that party under this Agreement in the 12 months before the claim.</w:t>
      </w:r>
    </w:p>
    <w:p>
      <w:r>
        <w:t>10.3 Section 10.2 does not limit (a) Fee shares owed under sections 4 and 5, (b) liability for breach of section 6, section 7 or the NDA, including Fees the injured party would have earned, (c) the indemnity in 10.1, or (d) liability for fraud or willful misconduct.</w:t>
      </w:r>
    </w:p>
    <w:p>
      <w:pPr>
        <w:spacing w:before="200"/>
      </w:pPr>
      <w:r>
        <w:rPr>
          <w:b/>
        </w:rPr>
        <w:t>11. General</w:t>
      </w:r>
    </w:p>
    <w:p>
      <w:r>
        <w:t>Governing law and disputes. Washington law governs this Agreement. Before going to court, the parties will try in good faith for 15 days to resolve any dispute by direct conversation. Any lawsuit will be brought in the state or federal courts located in Washington.</w:t>
      </w:r>
    </w:p>
    <w:p>
      <w:r>
        <w:t>Notices. Notices under this Agreement may be given by email to the addresses below the signatures and take effect when sent.</w:t>
      </w:r>
    </w:p>
    <w:p>
      <w:r>
        <w:t>Amendments. Any amendment must be in writing and signed by both parties.</w:t>
      </w:r>
    </w:p>
    <w:p>
      <w:r>
        <w:t>Severability. If any provision is found unenforceable, it will be enforced to the maximum extent allowed and the rest of the Agreement continues in effect.</w:t>
      </w:r>
    </w:p>
    <w:p>
      <w:r>
        <w:t>Entire agreement. This Agreement and the NDA are the entire agreement between the parties on this subject and replace all earlier drafts and understandings, including the July 2026 drafts.</w:t>
      </w:r>
    </w:p>
    <w:p>
      <w:r>
        <w:t>Counterparts. This Agreement may be signed electronically and in counterparts.</w:t>
      </w:r>
    </w:p>
    <w:p>
      <w:pPr>
        <w:spacing w:before="200"/>
      </w:pPr>
      <w:r>
        <w:rPr>
          <w:b/>
        </w:rPr>
        <w:t>12. The Be Good Humans Clause</w:t>
      </w:r>
    </w:p>
    <w:p>
      <w:r>
        <w:t>Both parties agree to operate as an equal team, with each other's best interest at heart, as we are called to do in Philippians 2:3-4. Both parties agree that the love of money is the root of all evil and will seek to operate ethically at all times. Should a compensation issue arise, both parties agree to practice "radical candor" to find a mutually acceptable solution.</w:t>
      </w:r>
    </w:p>
    <w:p>
      <w:pPr>
        <w:spacing w:before="200"/>
      </w:pPr>
      <w:r>
        <w:rPr>
          <w:b/>
        </w:rPr>
        <w:t>Signatures</w:t>
      </w:r>
    </w:p>
    <w:p>
      <w:pPr>
        <w:spacing w:before="200"/>
      </w:pPr>
      <w:r>
        <w:rPr>
          <w:b/>
        </w:rPr>
        <w:t>Party A: Vesta Search, LLC</w:t>
      </w:r>
    </w:p>
    <w:p>
      <w:r>
        <w:t>Signature: ______________________________</w:t>
      </w:r>
    </w:p>
    <w:p>
      <w:r>
        <w:t>Name: Brian Skenandore</w:t>
      </w:r>
    </w:p>
    <w:p>
      <w:r>
        <w:t>Title: Founder &amp; Chief Recruiter</w:t>
      </w:r>
    </w:p>
    <w:p>
      <w:r>
        <w:t>Email: brian@vesta-search.com</w:t>
      </w:r>
    </w:p>
    <w:p>
      <w:r>
        <w:t>Date: ____________________</w:t>
      </w:r>
    </w:p>
    <w:p>
      <w:pPr>
        <w:spacing w:before="200"/>
      </w:pPr>
      <w:r>
        <w:rPr>
          <w:b/>
        </w:rPr>
        <w:t>Party B: Eden Partner Group LLC</w:t>
      </w:r>
    </w:p>
    <w:p>
      <w:r>
        <w:t>Signature: ______________________________</w:t>
      </w:r>
    </w:p>
    <w:p>
      <w:r>
        <w:t>Name: Kevin Williams</w:t>
      </w:r>
    </w:p>
    <w:p>
      <w:r>
        <w:t>Title: Founding Partner / CEO</w:t>
      </w:r>
    </w:p>
    <w:p>
      <w:r>
        <w:t>Email: kev@edenexec.com</w:t>
      </w:r>
    </w:p>
    <w:p>
      <w:r>
        <w:t>Date: ____________________</w:t>
      </w:r>
    </w:p>
    <w:p>
      <w:r>
        <w:br w:type="page"/>
      </w:r>
    </w:p>
    <w:p>
      <w:pPr>
        <w:spacing w:before="200"/>
      </w:pPr>
      <w:r>
        <w:rPr>
          <w:b/>
        </w:rPr>
        <w:t>Exhibit A: Deal Quadrants and Expectations (guide)</w:t>
      </w:r>
    </w:p>
    <w:p>
      <w:r>
        <w:t>Each placement has four quadrants, each worth 25% of the total available commission (under the 50/50 model, 100% of the Fee):</w:t>
      </w:r>
    </w:p>
    <w:p>
      <w:pPr>
        <w:pStyle w:val="ListBullet"/>
      </w:pPr>
      <w:r>
        <w:t>1. Source, introduction and resume (candidate side): 25%.</w:t>
      </w:r>
    </w:p>
    <w:p>
      <w:pPr>
        <w:pStyle w:val="ListBullet"/>
      </w:pPr>
      <w:r>
        <w:t>2. Submittal and interview prep (candidate side): 25%.</w:t>
      </w:r>
    </w:p>
    <w:p>
      <w:pPr>
        <w:pStyle w:val="ListBullet"/>
      </w:pPr>
      <w:r>
        <w:t>3. Interview process, reference checks and quality control (client side): 25%.</w:t>
      </w:r>
    </w:p>
    <w:p>
      <w:pPr>
        <w:pStyle w:val="ListBullet"/>
      </w:pPr>
      <w:r>
        <w:t>4. Offer closing, invoicing and quality control (client side): 25%.</w:t>
      </w:r>
    </w:p>
    <w:p>
      <w:r>
        <w:t>Example under the 70% model: a $30,000 fee gives $21,000 of available commission, so each quadrant is worth $5,250. Laying out expectations for the whole process up front keeps either side from feeling it carried more than its share.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