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Sure or gamble experiment brief</w:t>
      </w:r>
    </w:p>
    <w:p>
      <w:pPr>
        <w:pStyle w:val="Subtitle"/>
      </w:pPr>
      <w:r>
        <w:t>Class 8 live demonstration</w:t>
      </w:r>
    </w:p>
    <w:p>
      <w:r>
        <w:t>This document gives Codex the complete specification for a small oTree experiment. Build it when asked in the live prompt, not merely because this file is present. Everyone makes six choices in the same order. All points are hypothetical and no money is paid. The accompanying preregistration provides the research background and analysis plan.</w:t>
      </w:r>
    </w:p>
    <w:p>
      <w:pPr>
        <w:pStyle w:val="Heading1"/>
      </w:pPr>
      <w:r>
        <w:t>Participant journey</w:t>
      </w:r>
    </w:p>
    <w:p>
      <w:r>
        <w:t>Opening and consent → six decision pages → thank you. Show one decision per page, with “Decision 1 of 6” and the two options. The first build uses ordinary radio buttons and a Next button. A later live prompt replaces these with two equally prominent choice buttons.</w:t>
      </w:r>
    </w:p>
    <w:p>
      <w:pPr>
        <w:pStyle w:val="Heading1"/>
      </w:pPr>
      <w:r>
        <w:t>The six decisions</w:t>
      </w:r>
    </w:p>
    <w:tbl>
      <w:tblPr>
        <w:tblW w:type="auto" w:w="0"/>
        <w:jc w:val="center"/>
        <w:tblLayout w:type="fixed"/>
        <w:tblLook w:firstColumn="1" w:firstRow="1" w:lastColumn="0" w:lastRow="0" w:noHBand="0" w:noVBand="1" w:val="04A0"/>
      </w:tblPr>
      <w:tblGrid>
        <w:gridCol w:w="1296"/>
        <w:gridCol w:w="3096"/>
        <w:gridCol w:w="5112"/>
      </w:tblGrid>
      <w:tr>
        <w:trPr>
          <w:tblHeader/>
        </w:trPr>
        <w:tc>
          <w:tcPr>
            <w:tcW w:type="dxa" w:w="12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E5ECF0"/>
          </w:tcPr>
          <w:p>
            <w:pPr>
              <w:spacing w:after="0" w:line="240" w:lineRule="auto"/>
              <w:jc w:val="center"/>
            </w:pPr>
            <w:r>
              <w:rPr>
                <w:b/>
                <w:sz w:val="22"/>
              </w:rPr>
              <w:t>Decision</w:t>
            </w:r>
          </w:p>
        </w:tc>
        <w:tc>
          <w:tcPr>
            <w:tcW w:type="dxa" w:w="30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E5ECF0"/>
          </w:tcPr>
          <w:p>
            <w:pPr>
              <w:spacing w:after="0" w:line="240" w:lineRule="auto"/>
              <w:jc w:val="center"/>
            </w:pPr>
            <w:r>
              <w:rPr>
                <w:b/>
                <w:sz w:val="22"/>
              </w:rPr>
              <w:t>Option A</w:t>
            </w:r>
          </w:p>
        </w:tc>
        <w:tc>
          <w:tcPr>
            <w:tcW w:type="dxa" w:w="51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E5ECF0"/>
          </w:tcPr>
          <w:p>
            <w:pPr>
              <w:spacing w:after="0" w:line="240" w:lineRule="auto"/>
              <w:jc w:val="center"/>
            </w:pPr>
            <w:r>
              <w:rPr>
                <w:b/>
                <w:sz w:val="22"/>
              </w:rPr>
              <w:t>Option B</w:t>
            </w:r>
          </w:p>
        </w:tc>
      </w:tr>
      <w:tr>
        <w:tc>
          <w:tcPr>
            <w:tcW w:type="dxa" w:w="12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1</w:t>
            </w:r>
          </w:p>
        </w:tc>
        <w:tc>
          <w:tcPr>
            <w:tcW w:type="dxa" w:w="30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10 points for sure</w:t>
            </w:r>
          </w:p>
        </w:tc>
        <w:tc>
          <w:tcPr>
            <w:tcW w:type="dxa" w:w="51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50% chance of 12 points</w:t>
              <w:br/>
              <w:t>50% chance of 0 points</w:t>
            </w:r>
          </w:p>
        </w:tc>
      </w:tr>
      <w:tr>
        <w:tc>
          <w:tcPr>
            <w:tcW w:type="dxa" w:w="12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2</w:t>
            </w:r>
          </w:p>
        </w:tc>
        <w:tc>
          <w:tcPr>
            <w:tcW w:type="dxa" w:w="30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10 points for sure</w:t>
            </w:r>
          </w:p>
        </w:tc>
        <w:tc>
          <w:tcPr>
            <w:tcW w:type="dxa" w:w="51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50% chance of 16 points</w:t>
              <w:br/>
              <w:t>50% chance of 0 points</w:t>
            </w:r>
          </w:p>
        </w:tc>
      </w:tr>
      <w:tr>
        <w:tc>
          <w:tcPr>
            <w:tcW w:type="dxa" w:w="12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3</w:t>
            </w:r>
          </w:p>
        </w:tc>
        <w:tc>
          <w:tcPr>
            <w:tcW w:type="dxa" w:w="30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10 points for sure</w:t>
            </w:r>
          </w:p>
        </w:tc>
        <w:tc>
          <w:tcPr>
            <w:tcW w:type="dxa" w:w="51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50% chance of 20 points</w:t>
              <w:br/>
              <w:t>50% chance of 0 points</w:t>
            </w:r>
          </w:p>
        </w:tc>
      </w:tr>
      <w:tr>
        <w:tc>
          <w:tcPr>
            <w:tcW w:type="dxa" w:w="12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4</w:t>
            </w:r>
          </w:p>
        </w:tc>
        <w:tc>
          <w:tcPr>
            <w:tcW w:type="dxa" w:w="30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10 points for sure</w:t>
            </w:r>
          </w:p>
        </w:tc>
        <w:tc>
          <w:tcPr>
            <w:tcW w:type="dxa" w:w="51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50% chance of 24 points</w:t>
              <w:br/>
              <w:t>50% chance of 0 points</w:t>
            </w:r>
          </w:p>
        </w:tc>
      </w:tr>
      <w:tr>
        <w:tc>
          <w:tcPr>
            <w:tcW w:type="dxa" w:w="12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5</w:t>
            </w:r>
          </w:p>
        </w:tc>
        <w:tc>
          <w:tcPr>
            <w:tcW w:type="dxa" w:w="30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10 points for sure</w:t>
            </w:r>
          </w:p>
        </w:tc>
        <w:tc>
          <w:tcPr>
            <w:tcW w:type="dxa" w:w="51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50% chance of 28 points</w:t>
              <w:br/>
              <w:t>50% chance of 0 points</w:t>
            </w:r>
          </w:p>
        </w:tc>
      </w:tr>
      <w:tr>
        <w:tc>
          <w:tcPr>
            <w:tcW w:type="dxa" w:w="12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6</w:t>
            </w:r>
          </w:p>
        </w:tc>
        <w:tc>
          <w:tcPr>
            <w:tcW w:type="dxa" w:w="30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10 points for sure</w:t>
            </w:r>
          </w:p>
        </w:tc>
        <w:tc>
          <w:tcPr>
            <w:tcW w:type="dxa" w:w="51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0" w:lineRule="auto"/>
              <w:jc w:val="center"/>
            </w:pPr>
            <w:r>
              <w:rPr>
                <w:b w:val="0"/>
                <w:sz w:val="22"/>
              </w:rPr>
              <w:t>50% chance of 32 points</w:t>
              <w:br/>
              <w:t>50% chance of 0 points</w:t>
            </w:r>
          </w:p>
        </w:tc>
      </w:tr>
    </w:tbl>
    <w:p>
      <w:pPr>
        <w:spacing w:before="140"/>
      </w:pPr>
      <w:r>
        <w:t>Keep Option A on the left and Option B on the right, or A above B on a narrow phone screen. Record the selected option and continue. Do not draw lottery outcomes or show outcome feedback.</w:t>
      </w:r>
    </w:p>
    <w:p>
      <w:pPr>
        <w:pStyle w:val="Heading1"/>
      </w:pPr>
      <w:r>
        <w:t>Opening page text</w:t>
      </w:r>
    </w:p>
    <w:p>
      <w:r>
        <w:t>Welcome. You will make six choices between a sure outcome and a gamble. The points are hypothetical; no money is paid. This voluntary classroom activity demonstrates how an experiment is built and analyzed. Your responses will be saved and processed with the help of Codex. We will discuss group results without displaying your ID or individual demographics. You may stop by closing this page.</w:t>
      </w:r>
    </w:p>
    <w:p>
      <w:r>
        <w:t>Consent checkbox: “I am at least 18 years old, have read the information above, and agree to take part.” Require the checkbox before saving the form and continuing. A person who does not agree can close the page.</w:t>
      </w:r>
    </w:p>
    <w:p>
      <w:r>
        <w:br w:type="page"/>
      </w:r>
    </w:p>
    <w:p>
      <w:pPr>
        <w:pStyle w:val="Heading1"/>
      </w:pPr>
      <w:r>
        <w:t>Opening page fields</w:t>
      </w:r>
    </w:p>
    <w:p>
      <w:r>
        <w:t>Prolific ID or classroom ID: required text. For this class, ask for a made-up ID such as demo-K7Q4, not a name or email address. Trim surrounding spaces and require 3–64 characters. Ask participants to use the same ID if they restart.</w:t>
      </w:r>
    </w:p>
    <w:p>
      <w:r>
        <w:t>Age: optional whole number, 18–120 if entered. Gender: Woman, Man, Nonbinary, Another gender identity, or Prefer not to say; require a selection and offer no default. Collect these once, on the opening page. Demographics do not determine which choices a participant sees.</w:t>
      </w:r>
    </w:p>
    <w:p>
      <w:pPr>
        <w:pStyle w:val="Heading1"/>
      </w:pPr>
      <w:r>
        <w:t>Thank you page</w:t>
      </w:r>
    </w:p>
    <w:p>
      <w:r>
        <w:t>“Thank you. Your six decisions have been recorded. Please return to the classroom discussion.” Show this only after all six responses have been submitted.</w:t>
      </w:r>
    </w:p>
    <w:p>
      <w:pPr>
        <w:pStyle w:val="Heading1"/>
      </w:pPr>
      <w:r>
        <w:t>Small and readable implementation</w:t>
      </w:r>
    </w:p>
    <w:p>
      <w:r>
        <w:t>Use one oTree app named choice_task and six rounds. Keep the prizes in the list [12, 16, 20, 24, 28, 32]. Students should be able to follow how a value from this list becomes a displayed decision and how the chosen response is saved.</w:t>
      </w:r>
    </w:p>
    <w:p>
      <w:r>
        <w:t>Build on the actual course vocabulary: variables, strings, integers, floats, arithmetic and type conversion (Classes 1–2); lists, indexing, dictionaries, len() and append() (Class 3); comparisons, Boolean logic and if/elif/else (Class 4); for loops, counters and running totals (Class 5); functions, parameters, return values and docstrings (Class 6); tracing execution and checking expected results (Class 7). Use only the tools needed, not every technique.</w:t>
      </w:r>
    </w:p>
    <w:p>
      <w:r>
        <w:t>Use oTree’s required page and model classes, explaining this new structure in comments. Avoid custom class hierarchies, comprehensions, lambdas and compact tricks. Keep HTML simple and explain unfamiliar template syntax. Do not add JavaScript unless a later requested change needs it.</w:t>
      </w:r>
    </w:p>
    <w:p>
      <w:r>
        <w:t>Write clear, concise English # comments explaining each logical step, what important variables store, and what each function does. Explain oTree-specific fields, page rules and round indexing in place. Use HTML comments for template structure. Prefer straightforward code to compact shortcuts or extra abstractions.</w:t>
      </w:r>
    </w:p>
    <w:p>
      <w:r>
        <w:t>Create the oTree project in experiment/ and its Python environment in .venv/. Keep the two source documents unchanged. Use the already installed compatible Python and pin the oTree version that is actually tested. Keep only the files needed for the app and its setup.</w:t>
      </w:r>
    </w:p>
    <w:p>
      <w:pPr>
        <w:pStyle w:val="Heading1"/>
      </w:pPr>
      <w:r>
        <w:t>Recorded data and privacy</w:t>
      </w:r>
    </w:p>
    <w:p>
      <w:r>
        <w:t>Use oTree’s standard wide CSV export. Store consent, participant ID, age and gender in round 1. In every round, save the displayed prize and choice, coded as sure or gamble. oTree supplies session and participant codes. Do not add reaction-time measures or custom exports.</w:t>
      </w:r>
    </w:p>
    <w:p>
      <w:r>
        <w:t>Exclude data/, databases, .venv/ and secrets from Git. Keep participant IDs and individual demographics out of shared figures, tables and the manuscript. Display summary results in class. Never print credentials or raw participant rows on the shared screen.</w:t>
      </w:r>
    </w:p>
    <w:p>
      <w:pPr>
        <w:pStyle w:val="Heading1"/>
      </w:pPr>
      <w:r>
        <w:t>Local walkthrough</w:t>
      </w:r>
    </w:p>
    <w:p>
      <w:r>
        <w:t>Start otree devserver and open the local participant page. Check consent, the six exact offers, the saved choices and the final page. Check the layout at a phone-sized width. Keep rehearsal sessions separate from the later classroom session.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Sure or gamble experiment brief</dc:title>
  <dc:subject/>
  <dc:creator>Eden Heilprin</dc:creator>
  <cp:keywords/>
  <dc:description>generated by python-docx</dc:description>
  <cp:lastModifiedBy/>
  <cp:revision>1</cp:revision>
  <dcterms:created xsi:type="dcterms:W3CDTF">2013-12-23T23:15:00Z</dcterms:created>
  <dcterms:modified xsi:type="dcterms:W3CDTF">2013-12-23T23:15:00Z</dcterms:modified>
  <cp:category/>
</cp:coreProperties>
</file>