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Sure or gamble preregistration</w:t>
      </w:r>
    </w:p>
    <w:p>
      <w:pPr>
        <w:pStyle w:val="Subtitle"/>
      </w:pPr>
      <w:r>
        <w:t>Classroom analysis plan</w:t>
      </w:r>
    </w:p>
    <w:p>
      <w:r>
        <w:t>This classroom plan supplies Codex with context and analysis decisions. Freeze it before collection; it is not externally registered. Perform only the stage requested in the live prompt.</w:t>
      </w:r>
    </w:p>
    <w:p>
      <w:pPr>
        <w:pStyle w:val="Heading1"/>
      </w:pPr>
      <w:r>
        <w:t>Research background</w:t>
      </w:r>
    </w:p>
    <w:p>
      <w:r>
        <w:t>Kahneman and Tversky (1979) studied hypothetical choices between described prospects. In Problem 3, 80% of 95 respondents preferred a sure 3,000 to an 80% chance of 4,000, otherwise zero. Our task instead varies the prize at a fixed probability. It is inspired by their work, not a direct replication or a test distinguishing prospect theory from other explanations.</w:t>
      </w:r>
    </w:p>
    <w:p>
      <w:r>
        <w:t>Source: Kahneman, D., &amp; Tversky, A. (1979). Prospect theory: An analysis of decision under risk. Econometrica, 47(2), 263–291. https://doi.org/10.2307/1914185. Relevant examples appear on pp. 264–266.</w:t>
      </w:r>
    </w:p>
    <w:p>
      <w:pPr>
        <w:pStyle w:val="Heading1"/>
      </w:pPr>
      <w:r>
        <w:t>Question and hypothesis</w:t>
      </w:r>
    </w:p>
    <w:p>
      <w:r>
        <w:t>Do participants choose the gamble more often when its potential prize is larger? We predict that each participant’s proportion of gamble choices will, on average, be higher for prizes of 24, 28 and 32 points than for prizes of 12, 16 and 20 points.</w:t>
      </w:r>
    </w:p>
    <w:p>
      <w:pPr>
        <w:pStyle w:val="Heading1"/>
      </w:pPr>
      <w:r>
        <w:t>Design and sample</w:t>
      </w:r>
    </w:p>
    <w:p>
      <w:r>
        <w:t>Everyone chooses between 10 points for sure and a 50% chance of a prize, otherwise 0. The six prizes are 12, 16, 20, 24, 28 and 32 points, in that order. Choices are hypothetical, without payment or outcome feedback.</w:t>
      </w:r>
    </w:p>
    <w:p>
      <w:r>
        <w:t>Invite the students present for the demonstration, expected to be about 15, to participate voluntarily. Close the session when the classroom activity ends, before inspecting results. Do not extend recruitment in response to the findings. Analyze only the selected classroom session and keep rehearsal data separate.</w:t>
      </w:r>
    </w:p>
    <w:p>
      <w:pPr>
        <w:pStyle w:val="Heading1"/>
      </w:pPr>
      <w:r>
        <w:t>Eligibility and repeated submissions</w:t>
      </w:r>
    </w:p>
    <w:p>
      <w:r>
        <w:t>Count a participant as started when the consent form is submitted; ignore unused oTree slots. Include consenting participants with a valid choice on all six decisions and no recorded age below 18. Missing age or Prefer not to say gender does not exclude anyone. Report started and included counts and exclusion reasons.</w:t>
      </w:r>
    </w:p>
    <w:p>
      <w:r>
        <w:t>Trim the entered ID and ignore letter case. For repeated IDs among complete eligible submissions, keep the lowest oTree participant.id_in_session and count the others as duplicates. Invented IDs can collide; report this limitation. Similar choices do not establish duplication.</w:t>
      </w:r>
    </w:p>
    <w:p>
      <w:r>
        <w:t>Verify all six prizes and sure/gamble choice codes. Flag unexpected or conflicting records instead of silently recoding them. Do not exclude constant choices or switching back and forth.</w:t>
      </w:r>
    </w:p>
    <w:p>
      <w:pPr>
        <w:pStyle w:val="Heading1"/>
      </w:pPr>
      <w:r>
        <w:t>Primary outcome</w:t>
      </w:r>
    </w:p>
    <w:p>
      <w:r>
        <w:t>Code gamble as 1 and sure as 0. For each participant, subtract the mean of decisions 1–3 from the mean of decisions 4–6. Positive differences indicate more gambling at higher prizes. Analyze one paired comparison per participant, not six independent observations.</w:t>
      </w:r>
    </w:p>
    <w:p>
      <w:r>
        <w:br w:type="page"/>
      </w:r>
    </w:p>
    <w:p>
      <w:pPr>
        <w:pStyle w:val="Heading1"/>
      </w:pPr>
      <w:r>
        <w:t>Primary analysis</w:t>
      </w:r>
    </w:p>
    <w:p>
      <w:r>
        <w:t>Report the two group-average choice proportions and their paired mean difference in percentage points. Use a two-sided paired-samples t test, with alpha .05, to compare the higher-prize and lower-prize proportions. Report the participant count, t statistic, degrees of freedom, exact p value and a 95% confidence interval for the mean paired difference.</w:t>
      </w:r>
    </w:p>
    <w:p>
      <w:r>
        <w:t>The preregistered prediction is supported by a positive mean difference with a two-sided p value below .05. A nonsignificant result is inconclusive; a significant negative difference runs against the prediction. Report the result regardless of its direction.</w:t>
      </w:r>
    </w:p>
    <w:p>
      <w:r>
        <w:t>The test is an approximate mean-comparison procedure for this small classroom sample. If fewer than two eligible participants remain, or the paired differences have no variation, report descriptive results only and state that this t test and its usual interval are not estimable. Do not replace it with a different test after seeing the outcome.</w:t>
      </w:r>
    </w:p>
    <w:p>
      <w:pPr>
        <w:pStyle w:val="Heading1"/>
      </w:pPr>
      <w:r>
        <w:t>Table and figure</w:t>
      </w:r>
    </w:p>
    <w:p>
      <w:r>
        <w:t>For each of the six prizes, report the eligible participant count, number choosing gamble, and percentage choosing gamble. Use the same complete-participant sample as the primary analysis.</w:t>
      </w:r>
    </w:p>
    <w:p>
      <w:r>
        <w:t>Plot percentage choosing gamble against prize, with a 0–100% vertical axis. Label it as classroom responses and state the included count. Add a compact lower-versus-higher summary. Do not plot IDs or demographics.</w:t>
      </w:r>
    </w:p>
    <w:p>
      <w:pPr>
        <w:pStyle w:val="Heading1"/>
      </w:pPr>
      <w:r>
        <w:t>Exploratory follow up</w:t>
      </w:r>
    </w:p>
    <w:p>
      <w:r>
        <w:t>If requested, describe four response patterns: always sure, always gamble, a single switch from sure to gamble, or any switch back from gamble to sure. These categories are mutually exclusive and exhaustive. Keep exploratory outputs separate from the primary results. Do not conduct demographic significance tests in this small sample.</w:t>
      </w:r>
    </w:p>
    <w:p>
      <w:pPr>
        <w:pStyle w:val="Heading1"/>
      </w:pPr>
      <w:r>
        <w:t>Data handling and reporting</w:t>
      </w:r>
    </w:p>
    <w:p>
      <w:r>
        <w:t>Preserve data/responses.csv unchanged. Write prepare_data.py to produce data/clean_trials.csv, data/clean_participants.csv and data/exclusions.txt. Use study labels such as P01 instead of identifiers in clean files; exclude exact age and individual gender. The participant summary must contain lower-prize and higher-prize gamble proportions and their difference. Keep any identifier mapping private.</w:t>
      </w:r>
    </w:p>
    <w:p>
      <w:r>
        <w:t>Write analyze.py for the preregistered results and, when requested, figures and tables in results/. Use readable Python and concise # comments explaining each processing step and statistical calculation. Save exploratory work separately. A later writing prompt will produce results/manuscript.docx.</w:t>
      </w:r>
    </w:p>
    <w:p>
      <w:r>
        <w:t>Report the implemented experiment and actual results, distinguishing primary from exploratory work. Never invent observations, references, ethics approval, Prolific recruitment or registration. Label simulated rehearsal data and reports and keep them separate from classroom responses.</w:t>
      </w:r>
    </w:p>
    <w:p>
      <w:pPr>
        <w:pStyle w:val="Heading1"/>
      </w:pPr>
      <w:r>
        <w:t>Interpretation</w:t>
      </w:r>
    </w:p>
    <w:p>
      <w:r>
        <w:t>Prize and decision order are confounded. Students may infer the hypothesis while watching the build. The small convenience sample, hypothetical choices and demonstration exposure limit generalization to other participants or real monetary decisions.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Sure or gamble preregistration</dc:title>
  <dc:subject/>
  <dc:creator>Eden Heilprin</dc:creator>
  <cp:keywords/>
  <dc:description>generated by python-docx</dc:description>
  <cp:lastModifiedBy/>
  <cp:revision>1</cp:revision>
  <dcterms:created xsi:type="dcterms:W3CDTF">2013-12-23T23:15:00Z</dcterms:created>
  <dcterms:modified xsi:type="dcterms:W3CDTF">2013-12-23T23:15:00Z</dcterms:modified>
  <cp:category/>
</cp:coreProperties>
</file>