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E57C93" w:rsidP="006C0EA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E57C93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/>
                <w:b/>
                <w:sz w:val="20"/>
              </w:rPr>
              <w:t>05200169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伊甸基金會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337744" w:rsidTr="00A516E8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黃瑋荻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/>
                <w:b/>
                <w:sz w:val="20"/>
              </w:rPr>
              <w:t>02-2230-7715#3307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/>
                <w:b/>
                <w:sz w:val="20"/>
              </w:rPr>
              <w:t>02-2230-6670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/>
                <w:b/>
                <w:sz w:val="20"/>
              </w:rPr>
              <w:t>eden6475@eden.org.tw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/>
                <w:b/>
                <w:sz w:val="20"/>
              </w:rPr>
              <w:t>伊甸基金會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 w:rsidR="002B09E6" w:rsidRPr="002B09E6">
              <w:rPr>
                <w:rFonts w:eastAsia="細明體"/>
                <w:b/>
                <w:sz w:val="20"/>
              </w:rPr>
              <w:t>#A0</w:t>
            </w:r>
            <w:r w:rsidR="002B09E6">
              <w:rPr>
                <w:rFonts w:eastAsia="細明體" w:hint="eastAsia"/>
                <w:b/>
                <w:sz w:val="20"/>
              </w:rPr>
              <w:t>7#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004-0163</w:t>
            </w:r>
          </w:p>
          <w:p w:rsidR="00122C4B" w:rsidRPr="00882F27" w:rsidRDefault="00122C4B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2B09E6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000011112222</w:t>
            </w:r>
          </w:p>
          <w:p w:rsidR="002B09E6" w:rsidRPr="00882F27" w:rsidRDefault="002B09E6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122C4B" w:rsidTr="00AC3B1A">
        <w:tblPrEx>
          <w:tblCellMar>
            <w:top w:w="0" w:type="dxa"/>
            <w:bottom w:w="0" w:type="dxa"/>
          </w:tblCellMar>
        </w:tblPrEx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337744" w:rsidTr="00055A41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E57C93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以上欄位請填寫清楚，爾後本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E57C93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0A57">
              <w:rPr>
                <w:rFonts w:hint="eastAsia"/>
                <w:sz w:val="18"/>
              </w:rPr>
              <w:t>【</w:t>
            </w:r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r w:rsidR="00B90A57">
              <w:rPr>
                <w:rFonts w:hint="eastAsia"/>
                <w:sz w:val="18"/>
              </w:rPr>
              <w:t>】</w:t>
            </w:r>
          </w:p>
          <w:p w:rsidR="00C21372" w:rsidRDefault="00C21372" w:rsidP="00C21372">
            <w:pPr>
              <w:pStyle w:val="a3"/>
              <w:ind w:left="210"/>
              <w:rPr>
                <w:rFonts w:hint="eastAsia"/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rFonts w:hint="eastAsia"/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rFonts w:hint="eastAsia"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r w:rsidR="00337744" w:rsidRPr="00882F27">
              <w:rPr>
                <w:rFonts w:hint="eastAsia"/>
                <w:sz w:val="20"/>
              </w:rPr>
              <w:t>匯，其匯費將由貴公司負擔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E57C93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E57C93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EA5AA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6AA76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5B2" w:rsidRDefault="001B15B2" w:rsidP="00A15BD9">
      <w:r>
        <w:separator/>
      </w:r>
    </w:p>
  </w:endnote>
  <w:endnote w:type="continuationSeparator" w:id="0">
    <w:p w:rsidR="001B15B2" w:rsidRDefault="001B15B2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5B2" w:rsidRDefault="001B15B2" w:rsidP="00A15BD9">
      <w:r>
        <w:separator/>
      </w:r>
    </w:p>
  </w:footnote>
  <w:footnote w:type="continuationSeparator" w:id="0">
    <w:p w:rsidR="001B15B2" w:rsidRDefault="001B15B2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B15B2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27C8B"/>
    <w:rsid w:val="00D55FF7"/>
    <w:rsid w:val="00D62832"/>
    <w:rsid w:val="00D65D13"/>
    <w:rsid w:val="00D803A7"/>
    <w:rsid w:val="00D85A8F"/>
    <w:rsid w:val="00D86044"/>
    <w:rsid w:val="00DE1330"/>
    <w:rsid w:val="00DF305C"/>
    <w:rsid w:val="00E30618"/>
    <w:rsid w:val="00E46623"/>
    <w:rsid w:val="00E57C9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8874C-635C-4A3F-93FD-F58B286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0A9C-1199-4CCD-974E-990A44DC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2019-05-29T01:37:00Z</cp:lastPrinted>
  <dcterms:created xsi:type="dcterms:W3CDTF">2019-06-03T08:41:00Z</dcterms:created>
  <dcterms:modified xsi:type="dcterms:W3CDTF">2019-06-03T08:41:00Z</dcterms:modified>
</cp:coreProperties>
</file>