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isl700_2a-软件驱动接口规范"/>
    <w:p>
      <w:pPr>
        <w:pStyle w:val="Heading1"/>
      </w:pPr>
      <w:r>
        <w:t xml:space="preserve">ISL700_2A </w:t>
      </w:r>
      <w:r>
        <w:rPr>
          <w:rFonts w:hint="eastAsia"/>
        </w:rPr>
        <w:t xml:space="preserve">软件驱动接口规范</w:t>
      </w:r>
    </w:p>
    <w:bookmarkStart w:id="20" w:name="文档目的"/>
    <w:p>
      <w:pPr>
        <w:pStyle w:val="Heading2"/>
      </w:pPr>
      <w:r>
        <w:t xml:space="preserve">1.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本文档定义</w:t>
      </w:r>
      <w:r>
        <w:t xml:space="preserve"> MCU </w:t>
      </w:r>
      <w:r>
        <w:rPr>
          <w:rFonts w:hint="eastAsia"/>
        </w:rPr>
        <w:t xml:space="preserve">与</w:t>
      </w:r>
      <w:r>
        <w:t xml:space="preserve"> ISL700_2A </w:t>
      </w:r>
      <w:r>
        <w:rPr>
          <w:rFonts w:hint="eastAsia"/>
        </w:rPr>
        <w:t xml:space="preserve">集成光电传感器</w:t>
      </w:r>
      <w:r>
        <w:t xml:space="preserve"> IC </w:t>
      </w:r>
      <w:r>
        <w:rPr>
          <w:rFonts w:hint="eastAsia"/>
        </w:rPr>
        <w:t xml:space="preserve">之间的软件接口规范，用于：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指导底层驱动与应用软件开发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统一引脚控制、时序、状态机和算法接口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作为软件、硬件、测试之间的正式交付文档</w:t>
      </w:r>
    </w:p>
    <w:p>
      <w:pPr>
        <w:pStyle w:val="BodyText"/>
      </w:pPr>
      <w:r>
        <w:rPr>
          <w:rFonts w:hint="eastAsia"/>
        </w:rPr>
        <w:t xml:space="preserve">适用对象：</w:t>
      </w:r>
      <w:r>
        <w:t xml:space="preserve"> </w:t>
      </w:r>
      <w:r>
        <w:t xml:space="preserve">- </w:t>
      </w:r>
      <w:r>
        <w:rPr>
          <w:rFonts w:hint="eastAsia"/>
        </w:rPr>
        <w:t xml:space="preserve">嵌入式软件工程师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硬件/系统联调工程师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测试与量产工程师</w:t>
      </w:r>
    </w:p>
    <w:p>
      <w:r>
        <w:pict>
          <v:rect style="width:0;height:1.5pt" o:hralign="center" o:hrstd="t" o:hr="t"/>
        </w:pict>
      </w:r>
    </w:p>
    <w:bookmarkEnd w:id="20"/>
    <w:bookmarkStart w:id="22" w:name="系统架构概述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系统架构概述</w:t>
      </w:r>
    </w:p>
    <w:bookmarkStart w:id="21" w:name="系统角色划分"/>
    <w:p>
      <w:pPr>
        <w:pStyle w:val="Heading3"/>
      </w:pPr>
      <w:r>
        <w:t xml:space="preserve">2.1 </w:t>
      </w:r>
      <w:r>
        <w:rPr>
          <w:rFonts w:hint="eastAsia"/>
        </w:rPr>
        <w:t xml:space="preserve">系统角色划分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ISL700_2A：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双</w:t>
      </w:r>
      <w:r>
        <w:t xml:space="preserve"> PD </w:t>
      </w:r>
      <w:r>
        <w:rPr>
          <w:rFonts w:hint="eastAsia"/>
        </w:rPr>
        <w:t xml:space="preserve">模拟前端（AFE）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发射调制与同步采样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模拟信号输出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MCU：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参数配置（移位寄存器</w:t>
      </w:r>
      <w:r>
        <w:t xml:space="preserve"> + </w:t>
      </w:r>
      <w:r>
        <w:rPr>
          <w:rFonts w:hint="eastAsia"/>
        </w:rPr>
        <w:t xml:space="preserve">CRC）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时序控制（发射、采样）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数据采集（ADC）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背景抑制算法与判决</w:t>
      </w:r>
    </w:p>
    <w:p>
      <w:pPr>
        <w:pStyle w:val="BlockText"/>
      </w:pPr>
      <w:r>
        <w:rPr>
          <w:rFonts w:hint="eastAsia"/>
        </w:rPr>
        <w:t xml:space="preserve">说明：ISL700_2A</w:t>
      </w:r>
      <w:r>
        <w:t xml:space="preserve"> </w:t>
      </w:r>
      <w:r>
        <w:rPr>
          <w:rFonts w:hint="eastAsia"/>
        </w:rPr>
        <w:t xml:space="preserve">不提供数字通信接口，不输出距离或开关结果，所有逻辑判定均由</w:t>
      </w:r>
      <w:r>
        <w:t xml:space="preserve"> MCU </w:t>
      </w:r>
      <w:r>
        <w:rPr>
          <w:rFonts w:hint="eastAsia"/>
        </w:rPr>
        <w:t xml:space="preserve">完成。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软件分层与模块划分"/>
    <w:p>
      <w:pPr>
        <w:pStyle w:val="Heading2"/>
      </w:pPr>
      <w:r>
        <w:t xml:space="preserve">3. </w:t>
      </w:r>
      <w:r>
        <w:rPr>
          <w:rFonts w:hint="eastAsia"/>
        </w:rPr>
        <w:t xml:space="preserve">软件分层与模块划分</w:t>
      </w:r>
    </w:p>
    <w:bookmarkStart w:id="23" w:name="软件分层模型"/>
    <w:p>
      <w:pPr>
        <w:pStyle w:val="Heading3"/>
      </w:pPr>
      <w:r>
        <w:t xml:space="preserve">3.1 </w:t>
      </w:r>
      <w:r>
        <w:rPr>
          <w:rFonts w:hint="eastAsia"/>
        </w:rPr>
        <w:t xml:space="preserve">软件分层模型</w:t>
      </w:r>
    </w:p>
    <w:p>
      <w:pPr>
        <w:pStyle w:val="Compact"/>
        <w:numPr>
          <w:ilvl w:val="0"/>
          <w:numId w:val="1004"/>
        </w:numPr>
      </w:pPr>
      <w:r>
        <w:t xml:space="preserve">BSP </w:t>
      </w:r>
      <w:r>
        <w:rPr>
          <w:rFonts w:hint="eastAsia"/>
        </w:rPr>
        <w:t xml:space="preserve">层</w:t>
      </w:r>
    </w:p>
    <w:p>
      <w:pPr>
        <w:pStyle w:val="Compact"/>
        <w:numPr>
          <w:ilvl w:val="1"/>
          <w:numId w:val="1005"/>
        </w:numPr>
      </w:pPr>
      <w:r>
        <w:t xml:space="preserve">GPIO</w:t>
      </w:r>
    </w:p>
    <w:p>
      <w:pPr>
        <w:pStyle w:val="Compact"/>
        <w:numPr>
          <w:ilvl w:val="1"/>
          <w:numId w:val="1005"/>
        </w:numPr>
      </w:pPr>
      <w:r>
        <w:t xml:space="preserve">Timer / Clock</w:t>
      </w:r>
    </w:p>
    <w:p>
      <w:pPr>
        <w:pStyle w:val="Compact"/>
        <w:numPr>
          <w:ilvl w:val="1"/>
          <w:numId w:val="1005"/>
        </w:numPr>
      </w:pPr>
      <w:r>
        <w:t xml:space="preserve">ADC / DMA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驱动层（ISL700</w:t>
      </w:r>
      <w:r>
        <w:t xml:space="preserve"> </w:t>
      </w:r>
      <w:r>
        <w:rPr>
          <w:rFonts w:hint="eastAsia"/>
        </w:rPr>
        <w:t xml:space="preserve">Driver）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配置驱动（Config）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时序驱动（Timing）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采样驱动（Acquire）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算法层（Algorithm）</w:t>
      </w:r>
    </w:p>
    <w:p>
      <w:pPr>
        <w:pStyle w:val="Compact"/>
        <w:numPr>
          <w:ilvl w:val="1"/>
          <w:numId w:val="1007"/>
        </w:numPr>
      </w:pPr>
      <w:r>
        <w:t xml:space="preserve">A/B </w:t>
      </w:r>
      <w:r>
        <w:rPr>
          <w:rFonts w:hint="eastAsia"/>
        </w:rPr>
        <w:t xml:space="preserve">比值计算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背景抑制判定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应用层（Application）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状态机</w:t>
      </w:r>
    </w:p>
    <w:p>
      <w:pPr>
        <w:pStyle w:val="Compact"/>
        <w:numPr>
          <w:ilvl w:val="1"/>
          <w:numId w:val="1008"/>
        </w:numPr>
      </w:pPr>
      <w:r>
        <w:t xml:space="preserve">Teach-in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模式切换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引脚与功能接口规范"/>
    <w:p>
      <w:pPr>
        <w:pStyle w:val="Heading2"/>
      </w:pPr>
      <w:r>
        <w:t xml:space="preserve">4. </w:t>
      </w:r>
      <w:r>
        <w:rPr>
          <w:rFonts w:hint="eastAsia"/>
        </w:rPr>
        <w:t xml:space="preserve">引脚与功能接口规范</w:t>
      </w:r>
    </w:p>
    <w:bookmarkStart w:id="26" w:name="配置与校验引脚"/>
    <w:p>
      <w:pPr>
        <w:pStyle w:val="Heading3"/>
      </w:pPr>
      <w:r>
        <w:t xml:space="preserve">4.1 </w:t>
      </w:r>
      <w:r>
        <w:rPr>
          <w:rFonts w:hint="eastAsia"/>
        </w:rPr>
        <w:t xml:space="preserve">配置与校验引脚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Cal_in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配置数据输入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Cal_clk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配置移位时钟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CRC_rst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t xml:space="preserve">CRC </w:t>
            </w:r>
            <w:r>
              <w:rPr>
                <w:rFonts w:hint="eastAsia"/>
              </w:rPr>
              <w:t xml:space="preserve">状态复位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STS</w:t>
            </w:r>
          </w:p>
        </w:tc>
        <w:tc>
          <w:tcPr/>
          <w:p>
            <w:pPr>
              <w:pStyle w:val="Compact"/>
            </w:pPr>
            <w:r>
              <w:t xml:space="preserve">IC→MCU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配置校验状态</w:t>
            </w:r>
          </w:p>
        </w:tc>
      </w:tr>
    </w:tbl>
    <w:bookmarkStart w:id="25" w:name="软件使用规范"/>
    <w:p>
      <w:pPr>
        <w:pStyle w:val="Heading4"/>
      </w:pPr>
      <w:r>
        <w:rPr>
          <w:rFonts w:hint="eastAsia"/>
        </w:rPr>
        <w:t xml:space="preserve">软件使用规范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配置前必须拉动</w:t>
      </w:r>
      <w:r>
        <w:t xml:space="preserve"> CRC_rst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配置过程中</w:t>
      </w:r>
      <w:r>
        <w:t xml:space="preserve"> Cal_in </w:t>
      </w:r>
      <w:r>
        <w:rPr>
          <w:rFonts w:hint="eastAsia"/>
        </w:rPr>
        <w:t xml:space="preserve">必须与</w:t>
      </w:r>
      <w:r>
        <w:t xml:space="preserve"> Cal_clk </w:t>
      </w:r>
      <w:r>
        <w:rPr>
          <w:rFonts w:hint="eastAsia"/>
        </w:rPr>
        <w:t xml:space="preserve">同步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配置完成后必须读取</w:t>
      </w:r>
      <w:r>
        <w:t xml:space="preserve"> STS</w:t>
      </w:r>
    </w:p>
    <w:p>
      <w:pPr>
        <w:pStyle w:val="Compact"/>
        <w:numPr>
          <w:ilvl w:val="0"/>
          <w:numId w:val="1009"/>
        </w:numPr>
      </w:pPr>
      <w:r>
        <w:t xml:space="preserve">STS=0 </w:t>
      </w:r>
      <w:r>
        <w:rPr>
          <w:rFonts w:hint="eastAsia"/>
        </w:rPr>
        <w:t xml:space="preserve">时禁止进入运行状态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发射与时钟控制引脚"/>
    <w:p>
      <w:pPr>
        <w:pStyle w:val="Heading3"/>
      </w:pPr>
      <w:r>
        <w:t xml:space="preserve">4.2 </w:t>
      </w:r>
      <w:r>
        <w:rPr>
          <w:rFonts w:hint="eastAsia"/>
        </w:rPr>
        <w:t xml:space="preserve">发射与时钟控制引脚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clk_mode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内部/外部时钟选择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ext_slvclk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外部低频同步时钟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ext_clk_hf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外部高频时钟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freq_c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发射频率选择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close_pls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发射关闭控制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pls_delay</w:t>
            </w:r>
          </w:p>
        </w:tc>
        <w:tc>
          <w:tcPr/>
          <w:p>
            <w:pPr>
              <w:pStyle w:val="Compact"/>
            </w:pPr>
            <w:r>
              <w:t xml:space="preserve">IC→MCU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发射脉冲输出</w:t>
            </w:r>
          </w:p>
        </w:tc>
      </w:tr>
    </w:tbl>
    <w:bookmarkStart w:id="27" w:name="软件使用规范-1"/>
    <w:p>
      <w:pPr>
        <w:pStyle w:val="Heading4"/>
      </w:pPr>
      <w:r>
        <w:rPr>
          <w:rFonts w:hint="eastAsia"/>
        </w:rPr>
        <w:t xml:space="preserve">软件使用规范</w:t>
      </w:r>
    </w:p>
    <w:p>
      <w:pPr>
        <w:pStyle w:val="Compact"/>
        <w:numPr>
          <w:ilvl w:val="0"/>
          <w:numId w:val="1010"/>
        </w:numPr>
      </w:pPr>
      <w:r>
        <w:t xml:space="preserve">close_pls=1 </w:t>
      </w:r>
      <w:r>
        <w:rPr>
          <w:rFonts w:hint="eastAsia"/>
        </w:rPr>
        <w:t xml:space="preserve">时，发射功能全部关闭</w:t>
      </w:r>
    </w:p>
    <w:p>
      <w:pPr>
        <w:pStyle w:val="Compact"/>
        <w:numPr>
          <w:ilvl w:val="0"/>
          <w:numId w:val="1010"/>
        </w:numPr>
      </w:pPr>
      <w:r>
        <w:t xml:space="preserve">clk_mode=1 </w:t>
      </w:r>
      <w:r>
        <w:rPr>
          <w:rFonts w:hint="eastAsia"/>
        </w:rPr>
        <w:t xml:space="preserve">时，ext_slvclk</w:t>
      </w:r>
      <w:r>
        <w:t xml:space="preserve"> </w:t>
      </w:r>
      <w:r>
        <w:rPr>
          <w:rFonts w:hint="eastAsia"/>
        </w:rPr>
        <w:t xml:space="preserve">必须有效</w:t>
      </w:r>
    </w:p>
    <w:p>
      <w:pPr>
        <w:pStyle w:val="Compact"/>
        <w:numPr>
          <w:ilvl w:val="0"/>
          <w:numId w:val="1010"/>
        </w:numPr>
      </w:pPr>
      <w:r>
        <w:t xml:space="preserve">pls_delay </w:t>
      </w:r>
      <w:r>
        <w:rPr>
          <w:rFonts w:hint="eastAsia"/>
        </w:rPr>
        <w:t xml:space="preserve">仅作为时序参考，不作为控制输入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接收与采样引脚"/>
    <w:p>
      <w:pPr>
        <w:pStyle w:val="Heading3"/>
      </w:pPr>
      <w:r>
        <w:t xml:space="preserve">4.3 </w:t>
      </w:r>
      <w:r>
        <w:rPr>
          <w:rFonts w:hint="eastAsia"/>
        </w:rPr>
        <w:t xml:space="preserve">接收与采样引脚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pls_so</w:t>
            </w:r>
          </w:p>
        </w:tc>
        <w:tc>
          <w:tcPr/>
          <w:p>
            <w:pPr>
              <w:pStyle w:val="Compact"/>
            </w:pPr>
            <w:r>
              <w:t xml:space="preserve">IC→MCU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当前采样通道指示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SH_OUT</w:t>
            </w:r>
          </w:p>
        </w:tc>
        <w:tc>
          <w:tcPr/>
          <w:p>
            <w:pPr>
              <w:pStyle w:val="Compact"/>
            </w:pPr>
            <w:r>
              <w:t xml:space="preserve">IC→MCU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模拟采样输出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SW_OUT</w:t>
            </w:r>
          </w:p>
        </w:tc>
        <w:tc>
          <w:tcPr/>
          <w:p>
            <w:pPr>
              <w:pStyle w:val="Compact"/>
            </w:pPr>
            <w:r>
              <w:t xml:space="preserve">IC→MCU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调试用输出</w:t>
            </w:r>
          </w:p>
        </w:tc>
      </w:tr>
    </w:tbl>
    <w:bookmarkStart w:id="29" w:name="软件使用规范-2"/>
    <w:p>
      <w:pPr>
        <w:pStyle w:val="Heading4"/>
      </w:pPr>
      <w:r>
        <w:rPr>
          <w:rFonts w:hint="eastAsia"/>
        </w:rPr>
        <w:t xml:space="preserve">软件使用规范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每次</w:t>
      </w:r>
      <w:r>
        <w:t xml:space="preserve"> SH_OUT </w:t>
      </w:r>
      <w:r>
        <w:rPr>
          <w:rFonts w:hint="eastAsia"/>
        </w:rPr>
        <w:t xml:space="preserve">采样必须绑定</w:t>
      </w:r>
      <w:r>
        <w:t xml:space="preserve"> pls_so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1"/>
        </w:numPr>
      </w:pPr>
      <w:r>
        <w:t xml:space="preserve">pls_so </w:t>
      </w:r>
      <w:r>
        <w:rPr>
          <w:rFonts w:hint="eastAsia"/>
        </w:rPr>
        <w:t xml:space="preserve">翻转期间禁止采样</w:t>
      </w:r>
    </w:p>
    <w:p>
      <w:pPr>
        <w:pStyle w:val="Compact"/>
        <w:numPr>
          <w:ilvl w:val="0"/>
          <w:numId w:val="1011"/>
        </w:numPr>
      </w:pPr>
      <w:r>
        <w:t xml:space="preserve">SW_OUT </w:t>
      </w:r>
      <w:r>
        <w:rPr>
          <w:rFonts w:hint="eastAsia"/>
        </w:rPr>
        <w:t xml:space="preserve">不参与算法，仅用于调试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增益与模拟前端控制引脚"/>
    <w:p>
      <w:pPr>
        <w:pStyle w:val="Heading3"/>
      </w:pPr>
      <w:r>
        <w:t xml:space="preserve">4.4 </w:t>
      </w:r>
      <w:r>
        <w:rPr>
          <w:rFonts w:hint="eastAsia"/>
        </w:rPr>
        <w:t xml:space="preserve">增益与模拟前端控制引脚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sctrl_a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sctrl_b</w:t>
            </w:r>
          </w:p>
        </w:tc>
        <w:tc>
          <w:tcPr/>
          <w:p>
            <w:pPr>
              <w:pStyle w:val="Compact"/>
            </w:pPr>
            <w:r>
              <w:t xml:space="preserve">MCU→IC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增益控制</w:t>
            </w:r>
          </w:p>
        </w:tc>
      </w:tr>
    </w:tbl>
    <w:bookmarkStart w:id="31" w:name="软件使用规范-3"/>
    <w:p>
      <w:pPr>
        <w:pStyle w:val="Heading4"/>
      </w:pPr>
      <w:r>
        <w:rPr>
          <w:rFonts w:hint="eastAsia"/>
        </w:rPr>
        <w:t xml:space="preserve">软件使用规范</w:t>
      </w:r>
    </w:p>
    <w:p>
      <w:pPr>
        <w:pStyle w:val="Compact"/>
        <w:numPr>
          <w:ilvl w:val="0"/>
          <w:numId w:val="1012"/>
        </w:numPr>
      </w:pPr>
      <w:r>
        <w:t xml:space="preserve">sctrl </w:t>
      </w:r>
      <w:r>
        <w:rPr>
          <w:rFonts w:hint="eastAsia"/>
        </w:rPr>
        <w:t xml:space="preserve">行为由配置寄存器</w:t>
      </w:r>
      <w:r>
        <w:t xml:space="preserve"> bit45 </w:t>
      </w:r>
      <w:r>
        <w:rPr>
          <w:rFonts w:hint="eastAsia"/>
        </w:rPr>
        <w:t xml:space="preserve">决定</w:t>
      </w:r>
    </w:p>
    <w:p>
      <w:pPr>
        <w:pStyle w:val="Compact"/>
        <w:numPr>
          <w:ilvl w:val="0"/>
          <w:numId w:val="1012"/>
        </w:numPr>
      </w:pPr>
      <w:r>
        <w:t xml:space="preserve">bit45=1 </w:t>
      </w:r>
      <w:r>
        <w:rPr>
          <w:rFonts w:hint="eastAsia"/>
        </w:rPr>
        <w:t xml:space="preserve">时使用内部电阻，sctrl</w:t>
      </w:r>
      <w:r>
        <w:t xml:space="preserve"> </w:t>
      </w:r>
      <w:r>
        <w:rPr>
          <w:rFonts w:hint="eastAsia"/>
        </w:rPr>
        <w:t xml:space="preserve">仅用于滤波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配置通信接口规范"/>
    <w:p>
      <w:pPr>
        <w:pStyle w:val="Heading2"/>
      </w:pPr>
      <w:r>
        <w:t xml:space="preserve">5. </w:t>
      </w:r>
      <w:r>
        <w:rPr>
          <w:rFonts w:hint="eastAsia"/>
        </w:rPr>
        <w:t xml:space="preserve">配置通信接口规范</w:t>
      </w:r>
    </w:p>
    <w:bookmarkStart w:id="34" w:name="通信模型"/>
    <w:p>
      <w:pPr>
        <w:pStyle w:val="Heading3"/>
      </w:pPr>
      <w:r>
        <w:t xml:space="preserve">5.1 </w:t>
      </w:r>
      <w:r>
        <w:rPr>
          <w:rFonts w:hint="eastAsia"/>
        </w:rPr>
        <w:t xml:space="preserve">通信模型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单向写入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无地址、无读回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固定位宽移位寄存器</w:t>
      </w:r>
      <w:r>
        <w:t xml:space="preserve"> + CRC </w:t>
      </w:r>
      <w:r>
        <w:rPr>
          <w:rFonts w:hint="eastAsia"/>
        </w:rPr>
        <w:t xml:space="preserve">校验</w:t>
      </w:r>
    </w:p>
    <w:bookmarkEnd w:id="34"/>
    <w:bookmarkStart w:id="35" w:name="软件流程"/>
    <w:p>
      <w:pPr>
        <w:pStyle w:val="Heading3"/>
      </w:pPr>
      <w:r>
        <w:t xml:space="preserve">5.2 </w:t>
      </w:r>
      <w:r>
        <w:rPr>
          <w:rFonts w:hint="eastAsia"/>
        </w:rPr>
        <w:t xml:space="preserve">软件流程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拉低并释放</w:t>
      </w:r>
      <w:r>
        <w:t xml:space="preserve"> CRC_rst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按位发送配置帧（Cal_in</w:t>
      </w:r>
      <w:r>
        <w:t xml:space="preserve"> + </w:t>
      </w:r>
      <w:r>
        <w:rPr>
          <w:rFonts w:hint="eastAsia"/>
        </w:rPr>
        <w:t xml:space="preserve">Cal_clk）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发送</w:t>
      </w:r>
      <w:r>
        <w:t xml:space="preserve"> CRC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读取</w:t>
      </w:r>
      <w:r>
        <w:t xml:space="preserve"> STS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采样与中断接口规范"/>
    <w:p>
      <w:pPr>
        <w:pStyle w:val="Heading2"/>
      </w:pPr>
      <w:r>
        <w:t xml:space="preserve">6. </w:t>
      </w:r>
      <w:r>
        <w:rPr>
          <w:rFonts w:hint="eastAsia"/>
        </w:rPr>
        <w:t xml:space="preserve">采样与中断接口规范</w:t>
      </w:r>
    </w:p>
    <w:bookmarkStart w:id="37" w:name="中断源"/>
    <w:p>
      <w:pPr>
        <w:pStyle w:val="Heading3"/>
      </w:pPr>
      <w:r>
        <w:t xml:space="preserve">6.1 </w:t>
      </w:r>
      <w:r>
        <w:rPr>
          <w:rFonts w:hint="eastAsia"/>
        </w:rPr>
        <w:t xml:space="preserve">中断源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pls_so EXTI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通道切换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EOC/DMA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模拟值采集</w:t>
            </w:r>
          </w:p>
        </w:tc>
      </w:tr>
    </w:tbl>
    <w:bookmarkEnd w:id="37"/>
    <w:bookmarkStart w:id="38" w:name="数据一致性要求"/>
    <w:p>
      <w:pPr>
        <w:pStyle w:val="Heading3"/>
      </w:pPr>
      <w:r>
        <w:t xml:space="preserve">6.2 </w:t>
      </w:r>
      <w:r>
        <w:rPr>
          <w:rFonts w:hint="eastAsia"/>
        </w:rPr>
        <w:t xml:space="preserve">数据一致性要求</w:t>
      </w:r>
    </w:p>
    <w:p>
      <w:pPr>
        <w:pStyle w:val="Compact"/>
        <w:numPr>
          <w:ilvl w:val="0"/>
          <w:numId w:val="1015"/>
        </w:numPr>
      </w:pPr>
      <w:r>
        <w:t xml:space="preserve">ADC </w:t>
      </w:r>
      <w:r>
        <w:rPr>
          <w:rFonts w:hint="eastAsia"/>
        </w:rPr>
        <w:t xml:space="preserve">采样必须由</w:t>
      </w:r>
      <w:r>
        <w:t xml:space="preserve"> pls_so </w:t>
      </w:r>
      <w:r>
        <w:rPr>
          <w:rFonts w:hint="eastAsia"/>
        </w:rPr>
        <w:t xml:space="preserve">中断触发或同步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软件需保证</w:t>
      </w:r>
      <w:r>
        <w:t xml:space="preserve"> A/B </w:t>
      </w:r>
      <w:r>
        <w:rPr>
          <w:rFonts w:hint="eastAsia"/>
        </w:rPr>
        <w:t xml:space="preserve">成对有效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算法接口规范"/>
    <w:p>
      <w:pPr>
        <w:pStyle w:val="Heading2"/>
      </w:pPr>
      <w:r>
        <w:t xml:space="preserve">7. </w:t>
      </w:r>
      <w:r>
        <w:rPr>
          <w:rFonts w:hint="eastAsia"/>
        </w:rPr>
        <w:t xml:space="preserve">算法接口规范</w:t>
      </w:r>
    </w:p>
    <w:bookmarkStart w:id="40" w:name="原始数据接口"/>
    <w:p>
      <w:pPr>
        <w:pStyle w:val="Heading3"/>
      </w:pPr>
      <w:r>
        <w:t xml:space="preserve">7.1 </w:t>
      </w:r>
      <w:r>
        <w:rPr>
          <w:rFonts w:hint="eastAsia"/>
        </w:rPr>
        <w:t xml:space="preserve">原始数据接口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a_val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b_val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valid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isl700_raw_t</w:t>
      </w:r>
      <w:r>
        <w:rPr>
          <w:rStyle w:val="OperatorTok"/>
        </w:rPr>
        <w:t xml:space="preserve">;</w:t>
      </w:r>
    </w:p>
    <w:bookmarkEnd w:id="40"/>
    <w:bookmarkStart w:id="41" w:name="结果接口"/>
    <w:p>
      <w:pPr>
        <w:pStyle w:val="Heading3"/>
      </w:pPr>
      <w:r>
        <w:t xml:space="preserve">7.2 </w:t>
      </w:r>
      <w:r>
        <w:rPr>
          <w:rFonts w:hint="eastAsia"/>
        </w:rPr>
        <w:t xml:space="preserve">结果接口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valid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isl700_result_t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状态机接口规范"/>
    <w:p>
      <w:pPr>
        <w:pStyle w:val="Heading2"/>
      </w:pPr>
      <w:r>
        <w:t xml:space="preserve">8. </w:t>
      </w:r>
      <w:r>
        <w:rPr>
          <w:rFonts w:hint="eastAsia"/>
        </w:rPr>
        <w:t xml:space="preserve">状态机接口规范</w:t>
      </w:r>
    </w:p>
    <w:bookmarkStart w:id="43" w:name="状态定义"/>
    <w:p>
      <w:pPr>
        <w:pStyle w:val="Heading3"/>
      </w:pPr>
      <w:r>
        <w:t xml:space="preserve">8.1 </w:t>
      </w:r>
      <w:r>
        <w:rPr>
          <w:rFonts w:hint="eastAsia"/>
        </w:rPr>
        <w:t xml:space="preserve">状态定义</w:t>
      </w:r>
    </w:p>
    <w:p>
      <w:pPr>
        <w:pStyle w:val="Compact"/>
        <w:numPr>
          <w:ilvl w:val="0"/>
          <w:numId w:val="1016"/>
        </w:numPr>
      </w:pPr>
      <w:r>
        <w:t xml:space="preserve">INIT</w:t>
      </w:r>
    </w:p>
    <w:p>
      <w:pPr>
        <w:pStyle w:val="Compact"/>
        <w:numPr>
          <w:ilvl w:val="0"/>
          <w:numId w:val="1016"/>
        </w:numPr>
      </w:pPr>
      <w:r>
        <w:t xml:space="preserve">CONFIG</w:t>
      </w:r>
    </w:p>
    <w:p>
      <w:pPr>
        <w:pStyle w:val="Compact"/>
        <w:numPr>
          <w:ilvl w:val="0"/>
          <w:numId w:val="1016"/>
        </w:numPr>
      </w:pPr>
      <w:r>
        <w:t xml:space="preserve">IDLE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</w:p>
    <w:p>
      <w:pPr>
        <w:pStyle w:val="Compact"/>
        <w:numPr>
          <w:ilvl w:val="0"/>
          <w:numId w:val="1016"/>
        </w:numPr>
      </w:pPr>
      <w:r>
        <w:t xml:space="preserve">ERROR</w:t>
      </w:r>
    </w:p>
    <w:bookmarkEnd w:id="43"/>
    <w:bookmarkStart w:id="44" w:name="状态约束"/>
    <w:p>
      <w:pPr>
        <w:pStyle w:val="Heading3"/>
      </w:pPr>
      <w:r>
        <w:t xml:space="preserve">8.2 </w:t>
      </w:r>
      <w:r>
        <w:rPr>
          <w:rFonts w:hint="eastAsia"/>
        </w:rPr>
        <w:t xml:space="preserve">状态约束</w:t>
      </w:r>
    </w:p>
    <w:p>
      <w:pPr>
        <w:pStyle w:val="Compact"/>
        <w:numPr>
          <w:ilvl w:val="0"/>
          <w:numId w:val="1017"/>
        </w:numPr>
      </w:pPr>
      <w:r>
        <w:t xml:space="preserve">CONFIG </w:t>
      </w:r>
      <w:r>
        <w:rPr>
          <w:rFonts w:hint="eastAsia"/>
        </w:rPr>
        <w:t xml:space="preserve">未完成禁止进入</w:t>
      </w:r>
      <w:r>
        <w:t xml:space="preserve"> RUN</w:t>
      </w:r>
    </w:p>
    <w:p>
      <w:pPr>
        <w:pStyle w:val="Compact"/>
        <w:numPr>
          <w:ilvl w:val="0"/>
          <w:numId w:val="1017"/>
        </w:numPr>
      </w:pPr>
      <w:r>
        <w:t xml:space="preserve">ERROR </w:t>
      </w:r>
      <w:r>
        <w:rPr>
          <w:rFonts w:hint="eastAsia"/>
        </w:rPr>
        <w:t xml:space="preserve">状态必须关闭发射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错误与异常处理规范"/>
    <w:p>
      <w:pPr>
        <w:pStyle w:val="Heading2"/>
      </w:pPr>
      <w:r>
        <w:t xml:space="preserve">9. </w:t>
      </w:r>
      <w:r>
        <w:rPr>
          <w:rFonts w:hint="eastAsia"/>
        </w:rPr>
        <w:t xml:space="preserve">错误与异常处理规范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STS </w:t>
            </w:r>
            <w:r>
              <w:rPr>
                <w:rFonts w:hint="eastAsia"/>
              </w:rPr>
              <w:t xml:space="preserve">校验失败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重配或进入</w:t>
            </w:r>
            <w:r>
              <w:t xml:space="preserve">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数据不完整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丢弃本周期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饱和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降低增益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发射异常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close_pls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量产与维护建议"/>
    <w:p>
      <w:pPr>
        <w:pStyle w:val="Heading2"/>
      </w:pPr>
      <w:r>
        <w:t xml:space="preserve">10. </w:t>
      </w:r>
      <w:r>
        <w:rPr>
          <w:rFonts w:hint="eastAsia"/>
        </w:rPr>
        <w:t xml:space="preserve">量产与维护建议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所有关键参数需支持固件可配置</w:t>
      </w:r>
    </w:p>
    <w:p>
      <w:pPr>
        <w:pStyle w:val="Compact"/>
        <w:numPr>
          <w:ilvl w:val="0"/>
          <w:numId w:val="1018"/>
        </w:numPr>
      </w:pPr>
      <w:r>
        <w:t xml:space="preserve">Teach-in </w:t>
      </w:r>
      <w:r>
        <w:rPr>
          <w:rFonts w:hint="eastAsia"/>
        </w:rPr>
        <w:t xml:space="preserve">结果应存储于非易失存储器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提供暗场模式（close_pls=1）用于自检</w:t>
      </w:r>
    </w:p>
    <w:p>
      <w:r>
        <w:pict>
          <v:rect style="width:0;height:1.5pt" o:hralign="center" o:hrstd="t" o:hr="t"/>
        </w:pict>
      </w:r>
    </w:p>
    <w:bookmarkEnd w:id="47"/>
    <w:bookmarkStart w:id="48" w:name="文档结论"/>
    <w:p>
      <w:pPr>
        <w:pStyle w:val="Heading2"/>
      </w:pPr>
      <w:r>
        <w:t xml:space="preserve">11. </w:t>
      </w:r>
      <w:r>
        <w:rPr>
          <w:rFonts w:hint="eastAsia"/>
        </w:rPr>
        <w:t xml:space="preserve">文档结论</w:t>
      </w:r>
    </w:p>
    <w:p>
      <w:pPr>
        <w:pStyle w:val="FirstParagraph"/>
      </w:pPr>
      <w:r>
        <w:rPr>
          <w:rFonts w:hint="eastAsia"/>
        </w:rPr>
        <w:t xml:space="preserve">本规范定义了</w:t>
      </w:r>
      <w:r>
        <w:t xml:space="preserve"> ISL700_2A </w:t>
      </w:r>
      <w:r>
        <w:rPr>
          <w:rFonts w:hint="eastAsia"/>
        </w:rPr>
        <w:t xml:space="preserve">软件驱动的完整接口、约束与工程规则，任何偏离本规范的实现都可能导致背景抑制功能不稳定或失效。</w:t>
      </w:r>
    </w:p>
    <w:p>
      <w:pPr>
        <w:pStyle w:val="BodyText"/>
      </w:pPr>
      <w:r>
        <w:rPr>
          <w:rFonts w:hint="eastAsia"/>
        </w:rPr>
        <w:t xml:space="preserve">建议本规范作为：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软件设计依据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硬件联调检查标准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测试用例设计输入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2026-01-28T02:46:09Z</dcterms:created>
  <dcterms:modified xsi:type="dcterms:W3CDTF">2026-01-28T02:46:09Z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