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2D94528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3856F6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8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2022-02-11T09:24:51Z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D358D58EA06D4AD8B26F62DC975E96E6</vt:lpwstr>
  </property>
</Properties>
</file>