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3D16C91"/>
    <w:rsid w:val="04670998"/>
    <w:rsid w:val="047023DF"/>
    <w:rsid w:val="057F632B"/>
    <w:rsid w:val="05B22C96"/>
    <w:rsid w:val="06EF0F5F"/>
    <w:rsid w:val="07853B29"/>
    <w:rsid w:val="08D96ACF"/>
    <w:rsid w:val="09437C6E"/>
    <w:rsid w:val="095D0738"/>
    <w:rsid w:val="098D1E86"/>
    <w:rsid w:val="0AD77D92"/>
    <w:rsid w:val="0B8416AC"/>
    <w:rsid w:val="0BA667CE"/>
    <w:rsid w:val="0CCB54D7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DE32814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2D94528"/>
    <w:rsid w:val="533B4E44"/>
    <w:rsid w:val="5374369F"/>
    <w:rsid w:val="54622047"/>
    <w:rsid w:val="54BB6D91"/>
    <w:rsid w:val="54ED4DD5"/>
    <w:rsid w:val="5522102F"/>
    <w:rsid w:val="555B0C27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3856F6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8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2022-02-11T09:25:31Z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7518831278FD4326B21A2836C3E7A6B0</vt:lpwstr>
  </property>
</Properties>
</file>