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FLORICOLA ANALYTICS — FASE 4: AI ENGINEERING Y AGENTES</w:t>
      </w:r>
    </w:p>
    <w:p>
      <w:pPr>
        <w:jc w:val="center"/>
      </w:pPr>
      <w:r>
        <w:t>Fase final, construida sobre las fases anteriores</w:t>
      </w:r>
    </w:p>
    <w:p>
      <w:pPr>
        <w:pStyle w:val="Heading1"/>
      </w:pPr>
      <w:r>
        <w:t>Producto</w:t>
      </w:r>
    </w:p>
    <w:p>
      <w:r>
        <w:t>Florícola Operations Intelligence Assistant: asistente capaz de consultar datos operativos, recuperar documentación, consultar modelos predictivos y verificar que sus respuestas tengan evidencia.</w:t>
      </w:r>
    </w:p>
    <w:p>
      <w:pPr>
        <w:pStyle w:val="Heading1"/>
      </w:pPr>
      <w:r>
        <w:t>Arquitectura</w:t>
      </w:r>
    </w:p>
    <w:p>
      <w:pPr>
        <w:pStyle w:val="ListBullet"/>
      </w:pPr>
      <w:r>
        <w:t>Supervisor/Router con LangGraph</w:t>
      </w:r>
    </w:p>
    <w:p>
      <w:pPr>
        <w:pStyle w:val="ListBullet"/>
      </w:pPr>
      <w:r>
        <w:t>RAG Agent: SOPs y documentación de demostración con PostgreSQL + pgvector + retrieval/reranking</w:t>
      </w:r>
    </w:p>
    <w:p>
      <w:pPr>
        <w:pStyle w:val="ListBullet"/>
      </w:pPr>
      <w:r>
        <w:t>Data/Tools Agent: herramientas SQL controladas</w:t>
      </w:r>
    </w:p>
    <w:p>
      <w:pPr>
        <w:pStyle w:val="ListBullet"/>
      </w:pPr>
      <w:r>
        <w:t>Forecast/ML Agent: consulta predicciones y métricas</w:t>
      </w:r>
    </w:p>
    <w:p>
      <w:pPr>
        <w:pStyle w:val="ListBullet"/>
      </w:pPr>
      <w:r>
        <w:t>Critic Agent: verifica evidencia y activa fallback</w:t>
      </w:r>
    </w:p>
    <w:p>
      <w:pPr>
        <w:pStyle w:val="ListBullet"/>
      </w:pPr>
      <w:r>
        <w:t>FastAPI + SSE para streaming</w:t>
      </w:r>
    </w:p>
    <w:p>
      <w:pPr>
        <w:pStyle w:val="ListBullet"/>
      </w:pPr>
      <w:r>
        <w:t>OpenTelemetry + Langfuse para trazas</w:t>
      </w:r>
    </w:p>
    <w:p>
      <w:pPr>
        <w:pStyle w:val="ListBullet"/>
      </w:pPr>
      <w:r>
        <w:t>Golden dataset + DeepEval/Ragas para evaluación</w:t>
      </w:r>
    </w:p>
    <w:p>
      <w:pPr>
        <w:pStyle w:val="ListBullet"/>
      </w:pPr>
      <w:r>
        <w:t>MCP al final para estandarizar herramientas</w:t>
      </w:r>
    </w:p>
    <w:p>
      <w:pPr>
        <w:pStyle w:val="Heading1"/>
      </w:pPr>
      <w:r>
        <w:t>Tools iniciales</w:t>
      </w:r>
    </w:p>
    <w:p>
      <w:pPr>
        <w:pStyle w:val="ListBullet"/>
      </w:pPr>
      <w:r>
        <w:t>get_sales_summary</w:t>
      </w:r>
    </w:p>
    <w:p>
      <w:pPr>
        <w:pStyle w:val="ListBullet"/>
      </w:pPr>
      <w:r>
        <w:t>get_sales_by_variety</w:t>
      </w:r>
    </w:p>
    <w:p>
      <w:pPr>
        <w:pStyle w:val="ListBullet"/>
      </w:pPr>
      <w:r>
        <w:t>get_sales_by_country</w:t>
      </w:r>
    </w:p>
    <w:p>
      <w:pPr>
        <w:pStyle w:val="ListBullet"/>
      </w:pPr>
      <w:r>
        <w:t>get_customer_rfm</w:t>
      </w:r>
    </w:p>
    <w:p>
      <w:pPr>
        <w:pStyle w:val="ListBullet"/>
      </w:pPr>
      <w:r>
        <w:t>get_production_metrics</w:t>
      </w:r>
    </w:p>
    <w:p>
      <w:pPr>
        <w:pStyle w:val="ListBullet"/>
      </w:pPr>
      <w:r>
        <w:t>get_inventory_status</w:t>
      </w:r>
    </w:p>
    <w:p>
      <w:pPr>
        <w:pStyle w:val="ListBullet"/>
      </w:pPr>
      <w:r>
        <w:t>get_forecast</w:t>
      </w:r>
    </w:p>
    <w:p>
      <w:pPr>
        <w:pStyle w:val="ListBullet"/>
      </w:pPr>
      <w:r>
        <w:t>search_operational_docs</w:t>
      </w:r>
    </w:p>
    <w:p>
      <w:pPr>
        <w:pStyle w:val="Heading1"/>
      </w:pPr>
      <w:r>
        <w:t>Guardrails</w:t>
      </w:r>
    </w:p>
    <w:p>
      <w:pPr>
        <w:pStyle w:val="ListBullet"/>
      </w:pPr>
      <w:r>
        <w:t>Pydantic para parámetros</w:t>
      </w:r>
    </w:p>
    <w:p>
      <w:pPr>
        <w:pStyle w:val="ListBullet"/>
      </w:pPr>
      <w:r>
        <w:t>SQL parametrizado</w:t>
      </w:r>
    </w:p>
    <w:p>
      <w:pPr>
        <w:pStyle w:val="ListBullet"/>
      </w:pPr>
      <w:r>
        <w:t>No permitir SQL arbitrario generado por el LLM</w:t>
      </w:r>
    </w:p>
    <w:p>
      <w:pPr>
        <w:pStyle w:val="ListBullet"/>
      </w:pPr>
      <w:r>
        <w:t>Fallback cuando no existe evidencia</w:t>
      </w:r>
    </w:p>
    <w:p>
      <w:pPr>
        <w:pStyle w:val="ListBullet"/>
      </w:pPr>
      <w:r>
        <w:t>Separación entre datos observados, predicciones e inferencias</w:t>
      </w:r>
    </w:p>
    <w:p>
      <w:pPr>
        <w:pStyle w:val="ListBullet"/>
      </w:pPr>
      <w:r>
        <w:t>Logs y trazabilidad de tool calls</w:t>
      </w:r>
    </w:p>
    <w:p>
      <w:pPr>
        <w:pStyle w:val="Heading1"/>
      </w:pPr>
      <w:r>
        <w:t>Evaluación</w:t>
      </w:r>
    </w:p>
    <w:p>
      <w:pPr>
        <w:pStyle w:val="ListBullet"/>
      </w:pPr>
      <w:r>
        <w:t>25–30 casos iniciales</w:t>
      </w:r>
    </w:p>
    <w:p>
      <w:pPr>
        <w:pStyle w:val="ListBullet"/>
      </w:pPr>
      <w:r>
        <w:t>Casos RAG</w:t>
      </w:r>
    </w:p>
    <w:p>
      <w:pPr>
        <w:pStyle w:val="ListBullet"/>
      </w:pPr>
      <w:r>
        <w:t>Casos de herramientas</w:t>
      </w:r>
    </w:p>
    <w:p>
      <w:pPr>
        <w:pStyle w:val="ListBullet"/>
      </w:pPr>
      <w:r>
        <w:t>Casos adversariales</w:t>
      </w:r>
    </w:p>
    <w:p>
      <w:pPr>
        <w:pStyle w:val="ListBullet"/>
      </w:pPr>
      <w:r>
        <w:t>Faithfulness/Groundedness</w:t>
      </w:r>
    </w:p>
    <w:p>
      <w:pPr>
        <w:pStyle w:val="ListBullet"/>
      </w:pPr>
      <w:r>
        <w:t>Relevancia</w:t>
      </w:r>
    </w:p>
    <w:p>
      <w:pPr>
        <w:pStyle w:val="ListBullet"/>
      </w:pPr>
      <w:r>
        <w:t>Selección correcta de tool</w:t>
      </w:r>
    </w:p>
    <w:p>
      <w:pPr>
        <w:pStyle w:val="ListBullet"/>
      </w:pPr>
      <w:r>
        <w:t>Errores de validación</w:t>
      </w:r>
    </w:p>
    <w:p>
      <w:pPr>
        <w:pStyle w:val="ListBullet"/>
      </w:pPr>
      <w:r>
        <w:t>Umbral de calidad para bloquear despliegues defectuosos</w:t>
      </w:r>
    </w:p>
    <w:p>
      <w:pPr>
        <w:pStyle w:val="Heading1"/>
      </w:pPr>
      <w:r>
        <w:t>MCP</w:t>
      </w:r>
    </w:p>
    <w:p>
      <w:r>
        <w:t>Solo después de que las tools internas funcionen. MCP debe resolver interoperabilidad; no se añade solo para llenar el stack.</w:t>
      </w:r>
    </w:p>
    <w:p>
      <w:pPr>
        <w:pStyle w:val="Heading1"/>
      </w:pPr>
      <w:r>
        <w:t>Salida</w:t>
      </w:r>
    </w:p>
    <w:p>
      <w:pPr>
        <w:pStyle w:val="ListBullet"/>
      </w:pPr>
      <w:r>
        <w:t>Demo end-to-end</w:t>
      </w:r>
    </w:p>
    <w:p>
      <w:pPr>
        <w:pStyle w:val="ListBullet"/>
      </w:pPr>
      <w:r>
        <w:t>Arquitectura documentada</w:t>
      </w:r>
    </w:p>
    <w:p>
      <w:pPr>
        <w:pStyle w:val="ListBullet"/>
      </w:pPr>
      <w:r>
        <w:t>Trazas visibles</w:t>
      </w:r>
    </w:p>
    <w:p>
      <w:pPr>
        <w:pStyle w:val="ListBullet"/>
      </w:pPr>
      <w:r>
        <w:t>Suite de evaluación</w:t>
      </w:r>
    </w:p>
    <w:p>
      <w:pPr>
        <w:pStyle w:val="ListBullet"/>
      </w:pPr>
      <w:r>
        <w:t>Fallbacks y guardrails</w:t>
      </w:r>
    </w:p>
    <w:p>
      <w:pPr>
        <w:pStyle w:val="ListBullet"/>
      </w:pPr>
      <w:r>
        <w:t>README orientado a AI Engineer</w:t>
      </w:r>
    </w:p>
    <w:p>
      <w:pPr>
        <w:pStyle w:val="ListBullet"/>
      </w:pPr>
      <w:r>
        <w:t>Caso de entrevista con trade-offs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