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FLORICOLA ANALYTICS — NARRATIVA PARA AI ENGINEER</w:t>
      </w:r>
    </w:p>
    <w:p>
      <w:pPr>
        <w:jc w:val="center"/>
      </w:pPr>
      <w:r>
        <w:t>Cómo defender el proyecto en entrevista</w:t>
      </w:r>
    </w:p>
    <w:p>
      <w:pPr>
        <w:pStyle w:val="Heading1"/>
      </w:pPr>
      <w:r>
        <w:t>One-liner</w:t>
      </w:r>
    </w:p>
    <w:p>
      <w:r>
        <w:t>Construí una plataforma de inteligencia operacional para una florícola que evoluciona desde data quality y BI hasta forecasting, MLOps y un asistente de IA con RAG, herramientas controladas, evaluación y observabilidad.</w:t>
      </w:r>
    </w:p>
    <w:p>
      <w:pPr>
        <w:pStyle w:val="Heading1"/>
      </w:pPr>
      <w:r>
        <w:t>Data</w:t>
      </w:r>
    </w:p>
    <w:p>
      <w:r>
        <w:t>Primero resolví calidad y representación analítica antes de aplicar IA.</w:t>
      </w:r>
    </w:p>
    <w:p>
      <w:pPr>
        <w:pStyle w:val="Heading1"/>
      </w:pPr>
      <w:r>
        <w:t>BI</w:t>
      </w:r>
    </w:p>
    <w:p>
      <w:r>
        <w:t>Construí dashboards orientados a preguntas comerciales y operativas, usando DAX cuando aportaba valor.</w:t>
      </w:r>
    </w:p>
    <w:p>
      <w:pPr>
        <w:pStyle w:val="Heading1"/>
      </w:pPr>
      <w:r>
        <w:t>ML</w:t>
      </w:r>
    </w:p>
    <w:p>
      <w:r>
        <w:t>Añadí predicción solamente cuando existía una pregunta concreta y comparé el modelo contra un baseline.</w:t>
      </w:r>
    </w:p>
    <w:p>
      <w:pPr>
        <w:pStyle w:val="Heading1"/>
      </w:pPr>
      <w:r>
        <w:t>MLOps</w:t>
      </w:r>
    </w:p>
    <w:p>
      <w:r>
        <w:t>Convertí el entrenamiento en un proceso reproducible, testeable y desplegable.</w:t>
      </w:r>
    </w:p>
    <w:p>
      <w:pPr>
        <w:pStyle w:val="Heading1"/>
      </w:pPr>
      <w:r>
        <w:t>Agents</w:t>
      </w:r>
    </w:p>
    <w:p>
      <w:r>
        <w:t>El asistente no tiene acceso irrestricto a la base; utiliza tools validadas y separa consulta documental, datos y predicción.</w:t>
      </w:r>
    </w:p>
    <w:p>
      <w:pPr>
        <w:pStyle w:val="Heading1"/>
      </w:pPr>
      <w:r>
        <w:t>Reliability</w:t>
      </w:r>
    </w:p>
    <w:p>
      <w:r>
        <w:t>Instrumenté las llamadas para conocer latencia, errores, tokens y comportamiento por nodo.</w:t>
      </w:r>
    </w:p>
    <w:p>
      <w:pPr>
        <w:pStyle w:val="Heading1"/>
      </w:pPr>
      <w:r>
        <w:t>Evaluation</w:t>
      </w:r>
    </w:p>
    <w:p>
      <w:r>
        <w:t>Medí groundedness y comportamiento adversarial en vez de asumir que una respuesta fluida es correcta.</w:t>
      </w:r>
    </w:p>
    <w:p>
      <w:pPr>
        <w:pStyle w:val="Heading1"/>
      </w:pPr>
      <w:r>
        <w:t>MCP</w:t>
      </w:r>
    </w:p>
    <w:p>
      <w:r>
        <w:t>Lo añadí como capa de interoperabilidad una vez estabilizadas las herramientas.</w:t>
      </w:r>
    </w:p>
    <w:p>
      <w:pPr>
        <w:pStyle w:val="Heading1"/>
      </w:pPr>
      <w:r>
        <w:t>Escenario de fallo para practicar</w:t>
      </w:r>
    </w:p>
    <w:p>
      <w:r>
        <w:t>Una tool cambia el nombre de un campo. Pydantic rechaza el payload antes de llegar a datos; OpenTelemetry identifica el nodo y tool afectados. Debe presentarse como escenario simulado, no como incidente laboral real.</w:t>
      </w:r>
    </w:p>
    <w:p>
      <w:pPr>
        <w:pStyle w:val="Heading1"/>
      </w:pPr>
      <w:r>
        <w:t>Regla de honestidad</w:t>
      </w:r>
    </w:p>
    <w:p>
      <w:r>
        <w:t>Distinguir siempre entre funcionalidades implementadas, simulaciones y escenarios de prueba. No atribuir tráfico, clientes ni incidentes reales al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