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MINISTÉRIO DA EDUCAÇÃO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INSTITUTO FEDERAL DE EDUCAÇÃO, CIÊNCIA E TECNOLOGIA DO PARÁ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CAMPUS ANANINDEUA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BACHARELADO EM CIÊNCIA DA COMPUTAÇÃO</w:t>
      </w:r>
    </w:p>
    <w:p>
      <w:pPr>
        <w:spacing w:after="120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 TÉCNICO-CIENTÍFICO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ASSISTENTE ACADÊMICO IFPA: AGENTE RAG COM RACIOCÍNIO REACT</w:t>
      </w:r>
    </w:p>
    <w:p>
      <w:pPr>
        <w:spacing w:after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Componente curricular: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Tópicos Avançados em Computação I (Miniprojeto 1)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Discentes: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[Nome do Integrante 1 (líder)], [Nome do Integrante 2], [Nome do Integrante 3], [Nome do Integrante 4]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Local e data: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Ananindeua – PA, outubro de 2026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DETALHAMENTO DA ARQUITETURA DO AGENTE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assistente combina a Geração Aumentada por Recuperação (RAG), que injeta no contexto do modelo trechos recuperados de uma base externa, com um agente no paradigma ReAct, que intercala raciocínio, ação e observação. A arquitetura (Figura 1) tem dois fluxos. Na </w:t>
      </w:r>
      <w:r>
        <w:rPr>
          <w:rFonts w:ascii="Times New Roman" w:cs="Times New Roman" w:eastAsia="Times New Roman" w:hAnsi="Times New Roman"/>
          <w:b/>
          <w:bCs/>
        </w:rPr>
        <w:t xml:space="preserve">preparação</w:t>
      </w:r>
      <w:r>
        <w:rPr>
          <w:rFonts w:ascii="Times New Roman" w:cs="Times New Roman" w:eastAsia="Times New Roman" w:hAnsi="Times New Roman"/>
        </w:rPr>
        <w:t xml:space="preserve">, os documentos oficiais (Resolução CONSUP nº 945/2023, PPC e Guia Acadêmico 2025) são lidos pelo </w:t>
      </w:r>
      <w:r>
        <w:rPr>
          <w:rFonts w:ascii="Courier New" w:cs="Courier New" w:eastAsia="Courier New" w:hAnsi="Courier New"/>
          <w:sz w:val="21"/>
          <w:szCs w:val="21"/>
        </w:rPr>
        <w:t xml:space="preserve">PyPDFLoader</w:t>
      </w:r>
      <w:r>
        <w:rPr>
          <w:rFonts w:ascii="Times New Roman" w:cs="Times New Roman" w:eastAsia="Times New Roman" w:hAnsi="Times New Roman"/>
        </w:rPr>
        <w:t xml:space="preserve">, fatiados, vetorizados com o </w:t>
      </w:r>
      <w:r>
        <w:rPr>
          <w:rFonts w:ascii="Courier New" w:cs="Courier New" w:eastAsia="Courier New" w:hAnsi="Courier New"/>
          <w:sz w:val="21"/>
          <w:szCs w:val="21"/>
        </w:rPr>
        <w:t xml:space="preserve">text-embedding-3-small</w:t>
      </w:r>
      <w:r>
        <w:rPr>
          <w:rFonts w:ascii="Times New Roman" w:cs="Times New Roman" w:eastAsia="Times New Roman" w:hAnsi="Times New Roman"/>
        </w:rPr>
        <w:t xml:space="preserve"> e armazenados no ChromaDB. Na </w:t>
      </w:r>
      <w:r>
        <w:rPr>
          <w:rFonts w:ascii="Times New Roman" w:cs="Times New Roman" w:eastAsia="Times New Roman" w:hAnsi="Times New Roman"/>
          <w:b/>
          <w:bCs/>
        </w:rPr>
        <w:t xml:space="preserve">consulta</w:t>
      </w:r>
      <w:r>
        <w:rPr>
          <w:rFonts w:ascii="Times New Roman" w:cs="Times New Roman" w:eastAsia="Times New Roman" w:hAnsi="Times New Roman"/>
        </w:rPr>
        <w:t xml:space="preserve">, a pergunta chega a uma API FastAPI no Railway, passa pela camada de segurança e é entregue ao agente.</w:t>
      </w:r>
    </w:p>
    <w:p>
      <w:pPr>
        <w:keepNext/>
        <w:spacing w:after="60" w:before="1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Arquitetura do agente</w:t>
      </w:r>
    </w:p>
    <w:p>
      <w:pPr>
        <w:keepNext/>
        <w:jc w:val="center"/>
      </w:pPr>
      <w:r>
        <w:drawing>
          <wp:inline distT="0" distB="0" distL="0" distR="0">
            <wp:extent cx="5762625" cy="17335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agente é criado com </w:t>
      </w:r>
      <w:r>
        <w:rPr>
          <w:rFonts w:ascii="Courier New" w:cs="Courier New" w:eastAsia="Courier New" w:hAnsi="Courier New"/>
          <w:sz w:val="21"/>
          <w:szCs w:val="21"/>
        </w:rPr>
        <w:t xml:space="preserve">create_agent</w:t>
      </w:r>
      <w:r>
        <w:rPr>
          <w:rFonts w:ascii="Times New Roman" w:cs="Times New Roman" w:eastAsia="Times New Roman" w:hAnsi="Times New Roman"/>
        </w:rPr>
        <w:t xml:space="preserve"> do LangChain e executado como um grafo LangGraph. O modelo </w:t>
      </w:r>
      <w:r>
        <w:rPr>
          <w:rFonts w:ascii="Courier New" w:cs="Courier New" w:eastAsia="Courier New" w:hAnsi="Courier New"/>
          <w:sz w:val="21"/>
          <w:szCs w:val="21"/>
        </w:rPr>
        <w:t xml:space="preserve">gpt-4o-mini</w:t>
      </w:r>
      <w:r>
        <w:rPr>
          <w:rFonts w:ascii="Times New Roman" w:cs="Times New Roman" w:eastAsia="Times New Roman" w:hAnsi="Times New Roman"/>
        </w:rPr>
        <w:t xml:space="preserve">, com temperatura zero, realiza o ciclo </w:t>
      </w:r>
      <w:r>
        <w:rPr>
          <w:rFonts w:ascii="Times New Roman" w:cs="Times New Roman" w:eastAsia="Times New Roman" w:hAnsi="Times New Roman"/>
          <w:i/>
          <w:iCs/>
        </w:rPr>
        <w:t xml:space="preserve">Thought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Times New Roman" w:cs="Times New Roman" w:eastAsia="Times New Roman" w:hAnsi="Times New Roman"/>
          <w:i/>
          <w:iCs/>
        </w:rPr>
        <w:t xml:space="preserve">Action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Times New Roman" w:cs="Times New Roman" w:eastAsia="Times New Roman" w:hAnsi="Times New Roman"/>
          <w:i/>
          <w:iCs/>
        </w:rPr>
        <w:t xml:space="preserve">Observation</w:t>
      </w:r>
      <w:r>
        <w:rPr>
          <w:rFonts w:ascii="Times New Roman" w:cs="Times New Roman" w:eastAsia="Times New Roman" w:hAnsi="Times New Roman"/>
        </w:rPr>
        <w:t xml:space="preserve">: decide se precisa consultar os documentos, chama a ferramenta de busca, lê os trechos e repete até reunir evidência suficiente. A memória de sessão é mantida por um </w:t>
      </w:r>
      <w:r>
        <w:rPr>
          <w:rFonts w:ascii="Courier New" w:cs="Courier New" w:eastAsia="Courier New" w:hAnsi="Courier New"/>
          <w:sz w:val="21"/>
          <w:szCs w:val="21"/>
        </w:rPr>
        <w:t xml:space="preserve">InMemorySaver</w:t>
      </w:r>
      <w:r>
        <w:rPr>
          <w:rFonts w:ascii="Times New Roman" w:cs="Times New Roman" w:eastAsia="Times New Roman" w:hAnsi="Times New Roman"/>
        </w:rPr>
        <w:t xml:space="preserve">, e um middleware limita o histórico enviado ao modelo a 6 mil tokens.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DESENHO DAS TOOLS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As ferramentas foram implementadas como funções Python decoradas com </w:t>
      </w:r>
      <w:r>
        <w:rPr>
          <w:rFonts w:ascii="Courier New" w:cs="Courier New" w:eastAsia="Courier New" w:hAnsi="Courier New"/>
          <w:sz w:val="21"/>
          <w:szCs w:val="21"/>
        </w:rPr>
        <w:t xml:space="preserve">@tool</w:t>
      </w:r>
      <w:r>
        <w:rPr>
          <w:rFonts w:ascii="Times New Roman" w:cs="Times New Roman" w:eastAsia="Times New Roman" w:hAnsi="Times New Roman"/>
        </w:rPr>
        <w:t xml:space="preserve">. Suas docstrings funcionam como contrato com o modelo: descrevem quando usar a ferramenta, quais argumentos fornecer e como interpretar o retorno (Quadro 1).</w:t>
      </w:r>
    </w:p>
    <w:p>
      <w:pPr>
        <w:keepNext/>
        <w:spacing w:after="60" w:before="1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1 – Ferramentas disponíveis ao agente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540"/>
        <w:gridCol w:w="4081"/>
      </w:tblGrid>
      <w:tr>
        <w:trPr>
          <w:cantSplit/>
          <w:tblHeader/>
        </w:trPr>
        <w:tc>
          <w:tcPr>
            <w:tcW w:type="dxa" w:w="2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40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Saída e uso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buscar_normas_ifpa</w:t>
            </w:r>
          </w:p>
        </w:tc>
        <w:tc>
          <w:tcPr>
            <w:tcW w:type="dxa" w:w="25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consulta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pergunta reescrita em termos normativos;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pensamento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motivo da busca</w:t>
            </w:r>
          </w:p>
        </w:tc>
        <w:tc>
          <w:tcPr>
            <w:tcW w:type="dxa" w:w="40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Até 7 trechos no formato "documento | página | artigo | relevância", ou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SEM_EVIDENCIA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quando nada é relevante. Uso obrigatório antes de qualquer resposta sobre normas.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listar_documentos_oficiais</w:t>
            </w:r>
          </w:p>
        </w:tc>
        <w:tc>
          <w:tcPr>
            <w:tcW w:type="dxa" w:w="25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Nenhuma</w:t>
            </w:r>
          </w:p>
        </w:tc>
        <w:tc>
          <w:tcPr>
            <w:tcW w:type="dxa" w:w="40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Lista dos documentos indexados, usada quando o usuário pergunta quais fontes o assistente conhece.</w:t>
            </w:r>
          </w:p>
        </w:tc>
      </w:tr>
    </w:tbl>
    <w:p>
      <w:pPr>
        <w:spacing w:after="160" w:before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parâmetro </w:t>
      </w:r>
      <w:r>
        <w:rPr>
          <w:rFonts w:ascii="Courier New" w:cs="Courier New" w:eastAsia="Courier New" w:hAnsi="Courier New"/>
          <w:sz w:val="21"/>
          <w:szCs w:val="21"/>
        </w:rPr>
        <w:t xml:space="preserve">pensamento</w:t>
      </w:r>
      <w:r>
        <w:rPr>
          <w:rFonts w:ascii="Times New Roman" w:cs="Times New Roman" w:eastAsia="Times New Roman" w:hAnsi="Times New Roman"/>
        </w:rPr>
        <w:t xml:space="preserve"> torna o </w:t>
      </w:r>
      <w:r>
        <w:rPr>
          <w:rFonts w:ascii="Times New Roman" w:cs="Times New Roman" w:eastAsia="Times New Roman" w:hAnsi="Times New Roman"/>
          <w:i/>
          <w:iCs/>
        </w:rPr>
        <w:t xml:space="preserve">Thought</w:t>
      </w:r>
      <w:r>
        <w:rPr>
          <w:rFonts w:ascii="Times New Roman" w:cs="Times New Roman" w:eastAsia="Times New Roman" w:hAnsi="Times New Roman"/>
        </w:rPr>
        <w:t xml:space="preserve"> explícito e auditável no log, pois modelos com chamada nativa de ferramentas costumam omitir o raciocínio textual. Internamente, a busca é híbrida: a busca vetorial no ChromaDB (4 trechos, distância de cosseno) decide se há evidência, e o índice lexical BM25, com 3 trechos, complementa com termos exatos, como "abono" ou "trancamento".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ESTRATÉGIA DE FATIAMENTO DOS PDFS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O texto é fatiado pelo </w:t>
      </w:r>
      <w:r>
        <w:rPr>
          <w:rFonts w:ascii="Courier New" w:cs="Courier New" w:eastAsia="Courier New" w:hAnsi="Courier New"/>
          <w:sz w:val="21"/>
          <w:szCs w:val="21"/>
        </w:rPr>
        <w:t xml:space="preserve">RecursiveCharacterTextSplitter</w:t>
      </w:r>
      <w:r>
        <w:rPr>
          <w:rFonts w:ascii="Times New Roman" w:cs="Times New Roman" w:eastAsia="Times New Roman" w:hAnsi="Times New Roman"/>
        </w:rPr>
        <w:t xml:space="preserve"> com </w:t>
      </w:r>
      <w:r>
        <w:rPr>
          <w:rFonts w:ascii="Courier New" w:cs="Courier New" w:eastAsia="Courier New" w:hAnsi="Courier New"/>
          <w:sz w:val="21"/>
          <w:szCs w:val="21"/>
        </w:rPr>
        <w:t xml:space="preserve">chunk_size</w:t>
      </w:r>
      <w:r>
        <w:rPr>
          <w:rFonts w:ascii="Times New Roman" w:cs="Times New Roman" w:eastAsia="Times New Roman" w:hAnsi="Times New Roman"/>
        </w:rPr>
        <w:t xml:space="preserve"> de 1200 caracteres (cerca de 300 tokens) e </w:t>
      </w:r>
      <w:r>
        <w:rPr>
          <w:rFonts w:ascii="Courier New" w:cs="Courier New" w:eastAsia="Courier New" w:hAnsi="Courier New"/>
          <w:sz w:val="21"/>
          <w:szCs w:val="21"/>
        </w:rPr>
        <w:t xml:space="preserve">chunk_overlap</w:t>
      </w:r>
      <w:r>
        <w:rPr>
          <w:rFonts w:ascii="Times New Roman" w:cs="Times New Roman" w:eastAsia="Times New Roman" w:hAnsi="Times New Roman"/>
        </w:rPr>
        <w:t xml:space="preserve"> de 200 caracteres (cerca de 17%). Os separadores priorizam a hierarquia das normas — TÍTULO, CAPÍTULO, Seção, Art. e § — antes das quebras genéricas de parágrafo, linha e frase. Quanto ao contexto, a unidade de sentido de uma norma é o artigo com seus parágrafos (em geral de 600 a 1200 caracteres): trechos menores separariam a regra de suas exceções, e maiores misturariam artigos, diluindo o vetor. Quanto ao custo (FinOps), cada busca injeta no máximo cerca de 2.000 tokens, e a indexação completa (~116 mil tokens) custa cerca de US$ 0,002.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A primeira versão fatiava por página, cortando artigos e levando o agente a atribuir números de artigo errados a parágrafos isolados. Na versão final, o documento é fatiado inteiro, a página de cada trecho é calculada pelo deslocamento no texto e os trechos que começam no meio de um artigo recebem o prefixo "(continuação do Art. N)". O resultado são 480 trechos, dos quais 164 começam exatamente em "Art." e 376 estão rotulados com o artigo a que pertencem.</w:t>
      </w:r>
    </w:p>
    <w:p>
      <w:pPr>
        <w:pStyle w:val="Heading1"/>
        <w:keepNext/>
        <w:spacing w:after="120" w:before="3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JUSTIFICATIVA DA MITIGAÇÃO DE ALUCINAÇÕES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Modelos de linguagem podem gerar conteúdo fluente, porém sem sustentação nas fontes. Como o roteiro exige que toda resposta sobre normas seja ancorada nos documentos oficiais, a mitigação foi organizada em cinco camadas complementares (Quadro 2).</w:t>
      </w:r>
    </w:p>
    <w:p>
      <w:pPr>
        <w:keepNext/>
        <w:spacing w:after="60" w:before="1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Quadro 2 – Camadas de mitigação de alucinações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0"/>
        <w:gridCol w:w="3621"/>
      </w:tblGrid>
      <w:tr>
        <w:trPr>
          <w:cantSplit/>
          <w:tblHeader/>
        </w:trP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Mecanismo</w:t>
            </w:r>
          </w:p>
        </w:tc>
        <w:tc>
          <w:tcPr>
            <w:tcW w:type="dxa" w:w="36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 de 1000 caracteres e detecção de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6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Impede que o usuário altere as regras do agente, sem gerar custo.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Tráfego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 de 15 perguntas por minuto por IP</w:t>
            </w:r>
          </w:p>
        </w:tc>
        <w:tc>
          <w:tcPr>
            <w:tcW w:type="dxa" w:w="36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Protege a cota da API contra abuso.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Documentos como única fonte, busca e citação obrigatórias, recusa de temas fora do escopo, temperatura zero</w:t>
            </w:r>
          </w:p>
        </w:tc>
        <w:tc>
          <w:tcPr>
            <w:tcW w:type="dxa" w:w="36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Restringe o modelo ao conteúdo recuperado.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Limiar de distância de cosseno (0,75) e retorno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SEM_EVIDENCIA</w:t>
            </w:r>
          </w:p>
        </w:tc>
        <w:tc>
          <w:tcPr>
            <w:tcW w:type="dxa" w:w="36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evidência, o agente admite que não encontrou a informação.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 reparado (json-repair) e validado (Pydantic); citações e números de artigo conferidos contra os trechos recuperados</w:t>
            </w:r>
          </w:p>
        </w:tc>
        <w:tc>
          <w:tcPr>
            <w:tcW w:type="dxa" w:w="36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Descarta fontes inventadas e rebaixa a confiança da resposta quando algo não confere.</w:t>
            </w:r>
          </w:p>
        </w:tc>
      </w:tr>
    </w:tbl>
    <w:p>
      <w:pPr>
        <w:spacing w:after="160" w:before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Nos testes em produção, o agente citou corretamente o Art. 88 da Resolução nº 945/2023 (frequência mínima de 75%, vedado o abono de faltas), admitiu não encontrar o valor da bolsa de monitoria, ausente da base, e bloqueou a tentativa de </w:t>
      </w:r>
      <w:r>
        <w:rPr>
          <w:rFonts w:ascii="Times New Roman" w:cs="Times New Roman" w:eastAsia="Times New Roman" w:hAnsi="Times New Roman"/>
          <w:i/>
          <w:iCs/>
        </w:rPr>
        <w:t xml:space="preserve">prompt injection</w:t>
      </w:r>
      <w:r>
        <w:rPr>
          <w:rFonts w:ascii="Times New Roman" w:cs="Times New Roman" w:eastAsia="Times New Roman" w:hAnsi="Times New Roman"/>
        </w:rPr>
        <w:t xml:space="preserve"> sem custo de API.</w:t>
      </w:r>
    </w:p>
    <w:sectPr>
      <w:headerReference w:type="default" r:id="rId6"/>
      <w:headerReference w:type="first" r:id="rId7"/>
      <w:pgSz w:w="11906" w:h="16838" w:orient="portrait"/>
      <w:pgMar w:top="1701" w:right="1134" w:bottom="1134" w:left="1701" w:header="1134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976a746ad3b127fe196aad0f87ef3b8807ce6984.png"/><Relationship Id="rId10" Type="http://schemas.openxmlformats.org/officeDocument/2006/relationships/image" Target="media/1faec9b084787f9701f4b1c5eb638eb866e086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Técnico-Científico — Assistente Acadêmico IFPA</dc:title>
  <dc:creator>Equipe do Miniprojeto 1</dc:creator>
  <cp:lastModifiedBy>Un-named</cp:lastModifiedBy>
  <cp:revision>1</cp:revision>
  <dcterms:created xsi:type="dcterms:W3CDTF">2026-10-02T21:04:47.795Z</dcterms:created>
  <dcterms:modified xsi:type="dcterms:W3CDTF">2026-10-02T21:04:47.796Z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