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before="0" w:lineRule="auto"/>
        <w:jc w:val="center"/>
        <w:rPr/>
      </w:pPr>
      <w:r>
        <w:rPr>
          <w:rFonts w:ascii="Arial" w:hAnsi="Arial"/>
          <w:b/>
          <w:color w:val="34495E"/>
          <w:sz w:val="32"/>
        </w:rPr>
        <w:t>ESCOLA DE TI — UNICESUMAR</w:t>
      </w:r>
    </w:p>
    <w:p w:rsidR="00000000" w:rsidDel="00000000" w:rsidP="00000000" w:rsidRDefault="00000000" w:rsidRPr="00000000" w14:paraId="00000004">
      <w:pPr>
        <w:pBdr>
          <w:bottom w:color="2d7d46" w:space="0" w:sz="12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before="0" w:lineRule="auto"/>
        <w:jc w:val="center"/>
        <w:rPr>
          <w:color w:val="e8761a"/>
        </w:rPr>
      </w:pPr>
      <w:r>
        <w:rPr>
          <w:rFonts w:ascii="Arial" w:hAnsi="Arial"/>
          <w:b/>
          <w:color w:val="2980B9"/>
          <w:sz w:val="44"/>
        </w:rPr>
        <w:t>MyBuddy</w:t>
        <w:br/>
        <w:t>Plataforma Híbrida de Adoção e Guia de Serviços Pet</w:t>
      </w:r>
    </w:p>
    <w:p w:rsidR="00000000" w:rsidDel="00000000" w:rsidP="00000000" w:rsidRDefault="00000000" w:rsidRPr="00000000" w14:paraId="00000007">
      <w:pPr>
        <w:spacing w:after="240" w:before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365" w:tblpY="0.24414062500028422"/>
        <w:tblW w:w="6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tblGridChange w:id="0">
          <w:tblGrid>
            <w:gridCol w:w="6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0e8d5" w:space="0" w:sz="4" w:val="single"/>
              <w:left w:color="d0e8d5" w:space="0" w:sz="4" w:val="single"/>
              <w:bottom w:color="d0e8d5" w:space="0" w:sz="4" w:val="single"/>
              <w:right w:color="d0e8d5" w:space="0" w:sz="4" w:val="single"/>
            </w:tcBorders>
            <w:shd w:fill="ebf7ed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34495E"/>
                <w:sz w:val="22"/>
              </w:rPr>
              <w:t>PROJETO DE SOFTWARE — TRABALHO DE CONCLUSÃO</w:t>
              <w:br/>
              <w:br/>
              <w:t>Integrantes do Grupo:</w:t>
              <w:br/>
              <w:t>• Daniel Godinho (R.A. 24383624-2)</w:t>
              <w:br/>
              <w:t>• Davi Cassoli Lira (R.A. 24042075-2)</w:t>
              <w:br/>
              <w:t>• Eder Henrique Pontes (R.A. 24534211-2)</w:t>
              <w:br/>
              <w:t>• Julia Cardoso (R.A. 24503170-2)</w:t>
              <w:br/>
              <w:br/>
              <w:t>Maringá - PR</w:t>
              <w:br/>
              <w:t>2026</w:t>
            </w:r>
          </w:p>
        </w:tc>
      </w:tr>
    </w:tbl>
    <w:p w:rsidR="00000000" w:rsidDel="00000000" w:rsidP="00000000" w:rsidRDefault="00000000" w:rsidRPr="00000000" w14:paraId="0000000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spacing w:after="120" w:before="4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7d46"/>
          <w:sz w:val="30"/>
          <w:szCs w:val="30"/>
          <w:rtl w:val="0"/>
        </w:rPr>
        <w:t xml:space="preserve">1.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2d7d46" w:space="0" w:sz="12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7d46" w:space="0" w:sz="4" w:val="single"/>
              <w:left w:color="2d7d46" w:space="0" w:sz="4" w:val="single"/>
              <w:bottom w:color="2d7d46" w:space="0" w:sz="4" w:val="single"/>
              <w:right w:color="2d7d46" w:space="0" w:sz="4" w:val="single"/>
            </w:tcBorders>
            <w:shd w:fill="ebf7ed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>
            <w:r>
              <w:rPr>
                <w:rFonts w:ascii="Arial" w:hAnsi="Arial"/>
                <w:sz w:val="20"/>
              </w:rPr>
              <w:t>1.1 CONTEXTO E JUSTIFICATIVA</w:t>
              <w:br/>
              <w:br/>
              <w:br/>
              <w:t>1.2 METODOLOGIA DE DESCOBERTA (DOUBLE DIAMOND)</w:t>
              <w:br/>
              <w:t>O processo de design seguiu o Duplo Diamante:</w:t>
              <w:br/>
              <w:t>1. Descobrir: Pesquisa de dores com protetores e adotantes, identificando a fragmentação do ecossistema.</w:t>
              <w:br/>
              <w:t>2. Definir: Definição do problema foco como a falta de um hub local de serviços e adoção confiável.</w:t>
              <w:br/>
              <w:t>3. Desenvolver: Brainstorming de soluções (Vitrine, Guia de Serviços, Marketplace) e mockups Figma.</w:t>
              <w:br/>
              <w:t>4. Entregar: Lançamento do MVP validado por usuários reais e planejado para iterações contínuas.</w:t>
              <w:br/>
              <w:br/>
              <w:t>1.3 ANÁLISE DE MERCADO (SWOT E PREMISSAS CSD)</w:t>
              <w:br/>
              <w:t>• Forças: Foco hiperlocal e integração dois-em-um (adotar + cuidar).</w:t>
              <w:br/>
              <w:t>• Fraquezas: Recursos de marketing iniciais limitados.</w:t>
              <w:br/>
              <w:t>• Oportunidades: Humanização crescente dos pets e repulsa do público à desorganização em redes sociais.</w:t>
              <w:br/>
              <w:t>• Ameaças: Baixa adesão inicial e dados desatualizados.</w:t>
              <w:br/>
              <w:br/>
              <w:t>1.4 GLOSSÁRIO DOS TERMOS DO NEGÓCIO (Exigência do TCC)</w:t>
              <w:br/>
              <w:t>• Split Payment: Divisão automática de valores de transações financeiras realizada na camada da gateway (Mercado Pago), separando a comissão da plataforma MyBuddy (X%) e o repasse ao lojista/pet shop parceiro (Y%).</w:t>
              <w:br/>
              <w:t>• Adotante / Tutor: Usuário final que utiliza a plataforma para passar pelo processo de adoção responsável ou para buscar e usufruir de serviços e produtos para seu pet.</w:t>
              <w:br/>
              <w:t>• Protetor Independente: Pessoa física que atua no resgate e cuidados temporários de animais abandonados de forma autônoma, sem possuir o CNPJ de uma ONG formal, usando a plataforma para divulgação.</w:t>
              <w:br/>
              <w:t>• Token JWT (JSON Web Token): Token compacto de autenticação stateless utilizado para transmitir de forma segura a identidade do usuário entre o frontend (Angular/Flutter) e a API (Spring Boot).</w:t>
              <w:br/>
              <w:t>• Dual Database Strategy: Estratégia de banco de dados híbrida na qual a persistência relacional ACID de transações e agendamentos fica no PostgreSQL, e os perfis flexíveis de usuários, pets e ONGs no MongoDB.</w:t>
              <w:br/>
              <w:t>• RESTful Stateless: Estilo de arquitetura de API onde cada requisição do cliente contém toda a informação necessária para ser processada, sem dependência de dados de sessão mantidos no servidor.</w:t>
              <w:br/>
              <w:t>• WebSocket: Protocolo que provê canal de comunicação bidirecional full-duplex de baixa latência sobre uma única conexão TCP, utilizado para o chat síncrono entre adotantes e ONGs.</w:t>
              <w:br/>
              <w:t>• Keycloak: Solução de código aberto de gerenciamento de identidade e acesso (IAM), responsável pelo Single Sign-On (SSO) e segurança RBAC (controle de rotas por Roles/Funções) da plataforma.</w:t>
            </w:r>
          </w:p>
        </w:tc>
      </w:tr>
    </w:tbl>
    <w:p w:rsidR="00000000" w:rsidDel="00000000" w:rsidP="00000000" w:rsidRDefault="00000000" w:rsidRPr="00000000" w14:paraId="00000012">
      <w:pP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spacing w:after="120" w:before="4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7d46"/>
          <w:sz w:val="30"/>
          <w:szCs w:val="30"/>
          <w:rtl w:val="0"/>
        </w:rPr>
        <w:t xml:space="preserve">2.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bottom w:color="2d7d46" w:space="0" w:sz="12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00"/>
        <w:gridCol w:w="4760"/>
        <w:tblGridChange w:id="0">
          <w:tblGrid>
            <w:gridCol w:w="4600"/>
            <w:gridCol w:w="4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6fdf4" w:val="clear"/>
            <w:tcMar>
              <w:top w:w="140.0" w:type="dxa"/>
              <w:left w:w="200.0" w:type="dxa"/>
              <w:bottom w:w="140.0" w:type="dxa"/>
              <w:right w:w="200.0" w:type="dxa"/>
            </w:tcMar>
            <w:vAlign w:val="top"/>
          </w:tcPr>
          <w:p>
            <w:r>
              <w:rPr>
                <w:rFonts w:ascii="Arial" w:hAnsi="Arial"/>
                <w:sz w:val="17"/>
              </w:rPr>
              <w:t>2.1 REQUISITOS FUNCIONAIS (SÍNTESE DOS 52 REQUISITOS DO SISTEMA)</w:t>
              <w:br/>
              <w:br/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1fb" w:val="clear"/>
            <w:tcMar>
              <w:top w:w="140.0" w:type="dxa"/>
              <w:left w:w="200.0" w:type="dxa"/>
              <w:bottom w:w="140.0" w:type="dxa"/>
              <w:right w:w="200.0" w:type="dxa"/>
            </w:tcMar>
            <w:vAlign w:val="top"/>
          </w:tcPr>
          <w:p>
            <w:r>
              <w:rPr>
                <w:rFonts w:ascii="Arial" w:hAnsi="Arial"/>
                <w:sz w:val="17"/>
              </w:rPr>
              <w:t>2.2 REQUISITOS NÃO FUNCIONAIS (RNF)</w:t>
              <w:br/>
              <w:br/>
              <w:br/>
              <w:br/>
              <w:t>2.3 REGRAS DE NEGÓCIO E CONFORMIDADE LGPD (RN)</w:t>
              <w:br/>
              <w:br/>
            </w:r>
          </w:p>
        </w:tc>
      </w:tr>
    </w:tbl>
    <w:p w:rsidR="00000000" w:rsidDel="00000000" w:rsidP="00000000" w:rsidRDefault="00000000" w:rsidRPr="00000000" w14:paraId="00000019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spacing w:after="120" w:before="4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7d46"/>
          <w:sz w:val="30"/>
          <w:szCs w:val="30"/>
          <w:rtl w:val="0"/>
        </w:rPr>
        <w:t xml:space="preserve">3.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2d7d46" w:space="0" w:sz="12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after="10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3360"/>
        <w:gridCol w:w="2800"/>
        <w:tblGridChange w:id="0">
          <w:tblGrid>
            <w:gridCol w:w="3200"/>
            <w:gridCol w:w="3360"/>
            <w:gridCol w:w="2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d7d46" w:val="clear"/>
            <w:tcMar>
              <w:top w:w="100.0" w:type="dxa"/>
              <w:left w:w="160.0" w:type="dxa"/>
              <w:bottom w:w="100.0" w:type="dxa"/>
              <w:right w:w="160.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Arquitetura / Módulo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d7d46" w:val="clear"/>
            <w:tcMar>
              <w:top w:w="100.0" w:type="dxa"/>
              <w:left w:w="160.0" w:type="dxa"/>
              <w:bottom w:w="100.0" w:type="dxa"/>
              <w:right w:w="160.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Estratégia Técnica e Padrão Adotado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d7d46" w:val="clear"/>
            <w:tcMar>
              <w:top w:w="100.0" w:type="dxa"/>
              <w:left w:w="160.0" w:type="dxa"/>
              <w:bottom w:w="100.0" w:type="dxa"/>
              <w:right w:w="160.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Justificativa e Detalhes de Implementação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3.1 Arquitetura Base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RESTful Stateless API + SPA + Mobile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Backend com Spring Boot 3.5.5 expõe endpoints REST. Frontend em Angular com SSR garante renderização otimizada. Mobile compilado de forma nativa em Flutter.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3.2 Estratégia Dual Database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PostgreSQL Relacional + MongoDB NoSQL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PostgreSQL gerencia as tabelas transacionais ACID (pedidos, pagamentos, assinaturas e agendamentos). MongoDB lida com coleções dinâmicas e de alta vazão (Usuários, Pets, ONGs).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3.3 Cenário de Alta Escalabilidade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Cache Redis Distribuído + Otimizações de Query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Atendimento à restrição regulamentar (1M escritas / 2M leituras). Implementado cache local e distribuído com Redis, indexação MongoDB e queries JPA otimizadas sem gargalos N+1.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3.4 Comunicação Tempo Real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Protocolo WebSocket (Chat Adotante-ONG)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Comunicação full-duplex síncrona. O chat permite que ONGs tirem dúvidas e validem formulários de adoção diretamente com os adotantes de forma instantânea.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Lojista / Admin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Empresa parceira no marketplace ou administrador geral do MyBuddy.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Gerenciar inventário de produtos no e-commerce, aprovar novos parceiros, auditar logs.</w:t>
            </w:r>
          </w:p>
        </w:tc>
      </w:tr>
    </w:tbl>
    <w:p w:rsidR="00000000" w:rsidDel="00000000" w:rsidP="00000000" w:rsidRDefault="00000000" w:rsidRPr="00000000" w14:paraId="0000002F">
      <w:pP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after="10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00"/>
        <w:gridCol w:w="4760"/>
        <w:tblGridChange w:id="0">
          <w:tblGrid>
            <w:gridCol w:w="4600"/>
            <w:gridCol w:w="4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0e8d5" w:space="0" w:sz="4" w:val="single"/>
              <w:left w:color="d0e8d5" w:space="0" w:sz="4" w:val="single"/>
              <w:bottom w:color="d0e8d5" w:space="0" w:sz="4" w:val="single"/>
              <w:right w:color="d0e8d5" w:space="0" w:sz="4" w:val="single"/>
            </w:tcBorders>
            <w:shd w:fill="ebf7ed" w:val="clear"/>
            <w:tcMar>
              <w:top w:w="140.0" w:type="dxa"/>
              <w:left w:w="200.0" w:type="dxa"/>
              <w:bottom w:w="140.0" w:type="dxa"/>
              <w:right w:w="20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Gestão de Estado Cross-DB</w:t>
            </w:r>
          </w:p>
        </w:tc>
        <w:tc>
          <w:tcPr>
            <w:tcBorders>
              <w:top w:color="d0e8d5" w:space="0" w:sz="4" w:val="single"/>
              <w:left w:color="d0e8d5" w:space="0" w:sz="4" w:val="single"/>
              <w:bottom w:color="d0e8d5" w:space="0" w:sz="4" w:val="single"/>
              <w:right w:color="d0e8d5" w:space="0" w:sz="4" w:val="single"/>
            </w:tcBorders>
            <w:shd w:fill="fef3e6" w:val="clear"/>
            <w:tcMar>
              <w:top w:w="140.0" w:type="dxa"/>
              <w:left w:w="200.0" w:type="dxa"/>
              <w:bottom w:w="140.0" w:type="dxa"/>
              <w:right w:w="20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O backend gerencia consistência lógica e deleções seguras (Nullify) via código de serviço Java para evitar registros órfãos nas tabelas do PostgreSQL.</w:t>
            </w:r>
          </w:p>
        </w:tc>
      </w:tr>
      <w:tr>
        <w:tc>
          <w:tcPr>
            <w:tcW w:type="dxa" w:w="4600"/>
          </w:tcPr>
          <w:p>
            <w:r>
              <w:rPr>
                <w:rFonts w:ascii="Arial" w:hAnsi="Arial"/>
                <w:sz w:val="19"/>
              </w:rPr>
              <w:t>Alta</w:t>
            </w:r>
          </w:p>
        </w:tc>
        <w:tc>
          <w:tcPr>
            <w:tcW w:type="dxa" w:w="4760"/>
          </w:tcPr>
          <w:p>
            <w:r>
              <w:rPr>
                <w:rFonts w:ascii="Arial" w:hAnsi="Arial"/>
                <w:sz w:val="19"/>
              </w:rPr>
              <w:t>Requisito essencial para o funcionamento do MVP. Bloqueia o fluxo principal caso não implementado.</w:t>
            </w:r>
          </w:p>
        </w:tc>
      </w:tr>
      <w:tr>
        <w:tc>
          <w:tcPr>
            <w:tcW w:type="dxa" w:w="46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  <w:tc>
          <w:tcPr>
            <w:tcW w:type="dxa" w:w="4760"/>
          </w:tcPr>
          <w:p>
            <w:r>
              <w:rPr>
                <w:rFonts w:ascii="Arial" w:hAnsi="Arial"/>
                <w:sz w:val="19"/>
              </w:rPr>
              <w:t>Requisito importante que melhora significativamente a experiência do usuário. Entregue na sprint posterior.</w:t>
            </w:r>
          </w:p>
        </w:tc>
      </w:tr>
      <w:tr>
        <w:tc>
          <w:tcPr>
            <w:tcW w:type="dxa" w:w="46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  <w:tc>
          <w:tcPr>
            <w:tcW w:type="dxa" w:w="4760"/>
          </w:tcPr>
          <w:p>
            <w:r>
              <w:rPr>
                <w:rFonts w:ascii="Arial" w:hAnsi="Arial"/>
                <w:sz w:val="19"/>
              </w:rPr>
              <w:t>Requisito desejável e previsto no roadmap futuro. Entregue como incremento pós-MVP.</w:t>
            </w:r>
          </w:p>
        </w:tc>
      </w:tr>
    </w:tbl>
    <w:p w:rsidR="00000000" w:rsidDel="00000000" w:rsidP="00000000" w:rsidRDefault="00000000" w:rsidRPr="00000000" w14:paraId="00000033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spacing w:after="120" w:before="4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7d46"/>
          <w:sz w:val="30"/>
          <w:szCs w:val="30"/>
          <w:rtl w:val="0"/>
        </w:rPr>
        <w:t xml:space="preserve">4.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bottom w:color="e8761a" w:space="0" w:sz="12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spacing w:after="10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3360"/>
        <w:gridCol w:w="2800"/>
        <w:tblGridChange w:id="0">
          <w:tblGrid>
            <w:gridCol w:w="3200"/>
            <w:gridCol w:w="3360"/>
            <w:gridCol w:w="2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336791" w:val="clear"/>
            <w:tcMar>
              <w:top w:w="100.0" w:type="dxa"/>
              <w:left w:w="160.0" w:type="dxa"/>
              <w:bottom w:w="100.0" w:type="dxa"/>
              <w:right w:w="160.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Diagrama UML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336791" w:val="clear"/>
            <w:tcMar>
              <w:top w:w="100.0" w:type="dxa"/>
              <w:left w:w="160.0" w:type="dxa"/>
              <w:bottom w:w="100.0" w:type="dxa"/>
              <w:right w:w="160.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Descrição e Finalidade Técnica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336791" w:val="clear"/>
            <w:tcMar>
              <w:top w:w="100.0" w:type="dxa"/>
              <w:left w:w="160.0" w:type="dxa"/>
              <w:bottom w:w="100.0" w:type="dxa"/>
              <w:right w:w="160.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Arquivos Físicos de Modelagem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1fb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4.1 Diagrama de Casos de Uso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1fb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Mapeia as interações e permissões dos atores do sistema com os 8 módulos principais da plataforma.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1fb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Diagrama de Caso de Usos.pdf / Use Case Att- MyBuddy.pdf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4.2 Diagramas de Sequência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Detala a troca de mensagens para fluxos complexos (Login Keycloak, Checkout Mercado Pago, Registro de Adoção).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MyBuddy_DiagramasDeSequencia.pdf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1fb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4.3 Diagrama de Classes e DER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1fb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Modelagem da estrutura orientada a objetos das entidades Java e relacionamentos lógicos/físicos do banco.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1fb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MyBuddy_DER_Final.jpg / MyBuddy_DER_Final.drawio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RF-004 UC04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O  sistema  deve  permitir  que  o  usuário  autenticado  visualize  e  atualize  seus  dados  de  perfil:  nome,  telefone,  endereço  e  foto.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1fb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RF-005 UC04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1fb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O  sistema  deve  diferenciar  os  perfis  de  acesso  (Adotante,  ONG,  Parceiro,  Lojista,  Admin),  aplicando  controle  de  rotas  e  ações  por  role.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1fb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Alta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RF-006 UC40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o  usuário  gerencie  suas  preferências  de  notificação  (e-mail,  push),  com  notificações  críticas  de  segurança  sempre  ativas.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RF-007 UC48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o  usuário  solicite  a  exclusão  da  sua  conta  (LGPD),  anonimizando  dados  pessoais  e  mantendo  registros  transacionais  anonimizados.  Exclusão  bloqueada  se  houver  processos  em  andamento.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RF-008 UC05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o  cadastro  de  ONGs  e  protetores  com  nome,  CNPJ,  e-mail,  telefone,  endereço,  responsável  e  documentação,  submetendo  a  conta  com  status  'Em  Análise'  para  aprovação  do  Administrador.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Alta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RF-009 UC06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a  ONG  aprovada  atualize  sua  página  pública:  fotos,  descrição,  contatos  e  chave  PIX  para  doação.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RF-010 UC43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fornecer  ao  Administrador  um  painel  de  aprovação  de  cadastros  de  ONG,  com  possibilidade  de  aprovar,  rejeitar  (com  justificativa)  ou  solicitar  complementação  de  documentos.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Alta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RF-011 UC05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enviar  notificação  por  e-mail  à  ONG  informando  o  resultado  da  análise  de  cadastro  (aprovado  ou  rejeitado  com  motivo).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RF-012 UC07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a  ONG  aprovada  cadastre  pets  com:  nome,  espécie,  raça,  porte,  idade,  temperamento,  necessidades  médicas,  indicadores  de  saúde  (vacinado,  castrado,  microchipado),  localização  e  até  3  fotos.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Alta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RF-013 UC07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exigir  ao  menos  uma  foto  obrigatória  para  publicação  do  pet  no  catálogo.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Alta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RF-014 UC08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a  ONG  proprietária  ou  o  Admin  edite  as  informações  e  atualize  o  status  de  adoção  de  um  pet  (Disponível  /  Adotado  /  Inativo).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Alta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RF-015 UC09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exibir  uma  vitrine  paginada  de  pets  disponíveis  para  adoção,  ordenados  por  proximidade  do  usuário.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Alta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RF-016 UC10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oferecer  filtros  avançados  na  vitrine:  espécie,  sexo,  porte,  faixa  etária  e  localização  (cidade/estado).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Alta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RF-017 UC11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exibir  a  ficha  completa  do  pet:  galeria  de  fotos,  histórico,  comportamento,  necessidades  médicas  e  dados  da  ONG  responsável.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Alta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RF-018 UC12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o  usuário  autenticado  favorite  pets,  salvando-os  em  lista  de  interesse  para  consulta  futura.  Visitantes  sem  login  devem  ser  redirecionados  para  cadastro.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RF-019 UC13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o  adotante  preencha  formulário  de  adoção  (questionário  socioeconômico  e  estrutural)  ao  clicar  em  'Quero  Adotar',  com  salvamento  automático  de  rascunho.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Alta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RF-020 UC14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a  ONG  visualize,  analise,  aprove  ou  recuse  pedidos  de  adoção,  com  modal  de  justificativa  obrigatória  na  recusa.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Alta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RF-021 UC15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registrar  a  conclusão  da  adoção,  transferindo  a  posse  virtual  do  pet  para  o  perfil  do  adotante  e  atualizando  o  status  para  'Adotado'.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Alta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RF-022 UC19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a  ONG  registre  acompanhamentos  pós-adoção  (contato,  fotos,  observações)  e  notifique  o  tutor  sobre  o  acompanhamento  realizado.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RF-023 UC16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o  usuário  autenticado  realize  doações  monetárias  para  ONGs  via  Mercado  Pago,  com  valores  pré-definidos  ou  personalizados,  gerando  recibo  digital  ao  doador.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RF-024 UC17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exibir  na  página  pública  da  ONG  um  histórico  paginado  de  doações  recebidas  (valor,  data,  identificação  do  doador),  com  controle  de  visibilidade  individual.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RF-025 UC18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o  doador  acesse  o  histórico  completo  de  suas  doações  com  data,  valor,  ONG  beneficiada  e  status  do  pagamento.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RF-026 UC20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prover  canal  de  mensagens  diretas  entre  adotantes  e  ONGs,  com  filtragem  de  conteúdo  ofensivo  e  notificação  do  destinatário  por  e-mail  e  na  plataforma.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RF-027 UC21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o  cadastro  de  empresas  parceiras  (pet  shops,  clínicas,  hotéis)  com  CNPJ,  razão  social,  endereço,  fotos  e  horários,  submetendo  para  aprovação  do  Admin.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RF-028 UC22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o  parceiro  aprovado  atualize  seu  perfil  público:  descrição,  imagens  e  contatos.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RF-029 UC23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o  parceiro  cadastre  serviços  disponíveis  (tipo,  descrição,  preço  médio),  exibidos  na  aba  do  Guia  público.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RF-030 UC24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oferecer  busca  de  serviços  por  termo  e  raio  de  distância,  retornando  estabelecimentos  ordenados  por  proximidade  e  avaliação.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RF-031 UC25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exibir  a  ficha  completa  do  parceiro  com  portfólio,  galeria  de  fotos,  avaliações  e  botão  de  rota  integrado  ao  Google  Maps.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RF-032 UC26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usuários  autenticados  avaliem  parceiros  de  serviço  com  nota  de  1  a  5  estrelas  e  comentário,  com  filtragem  automática  de  linguagem  ofensiva.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RF-033 UC27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o  usuário  reporte  problemas  em  parceiros  (denúncia  categorizada),  gerando  ticket  de  alta  prioridade  para  o  Administrador.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RF-034 UC44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fornecer  ao  Admin  painel  para  aprovação  e  rejeição  de  cadastros  de  parceiros  de  serviço,  com  validação  de  CNPJ  do  ramo  pet.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RF-035 UC28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o  cadastro  de  lojistas  com  documentação  fiscal  (CNPJ,  conta  bancária)  e  integrar  com  o  Mercado  Pago  Split  para  habilitação  de  venda  online.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RF-036 UC29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lojistas  cadastrem  produtos  com  título,  preço,  variações  (tamanho),  peso  (obrigatório  para  frete),  fotos  e  categorias.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RF-037 UC30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controlar  o  estoque  de  produtos,  exibindo  'Esgotado'  e  desabilitando  o  botão  de  compra  quando  o  estoque  zerar.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RF-038 UC31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lojistas  configurem  promoções  com  desconto  percentual  e  data  de  validade,  exibindo  badge  promocional  na  interface.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RF-039 UC32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exibir  catálogo  de  produtos  com  busca  por  termo  e  navegação  por  categorias  em  grid  paginado.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RF-040 UC33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exibir  a  ficha  completa  do  produto  com  galeria,  descrição,  avaliações  e  simulação  de  frete  por  CEP.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RF-041 UC34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gerenciar  carrinho  de  compras  com  adição,  remoção  e  ajuste  de  quantidades,  recalculando  o  subtotal  em  tempo  real.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RF-042 UC36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oferecer  checkout  multi-step:  confirmação  de  endereço  de  entrega,  seleção  de  método  de  pagamento  e  resumo  totalizador  (itens  +  frete).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RF-043 UC37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processar  pagamentos  (Cartão,  PIX,  Boleto)  via  Mercado  Pago  de  forma  tokenizada,  aplicando  Split  Payment  entre  lojistas  e  a  plataforma.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RF-044 UC38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o  lojista  atualize  o  status  do  pedido  (Preparando  →  Enviado)  com  código  de  rastreio,  notificando  o  comprador  automaticamente.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RF-045 UC39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exibir  ao  comprador  o  histórico  de  pedidos  com  timeline  visual  de  progresso  (Confirmado  →  Preparando  →  Enviado  →  Entregue).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RF-046 UC41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o  usuário  avalie  produtos  comprados  com  nota  e  comentário  após  a  entrega,  calculando  a  nova  média  de  avaliação  do  SKU.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RF-047 UC42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fornecer  ao  Admin  painel  centralizado  de  pedidos  do  marketplace,  filtráveis  por  status,  data,  lojista  ou  comprador,  com  exportação  paginada.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RF-048 UC45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registrar  e  disponibilizar  ao  Admin  logs  de  auditoria  de  ações  críticas  (quem,  o  quê,  quando,  qual  recurso),  com  filtros  combinados  e  exportação.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RF-049 UC46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fornecer  dashboard  de  métricas  de  adoção  ao  Admin:  adoções  mensais,  taxa  de  conclusão  e  retenção,  filtráveis  por  período,  cidade  e  ONG.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RF-050 UC47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o  Admin  suspenda  contas  infratoras  com  justificativa,  revogando  tokens  de  acesso  e  registrando  a  ação  no  log  de  auditoria,  com  possibilidade  de  reversão.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Média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RF-051 UC49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fornecer  ao  Admin  Master  painel  de  configurações  globais:  raio  de  busca  padrão,  limites  de  upload,  taxas  de  comissão  do  marketplace.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  <w:tr>
        <w:tc>
          <w:tcPr>
            <w:tcW w:type="dxa" w:w="3200"/>
          </w:tcPr>
          <w:p>
            <w:r>
              <w:rPr>
                <w:rFonts w:ascii="Arial" w:hAnsi="Arial"/>
                <w:sz w:val="19"/>
              </w:rPr>
              <w:t>RF-052 UC50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9"/>
              </w:rPr>
              <w:t>O  sistema  deve  permitir  que  o  Admin  gerencie  a  árvore  taxonômica  de  categorias  e  tags  do  marketplace  e  guia,  com  proteção  contra  exclusão  de  categorias  com  produtos  associados.</w:t>
            </w:r>
          </w:p>
        </w:tc>
        <w:tc>
          <w:tcPr>
            <w:tcW w:type="dxa" w:w="2800"/>
          </w:tcPr>
          <w:p>
            <w:r>
              <w:rPr>
                <w:rFonts w:ascii="Arial" w:hAnsi="Arial"/>
                <w:sz w:val="19"/>
              </w:rPr>
              <w:t>Baixa</w:t>
            </w:r>
          </w:p>
        </w:tc>
      </w:tr>
    </w:tbl>
    <w:p w:rsidR="00000000" w:rsidDel="00000000" w:rsidP="00000000" w:rsidRDefault="00000000" w:rsidRPr="00000000" w14:paraId="0000004A">
      <w:pP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spacing w:after="120" w:before="4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7d46"/>
          <w:sz w:val="30"/>
          <w:szCs w:val="30"/>
          <w:rtl w:val="0"/>
        </w:rPr>
        <w:t xml:space="preserve">5.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bottom w:color="2d7d46" w:space="0" w:sz="12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3480"/>
        <w:gridCol w:w="3480"/>
        <w:tblGridChange w:id="0">
          <w:tblGrid>
            <w:gridCol w:w="2400"/>
            <w:gridCol w:w="3480"/>
            <w:gridCol w:w="34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d7d46" w:val="clear"/>
            <w:tcMar>
              <w:top w:w="100.0" w:type="dxa"/>
              <w:left w:w="160.0" w:type="dxa"/>
              <w:bottom w:w="100.0" w:type="dxa"/>
              <w:right w:w="160.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Interface / Front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d7d46" w:val="clear"/>
            <w:tcMar>
              <w:top w:w="100.0" w:type="dxa"/>
              <w:left w:w="160.0" w:type="dxa"/>
              <w:bottom w:w="100.0" w:type="dxa"/>
              <w:right w:w="160.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Foco em Experiência do Usuário (UX/UI)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d7d46" w:val="clear"/>
            <w:tcMar>
              <w:top w:w="100.0" w:type="dxa"/>
              <w:left w:w="160.0" w:type="dxa"/>
              <w:bottom w:w="100.0" w:type="dxa"/>
              <w:right w:w="160.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Estrutura Técnica e Padrão Adotado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5.1 Design System (Figma)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Wireframes de alta fidelidade baseados em usabilidade, contraste e consistência visual.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Figma Link oficial e diretório de cores/tipografias globais no Figma.txt.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5.2 Aplicação Web (Angular)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Componentização de telas, rotas lazy-loaded, Route Guards de segurança e consumo de API REST.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Estrutura Angular CLI com módulos compartilhados e interceptors HTTP.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5.3 App Mobile (Flutter)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Onboarding dinâmico, feeds de pets responsivos e gerenciamento de estado unificado.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Uso do padrão BLoC/Cubit para gerenciamento reativo e injeção de dependências.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RNF-004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Desempenho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Consultas  de  histórico  de  doações  e  pedidos  devem  ser  paginadas  com  lazy  loading,  limitando  o  período  máximo  a  12  meses  para  relatórios  extensos.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RNF-005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Segurança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Todas  as  senhas  de  usuários  devem  ser  armazenadas  com  hash  criptográfico  (BCrypt).  Nenhuma  credencial  deve  ser  armazenada  em  texto  puro.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RNF-006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Segurança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Segredo  JWT,  credenciais  de  banco  de  dados  e  chaves  de  API  (Mercado  Pago,  Keycloak)  devem  ser  configurados  exclusivamente  via  variáveis  de  ambiente,  nunca  hardcoded  no  código-fonte.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RNF-007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Segurança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7ed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A  API  deve  implementar  CORS  com  domínios  permitidos  configuráveis  por  ambiente  (desenvolvimento/produção).  Rotas  protegidas  por  role  devem  retornar  HTTP  403  para  acessos  não  autorizados.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RNF-008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Segurança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>
            <w:r>
              <w:rPr>
                <w:rFonts w:ascii="Arial" w:hAnsi="Arial"/>
                <w:sz w:val="19"/>
              </w:rPr>
              <w:t>Dados  de  pagamento  devem  ser  tokenizados  via  SDK  oficial  do  Mercado  Pago  antes  de  qualquer  tráfego,  sem  armazenamento  local  de  dados  sensíveis  de  cartão.</w:t>
            </w:r>
          </w:p>
        </w:tc>
      </w:tr>
      <w:tr>
        <w:tc>
          <w:tcPr>
            <w:tcW w:type="dxa" w:w="2400"/>
          </w:tcPr>
          <w:p>
            <w:r>
              <w:rPr>
                <w:rFonts w:ascii="Arial" w:hAnsi="Arial"/>
                <w:sz w:val="19"/>
              </w:rPr>
              <w:t>RNF-009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Segurança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O  sistema  deve  implementar  filtros  de  conteúdo  para  mensagens  e  reviews,  bloqueando  palavras  ofensivas.  Ações  de  suspensão  de  conta  devem  ser  auditadas  e  reversíveis  pelo  Admin.</w:t>
            </w:r>
          </w:p>
        </w:tc>
      </w:tr>
      <w:tr>
        <w:tc>
          <w:tcPr>
            <w:tcW w:type="dxa" w:w="2400"/>
          </w:tcPr>
          <w:p>
            <w:r>
              <w:rPr>
                <w:rFonts w:ascii="Arial" w:hAnsi="Arial"/>
                <w:sz w:val="19"/>
              </w:rPr>
              <w:t>RNF-010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Segurança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Em  conformidade  com  a  LGPD,  o  sistema  deve  suportar  anonimização  de  dados  pessoais  na  exclusão  de  conta,  mantendo  registros  transacionais  anonimizados  para  fins  fiscais  e  de  auditoria.</w:t>
            </w:r>
          </w:p>
        </w:tc>
      </w:tr>
      <w:tr>
        <w:tc>
          <w:tcPr>
            <w:tcW w:type="dxa" w:w="2400"/>
          </w:tcPr>
          <w:p>
            <w:r>
              <w:rPr>
                <w:rFonts w:ascii="Arial" w:hAnsi="Arial"/>
                <w:sz w:val="19"/>
              </w:rPr>
              <w:t>RNF-011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Disponibilidade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A  aplicação  deve  estar  acessível  por  URL  pública  em  ambiente  de  nuvem  (Railway  ou  Render),  com  backend  respondendo  nos  endpoints  da  API  e  frontend  carregando  corretamente.</w:t>
            </w:r>
          </w:p>
        </w:tc>
      </w:tr>
      <w:tr>
        <w:tc>
          <w:tcPr>
            <w:tcW w:type="dxa" w:w="2400"/>
          </w:tcPr>
          <w:p>
            <w:r>
              <w:rPr>
                <w:rFonts w:ascii="Arial" w:hAnsi="Arial"/>
                <w:sz w:val="19"/>
              </w:rPr>
              <w:t>RNF-012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Disponibilidade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A  aplicação  deve  ser  containerizada  via  Docker  e  orquestrada  com  Docker  Compose,  garantindo  portabilidade  e  reprodutibilidade  do  ambiente  de  execução.</w:t>
            </w:r>
          </w:p>
        </w:tc>
      </w:tr>
      <w:tr>
        <w:tc>
          <w:tcPr>
            <w:tcW w:type="dxa" w:w="2400"/>
          </w:tcPr>
          <w:p>
            <w:r>
              <w:rPr>
                <w:rFonts w:ascii="Arial" w:hAnsi="Arial"/>
                <w:sz w:val="19"/>
              </w:rPr>
              <w:t>RNF-013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Manutenibilidade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O  código  backend  deve  atingir  cobertura  mínima  de  70%  nos  testes  automatizados  (unitários  +  integração),  mensurada  via  JaCoCo.  A  suíte  de  testes  não  deve  apresentar  falhas  de  compilação.</w:t>
            </w:r>
          </w:p>
        </w:tc>
      </w:tr>
      <w:tr>
        <w:tc>
          <w:tcPr>
            <w:tcW w:type="dxa" w:w="2400"/>
          </w:tcPr>
          <w:p>
            <w:r>
              <w:rPr>
                <w:rFonts w:ascii="Arial" w:hAnsi="Arial"/>
                <w:sz w:val="19"/>
              </w:rPr>
              <w:t>RNF-014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Manutenibilidade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O  código  deve  aplicar  Clean  Code:  injeção  de  dependência  por  construtor,  uso  do  Lombok  para  redução  de  boilerplate,  SLF4J/Logback  substituindo  System.out.println  em  produção.</w:t>
            </w:r>
          </w:p>
        </w:tc>
      </w:tr>
      <w:tr>
        <w:tc>
          <w:tcPr>
            <w:tcW w:type="dxa" w:w="2400"/>
          </w:tcPr>
          <w:p>
            <w:r>
              <w:rPr>
                <w:rFonts w:ascii="Arial" w:hAnsi="Arial"/>
                <w:sz w:val="19"/>
              </w:rPr>
              <w:t>RNF-015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Manutenibilidade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A  API  deve  ter  documentação  automática  via  Swagger/OpenAPI  3.0,  acessível  em  ambiente  de  desenvolvimento  e  homologação.  Ações  críticas  do  sistema  devem  ser  registradas  em  log  de  auditoria  imutável.</w:t>
            </w:r>
          </w:p>
        </w:tc>
      </w:tr>
      <w:tr>
        <w:tc>
          <w:tcPr>
            <w:tcW w:type="dxa" w:w="2400"/>
          </w:tcPr>
          <w:p>
            <w:r>
              <w:rPr>
                <w:rFonts w:ascii="Arial" w:hAnsi="Arial"/>
                <w:sz w:val="19"/>
              </w:rPr>
              <w:t>RNF-016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Usabilidade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O  frontend  deve  seguir  um  design  system  unificado  após  a  migração  para  Angular,  com  consistência  visual  em  todas  as  telas.  O  app  Flutter  deve  manter  paridade  de  funcionalidades  com  a  versão  web.</w:t>
            </w:r>
          </w:p>
        </w:tc>
      </w:tr>
      <w:tr>
        <w:tc>
          <w:tcPr>
            <w:tcW w:type="dxa" w:w="2400"/>
          </w:tcPr>
          <w:p>
            <w:r>
              <w:rPr>
                <w:rFonts w:ascii="Arial" w:hAnsi="Arial"/>
                <w:sz w:val="19"/>
              </w:rPr>
              <w:t>RNF-017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Usabilidade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As  telas  principais  (landing  page,  vitrine  de  pets,  detalhes  do  pet,  login,  marketplace)  devem  ser  responsivas  e  funcionais  em  dispositivos  mobile  (resolução  mínima  375px).</w:t>
            </w:r>
          </w:p>
        </w:tc>
      </w:tr>
      <w:tr>
        <w:tc>
          <w:tcPr>
            <w:tcW w:type="dxa" w:w="2400"/>
          </w:tcPr>
          <w:p>
            <w:r>
              <w:rPr>
                <w:rFonts w:ascii="Arial" w:hAnsi="Arial"/>
                <w:sz w:val="19"/>
              </w:rPr>
              <w:t>RNF-018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Usabilidade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Todos  os  formulários  devem  exibir  mensagens  de  validação  claras  e  específicas  por  campo.  Rascunhos  de  formulários  de  adoção  devem  ser  salvos  automaticamente  para  evitar  perda  de  dados.</w:t>
            </w:r>
          </w:p>
        </w:tc>
      </w:tr>
      <w:tr>
        <w:tc>
          <w:tcPr>
            <w:tcW w:type="dxa" w:w="2400"/>
          </w:tcPr>
          <w:p>
            <w:r>
              <w:rPr>
                <w:rFonts w:ascii="Arial" w:hAnsi="Arial"/>
                <w:sz w:val="19"/>
              </w:rPr>
              <w:t>RNF-019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Usabilidade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O  sistema  de  busca  deve  exibir  sugestões  de  correção  ortográfica  para  termos  de  pesquisa  com  erro  de  digitação  (ex:  'banuh'  →  'banho').</w:t>
            </w:r>
          </w:p>
        </w:tc>
      </w:tr>
      <w:tr>
        <w:tc>
          <w:tcPr>
            <w:tcW w:type="dxa" w:w="2400"/>
          </w:tcPr>
          <w:p>
            <w:r>
              <w:rPr>
                <w:rFonts w:ascii="Arial" w:hAnsi="Arial"/>
                <w:sz w:val="19"/>
              </w:rPr>
              <w:t>RNF-020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Escalabilidade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A  arquitetura  stateless  (Keycloak  +  JWT)  deve  permitir  escalabilidade  horizontal  da  API  sem  necessidade  de  sticky  sessions  ou  estado  de  sessão  no  servidor.</w:t>
            </w:r>
          </w:p>
        </w:tc>
      </w:tr>
      <w:tr>
        <w:tc>
          <w:tcPr>
            <w:tcW w:type="dxa" w:w="2400"/>
          </w:tcPr>
          <w:p>
            <w:r>
              <w:rPr>
                <w:rFonts w:ascii="Arial" w:hAnsi="Arial"/>
                <w:sz w:val="19"/>
              </w:rPr>
              <w:t>RNF-021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Escalabilidade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O  sistema  de  upload  de  imagens  deve  ser  refatorado  para  armazenamento  externo  (AWS  S3  ou  Cloudinary)  em  produção,  eliminando  dependência  do  filesystem  local  entre  deploys.</w:t>
            </w:r>
          </w:p>
        </w:tc>
      </w:tr>
      <w:tr>
        <w:tc>
          <w:tcPr>
            <w:tcW w:type="dxa" w:w="2400"/>
          </w:tcPr>
          <w:p>
            <w:r>
              <w:rPr>
                <w:rFonts w:ascii="Arial" w:hAnsi="Arial"/>
                <w:sz w:val="19"/>
              </w:rPr>
              <w:t>RNF-022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Escalabilidade</w:t>
            </w:r>
          </w:p>
        </w:tc>
        <w:tc>
          <w:tcPr>
            <w:tcW w:type="dxa" w:w="3480"/>
          </w:tcPr>
          <w:p>
            <w:r>
              <w:rPr>
                <w:rFonts w:ascii="Arial" w:hAnsi="Arial"/>
                <w:sz w:val="19"/>
              </w:rPr>
              <w:t>O  módulo  de  marketplace  deve  implementar  controle  de  estoque  com  consistência  eventual,  gerenciando  condições  de  corrida  na  compra  simultânea  de  último  item  disponível.</w:t>
            </w:r>
          </w:p>
        </w:tc>
      </w:tr>
    </w:tbl>
    <w:p w:rsidR="00000000" w:rsidDel="00000000" w:rsidP="00000000" w:rsidRDefault="00000000" w:rsidRPr="00000000" w14:paraId="00000069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spacing w:after="120" w:before="440" w:lineRule="auto"/>
        <w:rPr/>
      </w:pPr>
      <w:r>
        <w:t>6. DIAGRAMAS E ARTEFATOS DE MODELAGEM</w:t>
      </w:r>
    </w:p>
    <w:p w:rsidR="00000000" w:rsidDel="00000000" w:rsidP="00000000" w:rsidRDefault="00000000" w:rsidRPr="00000000" w14:paraId="0000006B">
      <w:pPr>
        <w:pBdr>
          <w:bottom w:color="2d7d46" w:space="0" w:sz="12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spacing w:after="10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7d46" w:space="0" w:sz="4" w:val="single"/>
              <w:left w:color="2d7d46" w:space="0" w:sz="4" w:val="single"/>
              <w:bottom w:color="2d7d46" w:space="0" w:sz="4" w:val="single"/>
              <w:right w:color="2d7d46" w:space="0" w:sz="4" w:val="single"/>
            </w:tcBorders>
            <w:shd w:fill="ebf7ed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>
            <w:r>
              <w:rPr>
                <w:rFonts w:ascii="Arial" w:hAnsi="Arial"/>
                <w:sz w:val="19"/>
              </w:rPr>
              <w:t>6.1 GESTÃO DE IDENTIDADE (KEYCLOAK)</w:t>
              <w:br/>
              <w:br/>
              <w:t>A segurança da plataforma é descentralizada utilizando o Keycloak como Provedor de Identidade (IdP) compatível com OAuth2 / OIDC:</w:t>
              <w:br/>
              <w:t>• Proteção de Rotas: O backend Spring Boot atua como Resource Server, validando tokens JWT emitidos pelo Keycloak.</w:t>
              <w:br/>
              <w:t>• Controle de Acesso por Funções (RBAC): O Keycloak gerencia os perfis (Roles) como ROLE_ADMIN, ROLE_ONG e ROLE_ADOTANTE, restringindo rotas de API e elementos do frontend com base nas credenciais de acesso.</w:t>
            </w:r>
          </w:p>
        </w:tc>
      </w:tr>
    </w:tbl>
    <w:p w:rsidR="00000000" w:rsidDel="00000000" w:rsidP="00000000" w:rsidRDefault="00000000" w:rsidRPr="00000000" w14:paraId="0000006E">
      <w:pP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spacing w:after="10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8761a" w:space="0" w:sz="4" w:val="single"/>
              <w:left w:color="e8761a" w:space="0" w:sz="4" w:val="single"/>
              <w:bottom w:color="e8761a" w:space="0" w:sz="4" w:val="single"/>
              <w:right w:color="e8761a" w:space="0" w:sz="4" w:val="single"/>
            </w:tcBorders>
            <w:shd w:fill="fef3e6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>
            <w:r>
              <w:rPr>
                <w:rFonts w:ascii="Arial" w:hAnsi="Arial"/>
                <w:sz w:val="19"/>
              </w:rPr>
              <w:t>6.2 MOTOR FINANCEIRO (MERCADO PAGO)</w:t>
              <w:br/>
              <w:br/>
              <w:t>Integração do motor financeiro utilizando a API do Mercado Pago para doações e marketplace:</w:t>
              <w:br/>
              <w:t>• Split de Pagamentos: Para compras no marketplace, o checkout divide automaticamente a comissão da plataforma e o valor devido ao lojista/pet shop.</w:t>
              <w:br/>
              <w:t>• Webhooks e Notificações: Implementação de webhook endpoints validados para processar alterações de status de pagamento de forma assíncrona, atualizando pedidos automaticamente.</w:t>
            </w:r>
          </w:p>
        </w:tc>
      </w:tr>
    </w:tbl>
    <w:p w:rsidR="00000000" w:rsidDel="00000000" w:rsidP="00000000" w:rsidRDefault="00000000" w:rsidRPr="00000000" w14:paraId="00000071">
      <w:pPr>
        <w:pStyle w:val="Heading2"/>
        <w:spacing w:after="10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336791" w:space="0" w:sz="4" w:val="single"/>
              <w:left w:color="336791" w:space="0" w:sz="4" w:val="single"/>
              <w:bottom w:color="336791" w:space="0" w:sz="4" w:val="single"/>
              <w:right w:color="336791" w:space="0" w:sz="4" w:val="single"/>
            </w:tcBorders>
            <w:shd w:fill="e8f1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>
            <w:r>
              <w:rPr>
                <w:rFonts w:ascii="Arial" w:hAnsi="Arial"/>
                <w:sz w:val="19"/>
              </w:rPr>
              <w:t>6.3 INFRAESTRUTURA, DOCKER E DEPLOY</w:t>
              <w:br/>
              <w:br/>
              <w:t>Conteinerização completa de serviços para portabilidade e deploy:</w:t>
              <w:br/>
              <w:t>• Dockerfile dedicados para compilar e empacotar backend Spring Boot e frontend Angular.</w:t>
              <w:br/>
              <w:t>• Docker Compose contendo a orquestração do PostgreSQL, MongoDB, Redis, Keycloak e a aplicação backend, permitindo subir o ecossistema completo localmente com um único comando.</w:t>
              <w:br/>
              <w:t>• Configurações de produção prontas para deploy em nuvem (Railway/Render).</w:t>
            </w:r>
          </w:p>
        </w:tc>
      </w:tr>
    </w:tbl>
    <w:p w:rsidR="00000000" w:rsidDel="00000000" w:rsidP="00000000" w:rsidRDefault="00000000" w:rsidRPr="00000000" w14:paraId="00000073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spacing w:after="120" w:before="4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7d46"/>
          <w:sz w:val="30"/>
          <w:szCs w:val="30"/>
          <w:rtl w:val="0"/>
        </w:rPr>
        <w:t xml:space="preserve">7.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bottom w:color="2d7d46" w:space="0" w:sz="12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00"/>
        <w:gridCol w:w="4760"/>
        <w:tblGridChange w:id="0">
          <w:tblGrid>
            <w:gridCol w:w="4600"/>
            <w:gridCol w:w="4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6fdf4" w:val="clear"/>
            <w:tcMar>
              <w:top w:w="140.0" w:type="dxa"/>
              <w:left w:w="200.0" w:type="dxa"/>
              <w:bottom w:w="140.0" w:type="dxa"/>
              <w:right w:w="200.0" w:type="dxa"/>
            </w:tcMar>
            <w:vAlign w:val="top"/>
          </w:tcPr>
          <w:p>
            <w:r>
              <w:rPr>
                <w:rFonts w:ascii="Arial" w:hAnsi="Arial"/>
                <w:sz w:val="18"/>
              </w:rPr>
              <w:t>7.1 CRITÉRIOS DE ACEITAÇÃO DO MVP</w:t>
              <w:br/>
              <w:br/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1fb" w:val="clear"/>
            <w:tcMar>
              <w:top w:w="140.0" w:type="dxa"/>
              <w:left w:w="200.0" w:type="dxa"/>
              <w:bottom w:w="140.0" w:type="dxa"/>
              <w:right w:w="200.0" w:type="dxa"/>
            </w:tcMar>
            <w:vAlign w:val="top"/>
          </w:tcPr>
          <w:p>
            <w:r>
              <w:rPr>
                <w:rFonts w:ascii="Arial" w:hAnsi="Arial"/>
                <w:sz w:val="18"/>
              </w:rPr>
              <w:t>7.2 TESTES AUTOMATIZADOS IMPLEMENTADOS</w:t>
              <w:br/>
              <w:t>• Backend (JUnit 5 / Mockito): Testes de serviços, repositórios e controllers, cobrindo deleção segura e consistência cruzada. A cobertura é monitorada via plugin JaCoCo, com cache desativado nos testes (spring.cache.type=none) para independência de rede.</w:t>
              <w:br/>
              <w:t>• Frontend: Testes automatizados estruturados para validação de fluxos críticos de rotas e componentes.</w:t>
              <w:br/>
              <w:t>• Mobile (Flutter Test): Testes básicos de Widgets e integridade das chamadas de API do cliente Dio.</w:t>
              <w:br/>
              <w:br/>
              <w:t>7.3 DOCUMENTAÇÃO DA API REST (SWAGGER)</w:t>
              <w:br/>
              <w:t>O backend expõe a documentação Swagger/OpenAPI 3.0 para consulta e teste rápido de todos os endpoints REST (Auth, Pets, Interesses, Organizacoes).</w:t>
            </w:r>
          </w:p>
        </w:tc>
      </w:tr>
    </w:tbl>
    <w:p w:rsidR="00000000" w:rsidDel="00000000" w:rsidP="00000000" w:rsidRDefault="00000000" w:rsidRPr="00000000" w14:paraId="0000007C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spacing w:after="120" w:before="440" w:lineRule="auto"/>
        <w:rPr/>
      </w:pPr>
      <w:r w:rsidDel="00000000" w:rsidR="00000000" w:rsidRPr="00000000">
        <w:rPr>
          <w:color w:val="2d7d46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1"/>
          <w:bCs w:val="1"/>
          <w:color w:val="2d7d46"/>
          <w:sz w:val="30"/>
          <w:szCs w:val="30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Bdr>
          <w:bottom w:color="2d7d46" w:space="0" w:sz="12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00"/>
        <w:gridCol w:w="4760"/>
        <w:tblGridChange w:id="0">
          <w:tblGrid>
            <w:gridCol w:w="4600"/>
            <w:gridCol w:w="4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a86b" w:space="0" w:sz="4" w:val="single"/>
              <w:left w:color="00a86b" w:space="0" w:sz="4" w:val="single"/>
              <w:bottom w:color="00a86b" w:space="0" w:sz="4" w:val="single"/>
              <w:right w:color="00a86b" w:space="0" w:sz="4" w:val="single"/>
            </w:tcBorders>
            <w:shd w:fill="e6fdf4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>
            <w:r>
              <w:rPr>
                <w:rFonts w:ascii="Arial" w:hAnsi="Arial"/>
                <w:sz w:val="18"/>
              </w:rPr>
              <w:t>8.1 METODOLOGIA KANBAN E JIRA</w:t>
              <w:br/>
              <w:t>Organização do backlog de desenvolvimento através do Jira. Tarefas priorizadas foram distribuídas em sprints de duas semanas, com reuniões quinzenais de review e retrospectiva para governança de escopo.</w:t>
              <w:br/>
              <w:br/>
              <w:t>8.2 GESTÃO DE CONFIGURAÇÃO E COMMITS (GITHUB)</w:t>
              <w:br/>
              <w:t>Estratégia de versionamento rigorosa no GitHub:</w:t>
              <w:br/>
              <w:t>• Criação de branches com nomenclatura padrão (ex: MY-37-3.8-Performance-DB).</w:t>
              <w:br/>
              <w:t>• Commits descritivos utilizando convenções claras (Conventional Commits).</w:t>
              <w:br/>
              <w:t>• Pull Requests exigindo validação de compilação e aprovação do time antes do merge na branch Developer.</w:t>
            </w:r>
          </w:p>
        </w:tc>
        <w:tc>
          <w:tcPr>
            <w:tcBorders>
              <w:top w:color="336791" w:space="0" w:sz="4" w:val="single"/>
              <w:left w:color="336791" w:space="0" w:sz="4" w:val="single"/>
              <w:bottom w:color="336791" w:space="0" w:sz="4" w:val="single"/>
              <w:right w:color="336791" w:space="0" w:sz="4" w:val="single"/>
            </w:tcBorders>
            <w:shd w:fill="e8f1fb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>
            <w:r>
              <w:rPr>
                <w:rFonts w:ascii="Arial" w:hAnsi="Arial"/>
                <w:sz w:val="18"/>
              </w:rPr>
              <w:t>8.3 APONTAMENTO DE HORAS E ROADMAP</w:t>
              <w:br/>
              <w:t>• Épico 1 (Setup e Autenticação): 200 horas estimadas e executadas.</w:t>
              <w:br/>
              <w:t>• Épico 2 (Adoção, Doações e Flutter): 340 horas planejadas.</w:t>
              <w:br/>
              <w:t>• Épico 3 (Marketplace, Otimizações e TCC): 260 horas planejadas.</w:t>
              <w:br/>
              <w:br/>
              <w:t>CONCLUSÃO TÉCNICA E REFERÊNCIAS</w:t>
              <w:br/>
              <w:br/>
              <w:br/>
              <w:t>ANEXOS E CANAIS</w:t>
              <w:br/>
              <w:t>• Repositório GitHub: https://github.com/EderHenriq/MyBuddy</w:t>
              <w:br/>
              <w:t>• Projeto Jira: https://projetodesoftware420.atlassian.net/jira/software/projects/BUDDY/boards/34</w:t>
              <w:br/>
              <w:t>• Pasta Google Drive: https://drive.google.com/drive/folders/1OEwP3-mNprn7MHA7agHBYxmT8tZzGgO2?usp=sharing</w:t>
            </w:r>
          </w:p>
        </w:tc>
      </w:tr>
    </w:tbl>
    <w:p w:rsidR="00000000" w:rsidDel="00000000" w:rsidP="00000000" w:rsidRDefault="00000000" w:rsidRPr="00000000" w14:paraId="00000085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pBdr>
        <w:top w:color="d0e8d5" w:space="0" w:sz="6" w:val="single"/>
      </w:pBdr>
      <w:tabs>
        <w:tab w:val="right" w:leader="none" w:pos="9026"/>
      </w:tabs>
      <w:spacing w:after="0" w:before="160" w:lineRule="auto"/>
      <w:rPr/>
    </w:pP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UniCesumar </w:t>
    </w:r>
    <w:r w:rsidDel="00000000" w:rsidR="00000000" w:rsidRPr="00000000">
      <w:rPr>
        <w:color w:val="666666"/>
        <w:sz w:val="18"/>
        <w:szCs w:val="18"/>
        <w:rtl w:val="0"/>
      </w:rPr>
      <w:t xml:space="preserve">- </w:t>
    </w: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 Maringá-PR </w:t>
    </w:r>
    <w:r w:rsidDel="00000000" w:rsidR="00000000" w:rsidRPr="00000000">
      <w:rPr>
        <w:color w:val="666666"/>
        <w:sz w:val="18"/>
        <w:szCs w:val="18"/>
        <w:rtl w:val="0"/>
      </w:rPr>
      <w:t xml:space="preserve">- 2026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pBdr>
        <w:bottom w:color="2d7d46" w:space="0" w:sz="6" w:val="single"/>
      </w:pBdr>
      <w:tabs>
        <w:tab w:val="right" w:leader="none" w:pos="9026"/>
      </w:tabs>
      <w:spacing w:after="160" w:before="0" w:lineRule="auto"/>
      <w:rPr/>
    </w:pPr>
    <w:r w:rsidDel="00000000" w:rsidR="00000000" w:rsidRPr="00000000">
      <w:rPr>
        <w:rFonts w:ascii="Arial" w:cs="Arial" w:eastAsia="Arial" w:hAnsi="Arial"/>
        <w:b w:val="1"/>
        <w:bCs w:val="1"/>
        <w:color w:val="2d7d46"/>
        <w:sz w:val="18"/>
        <w:szCs w:val="18"/>
        <w:rtl w:val="0"/>
      </w:rPr>
      <w:t xml:space="preserve">MyBuddy - </w:t>
    </w:r>
    <w:r w:rsidDel="00000000" w:rsidR="00000000" w:rsidRPr="00000000">
      <w:rPr>
        <w:b w:val="1"/>
        <w:bCs w:val="1"/>
        <w:color w:val="2d7d46"/>
        <w:sz w:val="18"/>
        <w:szCs w:val="18"/>
        <w:rtl w:val="0"/>
      </w:rPr>
      <w:t xml:space="preserve">Título - </w:t>
    </w: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Documento Técnico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