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8A8A"/>
          <w:sz w:val="20"/>
          <w:szCs w:val="20"/>
        </w:rPr>
        <w:t xml:space="preserve">TEMPLATE · Aula 07 · Checkpoint C2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Dicionário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Como preencher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Uma tabela por coleção. Cada aluno preenche a do seu módulo; a Documentação consolida.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Tipos do Mongoose: String, Number, Boolean, Date, ObjectId, Array, subdocumento.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Marque como sensível todo dado pessoal (PDF 03, cap. 13; LGPD).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Visão geral das coleções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638"/>
        <w:gridCol w:w="1735"/>
        <w:gridCol w:w="2410"/>
        <w:gridCol w:w="2217"/>
      </w:tblGrid>
      <w:tr>
        <w:trPr>
          <w:tblHeader/>
        </w:trP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Coleção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Referencia (coleção.campo)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 referenciada por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Coleção 1: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Coleção 2: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Coleção 3: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Coleção 4: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Coleção 5: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usuarios (Segurança):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Dicionário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</dc:title>
  <dc:creator>Éder</dc:creator>
  <dc:description>Dicionário de Dados</dc:description>
  <cp:lastModifiedBy>Un-named</cp:lastModifiedBy>
  <cp:revision>1</cp:revision>
  <dcterms:created xsi:type="dcterms:W3CDTF">2026-10-20T12:52:45.923Z</dcterms:created>
  <dcterms:modified xsi:type="dcterms:W3CDTF">2026-10-20T12:52:45.923Z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