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7F0A9">
      <w:pPr>
        <w:pStyle w:val="43"/>
        <w:spacing w:line="288" w:lineRule="auto"/>
        <w:ind w:left="0"/>
        <w:jc w:val="center"/>
        <w:rPr>
          <w:rFonts w:ascii="Arial" w:hAnsi="Arial" w:cs="Arial"/>
          <w:b/>
          <w:bCs/>
          <w:color w:val="000000" w:themeColor="text1"/>
          <w:sz w:val="32"/>
          <w:szCs w:val="32"/>
          <w14:textFill>
            <w14:solidFill>
              <w14:schemeClr w14:val="tx1"/>
            </w14:solidFill>
          </w14:textFill>
        </w:rPr>
      </w:pPr>
    </w:p>
    <w:p w14:paraId="08102DA0">
      <w:pPr>
        <w:pStyle w:val="43"/>
        <w:spacing w:line="288" w:lineRule="auto"/>
        <w:ind w:left="0"/>
        <w:jc w:val="center"/>
        <w:rPr>
          <w:rFonts w:ascii="Arial" w:hAnsi="Arial" w:cs="Arial"/>
          <w:b/>
          <w:bCs/>
          <w:color w:val="000000" w:themeColor="text1"/>
          <w:sz w:val="32"/>
          <w:szCs w:val="32"/>
          <w14:textFill>
            <w14:solidFill>
              <w14:schemeClr w14:val="tx1"/>
            </w14:solidFill>
          </w14:textFill>
        </w:rPr>
      </w:pPr>
    </w:p>
    <w:p w14:paraId="3D01EF92">
      <w:pPr>
        <w:pStyle w:val="43"/>
        <w:spacing w:line="288" w:lineRule="auto"/>
        <w:ind w:left="0"/>
        <w:jc w:val="center"/>
        <w:rPr>
          <w:rFonts w:ascii="Arial" w:hAnsi="Arial" w:cs="Arial"/>
          <w:b/>
          <w:bCs/>
          <w:color w:val="000000" w:themeColor="text1"/>
          <w:sz w:val="32"/>
          <w:szCs w:val="32"/>
          <w14:textFill>
            <w14:solidFill>
              <w14:schemeClr w14:val="tx1"/>
            </w14:solidFill>
          </w14:textFill>
        </w:rPr>
      </w:pPr>
      <w:r>
        <w:rPr>
          <w:rFonts w:ascii="Arial" w:hAnsi="Arial" w:cs="Arial"/>
          <w:b/>
          <w:bCs/>
          <w:color w:val="000000" w:themeColor="text1"/>
          <w:sz w:val="32"/>
          <w:szCs w:val="32"/>
          <w14:textFill>
            <w14:solidFill>
              <w14:schemeClr w14:val="tx1"/>
            </w14:solidFill>
          </w14:textFill>
        </w:rPr>
        <w:t>托福写作短语和句式积累</w:t>
      </w:r>
    </w:p>
    <w:p w14:paraId="20C56818">
      <w:pPr>
        <w:pStyle w:val="43"/>
        <w:spacing w:line="288" w:lineRule="auto"/>
        <w:ind w:left="0" w:leftChars="0" w:firstLine="0" w:firstLineChars="0"/>
        <w:rPr>
          <w:rFonts w:hint="eastAsia" w:ascii="Arial" w:hAnsi="Arial" w:cs="Arial"/>
          <w:b/>
          <w:bCs/>
          <w:color w:val="000000" w:themeColor="text1"/>
          <w:sz w:val="72"/>
          <w:szCs w:val="72"/>
          <w:lang w:val="en-US" w:eastAsia="zh-CN"/>
          <w14:textFill>
            <w14:solidFill>
              <w14:schemeClr w14:val="tx1"/>
            </w14:solidFill>
          </w14:textFill>
        </w:rPr>
      </w:pPr>
    </w:p>
    <w:p w14:paraId="71DABE38">
      <w:pPr>
        <w:pStyle w:val="43"/>
        <w:spacing w:line="288" w:lineRule="auto"/>
        <w:ind w:left="0" w:leftChars="0" w:firstLine="0" w:firstLineChars="0"/>
        <w:rPr>
          <w:rFonts w:hint="eastAsia" w:ascii="Arial" w:hAnsi="Arial" w:cs="Arial"/>
          <w:b/>
          <w:bCs/>
          <w:color w:val="000000" w:themeColor="text1"/>
          <w:sz w:val="72"/>
          <w:szCs w:val="72"/>
          <w:lang w:val="en-US" w:eastAsia="zh-CN"/>
          <w14:textFill>
            <w14:solidFill>
              <w14:schemeClr w14:val="tx1"/>
            </w14:solidFill>
          </w14:textFill>
        </w:rPr>
      </w:pPr>
    </w:p>
    <w:p w14:paraId="6EC0CFED">
      <w:pPr>
        <w:pStyle w:val="43"/>
        <w:spacing w:line="288" w:lineRule="auto"/>
        <w:ind w:left="0" w:leftChars="0" w:firstLine="0" w:firstLineChars="0"/>
        <w:rPr>
          <w:rFonts w:hint="eastAsia" w:ascii="Arial" w:hAnsi="Arial" w:cs="Arial"/>
          <w:b/>
          <w:bCs/>
          <w:color w:val="000000" w:themeColor="text1"/>
          <w:sz w:val="72"/>
          <w:szCs w:val="72"/>
          <w:lang w:val="en-US" w:eastAsia="zh-CN"/>
          <w14:textFill>
            <w14:solidFill>
              <w14:schemeClr w14:val="tx1"/>
            </w14:solidFill>
          </w14:textFill>
        </w:rPr>
      </w:pPr>
    </w:p>
    <w:p w14:paraId="64D24DDE">
      <w:pPr>
        <w:pStyle w:val="43"/>
        <w:spacing w:line="288" w:lineRule="auto"/>
        <w:ind w:left="0" w:leftChars="0" w:firstLine="4322" w:firstLineChars="600"/>
        <w:rPr>
          <w:rStyle w:val="26"/>
          <w:rFonts w:ascii="Arial" w:hAnsi="Arial" w:cs="Arial"/>
          <w:sz w:val="20"/>
          <w:szCs w:val="20"/>
        </w:rPr>
      </w:pPr>
      <w:r>
        <w:rPr>
          <w:rFonts w:hint="eastAsia" w:ascii="Arial" w:hAnsi="Arial" w:cs="Arial"/>
          <w:b/>
          <w:bCs/>
          <w:color w:val="000000" w:themeColor="text1"/>
          <w:sz w:val="72"/>
          <w:szCs w:val="72"/>
          <w:lang w:val="en-US" w:eastAsia="zh-CN"/>
          <w14:textFill>
            <w14:solidFill>
              <w14:schemeClr w14:val="tx1"/>
            </w14:solidFill>
          </w14:textFill>
        </w:rPr>
        <w:t>例句篇</w:t>
      </w:r>
      <w:r>
        <w:rPr>
          <w:rFonts w:ascii="Arial" w:hAnsi="Arial" w:cs="Arial"/>
          <w:b/>
          <w:bCs/>
          <w:color w:val="000000" w:themeColor="text1"/>
          <w:sz w:val="28"/>
          <w:szCs w:val="28"/>
          <w14:textFill>
            <w14:solidFill>
              <w14:schemeClr w14:val="tx1"/>
            </w14:solidFill>
          </w14:textFill>
        </w:rPr>
        <w:br w:type="page"/>
      </w:r>
    </w:p>
    <w:p w14:paraId="0938C9D0">
      <w:pPr>
        <w:widowControl/>
        <w:spacing w:line="288" w:lineRule="auto"/>
        <w:jc w:val="left"/>
        <w:rPr>
          <w:rFonts w:ascii="Arial" w:hAnsi="Arial" w:cs="Arial"/>
          <w:sz w:val="20"/>
          <w:szCs w:val="20"/>
        </w:rPr>
      </w:pPr>
    </w:p>
    <w:p w14:paraId="7BADB248">
      <w:pPr>
        <w:pStyle w:val="43"/>
        <w:spacing w:line="288" w:lineRule="auto"/>
        <w:ind w:left="0"/>
        <w:rPr>
          <w:rFonts w:ascii="Arial" w:hAnsi="Arial" w:cs="Arial"/>
          <w:b/>
          <w:bCs/>
          <w:color w:val="0070C0"/>
          <w:sz w:val="20"/>
          <w:szCs w:val="20"/>
        </w:rPr>
      </w:pPr>
    </w:p>
    <w:p w14:paraId="1B38176D">
      <w:pPr>
        <w:spacing w:line="288" w:lineRule="auto"/>
        <w:rPr>
          <w:rFonts w:ascii="Arial" w:hAnsi="Arial" w:cs="Arial"/>
          <w:b/>
          <w:bCs/>
          <w:sz w:val="20"/>
          <w:szCs w:val="20"/>
        </w:rPr>
      </w:pPr>
      <w:bookmarkStart w:id="4" w:name="_GoBack"/>
      <w:bookmarkEnd w:id="4"/>
    </w:p>
    <w:p w14:paraId="2AA7AE82">
      <w:pPr>
        <w:pStyle w:val="2"/>
        <w:numPr>
          <w:ilvl w:val="0"/>
          <w:numId w:val="1"/>
        </w:numPr>
        <w:spacing w:before="0" w:after="0" w:line="288" w:lineRule="auto"/>
        <w:ind w:left="0"/>
        <w:rPr>
          <w:rFonts w:ascii="Arial" w:hAnsi="Arial" w:cs="Arial"/>
        </w:rPr>
      </w:pPr>
      <w:bookmarkStart w:id="0" w:name="_Toc212652017"/>
      <w:bookmarkStart w:id="1" w:name="_Toc212643745"/>
      <w:bookmarkStart w:id="2" w:name="_Toc212651830"/>
      <w:bookmarkStart w:id="3" w:name="_Toc212643632"/>
      <w:r>
        <w:rPr>
          <w:rFonts w:ascii="Arial" w:hAnsi="Arial" w:cs="Arial"/>
        </w:rPr>
        <w:t>例句篇</w:t>
      </w:r>
      <w:bookmarkEnd w:id="0"/>
      <w:bookmarkEnd w:id="1"/>
      <w:bookmarkEnd w:id="2"/>
      <w:bookmarkEnd w:id="3"/>
    </w:p>
    <w:p w14:paraId="4D143CC8">
      <w:pPr>
        <w:pStyle w:val="43"/>
        <w:spacing w:line="288" w:lineRule="auto"/>
        <w:ind w:left="0"/>
        <w:rPr>
          <w:rFonts w:ascii="Arial" w:hAnsi="Arial" w:cs="Arial"/>
          <w:b/>
          <w:bCs/>
          <w:color w:val="C00000"/>
          <w:sz w:val="32"/>
          <w:szCs w:val="32"/>
        </w:rPr>
      </w:pPr>
      <w:r>
        <w:rPr>
          <w:rStyle w:val="55"/>
          <w:rFonts w:ascii="Arial" w:hAnsi="Arial" w:cs="Arial"/>
          <w:b/>
          <w:bCs/>
          <w:color w:val="C00000"/>
          <w:sz w:val="24"/>
          <w:highlight w:val="yellow"/>
          <w:u w:val="single"/>
        </w:rPr>
        <w:t>语料中的段落用中文理解逻辑</w:t>
      </w:r>
      <w:r>
        <w:rPr>
          <w:rStyle w:val="55"/>
          <w:rFonts w:ascii="Arial" w:hAnsi="Arial" w:cs="Arial"/>
          <w:b/>
          <w:bCs/>
          <w:color w:val="C00000"/>
          <w:sz w:val="24"/>
          <w:highlight w:val="yellow"/>
        </w:rPr>
        <w:t>，</w:t>
      </w:r>
      <w:r>
        <w:rPr>
          <w:rStyle w:val="55"/>
          <w:rFonts w:ascii="Arial" w:hAnsi="Arial" w:cs="Arial"/>
          <w:b/>
          <w:bCs/>
          <w:color w:val="C00000"/>
          <w:sz w:val="24"/>
          <w:highlight w:val="yellow"/>
          <w:u w:val="single"/>
        </w:rPr>
        <w:t>背诵英文短语即可，</w:t>
      </w:r>
      <w:r>
        <w:rPr>
          <w:rStyle w:val="55"/>
          <w:rFonts w:ascii="Arial" w:hAnsi="Arial" w:cs="Arial"/>
          <w:b/>
          <w:bCs/>
          <w:color w:val="C00000"/>
          <w:sz w:val="28"/>
          <w:szCs w:val="28"/>
          <w:highlight w:val="yellow"/>
          <w:u w:val="single"/>
        </w:rPr>
        <w:t>考试中要用自己的思路进行原创写作，</w:t>
      </w:r>
      <w:r>
        <w:rPr>
          <w:rStyle w:val="55"/>
          <w:rFonts w:ascii="Arial" w:hAnsi="Arial" w:cs="Arial"/>
          <w:b/>
          <w:bCs/>
          <w:color w:val="C00000"/>
          <w:sz w:val="32"/>
          <w:szCs w:val="32"/>
          <w:highlight w:val="yellow"/>
        </w:rPr>
        <w:t>切忌大段照搬范文原文！！！</w:t>
      </w:r>
    </w:p>
    <w:p w14:paraId="618CF68A">
      <w:pPr>
        <w:pStyle w:val="43"/>
        <w:spacing w:line="288" w:lineRule="auto"/>
        <w:ind w:left="0"/>
        <w:rPr>
          <w:rFonts w:ascii="Arial" w:hAnsi="Arial" w:cs="Arial"/>
        </w:rPr>
      </w:pPr>
    </w:p>
    <w:p w14:paraId="60ADAE58">
      <w:pPr>
        <w:pStyle w:val="43"/>
        <w:numPr>
          <w:ilvl w:val="0"/>
          <w:numId w:val="2"/>
        </w:numPr>
        <w:spacing w:line="288" w:lineRule="auto"/>
        <w:ind w:left="0"/>
        <w:rPr>
          <w:rFonts w:ascii="Arial" w:hAnsi="Arial" w:cs="Arial"/>
          <w:b/>
          <w:bCs/>
          <w:color w:val="7030A0"/>
          <w:sz w:val="28"/>
          <w:szCs w:val="28"/>
          <w:u w:val="single"/>
        </w:rPr>
      </w:pPr>
      <w:r>
        <w:rPr>
          <w:rFonts w:ascii="Arial" w:hAnsi="Arial" w:cs="Arial"/>
          <w:b/>
          <w:bCs/>
          <w:color w:val="7030A0"/>
          <w:sz w:val="28"/>
          <w:szCs w:val="28"/>
          <w:highlight w:val="yellow"/>
          <w:u w:val="single"/>
        </w:rPr>
        <w:t>写作话题相关例句积累</w:t>
      </w:r>
    </w:p>
    <w:p w14:paraId="2FE6F524">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Students follow set schedules for waking, attending classes, and completing assignments under guidance. Supervised study periods reinforce academic responsibility, while shared living spaces require students to maintain order and respect rules. Over time, these repeated practices build disciplined habits naturally, preparing students for academic and personal success.</w:t>
      </w:r>
    </w:p>
    <w:p w14:paraId="1F5D834F">
      <w:pPr>
        <w:pStyle w:val="49"/>
        <w:spacing w:before="0" w:beforeAutospacing="0" w:after="0" w:afterAutospacing="0" w:line="288" w:lineRule="auto"/>
        <w:jc w:val="both"/>
        <w:rPr>
          <w:rFonts w:ascii="Arial" w:hAnsi="Arial" w:cs="Arial"/>
          <w:color w:val="404040"/>
          <w:sz w:val="20"/>
          <w:szCs w:val="20"/>
        </w:rPr>
      </w:pPr>
      <w:r>
        <w:rPr>
          <w:rFonts w:ascii="Arial" w:hAnsi="Arial" w:cs="Arial"/>
          <w:color w:val="404040"/>
          <w:sz w:val="20"/>
          <w:szCs w:val="20"/>
        </w:rPr>
        <w:t>学生们遵循固定的作息安排，在指导下按时起床、上课并完成作业。监督式自习时段强化了学业责任感，共享生活空间则要求学生保持整洁并遵守规章。日复一日的规律实践，自然而然地培养了严谨自律的习惯，为学术成就与个人成长奠定基础。</w:t>
      </w:r>
    </w:p>
    <w:p w14:paraId="6B30E32A">
      <w:pPr>
        <w:pStyle w:val="49"/>
        <w:spacing w:before="0" w:beforeAutospacing="0" w:after="0" w:afterAutospacing="0" w:line="288" w:lineRule="auto"/>
        <w:jc w:val="both"/>
        <w:rPr>
          <w:rFonts w:ascii="Arial" w:hAnsi="Arial" w:cs="Arial"/>
          <w:color w:val="404040"/>
          <w:sz w:val="20"/>
          <w:szCs w:val="20"/>
        </w:rPr>
      </w:pPr>
    </w:p>
    <w:p w14:paraId="0F7874D7">
      <w:pPr>
        <w:pStyle w:val="49"/>
        <w:numPr>
          <w:ilvl w:val="0"/>
          <w:numId w:val="3"/>
        </w:numPr>
        <w:spacing w:before="0" w:beforeAutospacing="0" w:after="0" w:afterAutospacing="0" w:line="288" w:lineRule="auto"/>
        <w:ind w:left="0"/>
        <w:jc w:val="both"/>
        <w:rPr>
          <w:rFonts w:ascii="Arial" w:hAnsi="Arial" w:cs="Arial"/>
          <w:color w:val="404040"/>
          <w:sz w:val="20"/>
          <w:szCs w:val="20"/>
        </w:rPr>
      </w:pPr>
      <w:r>
        <w:rPr>
          <w:rFonts w:ascii="Arial" w:hAnsi="Arial" w:cs="Arial"/>
          <w:color w:val="000000" w:themeColor="text1"/>
          <w:sz w:val="20"/>
          <w:szCs w:val="20"/>
          <w14:textFill>
            <w14:solidFill>
              <w14:schemeClr w14:val="tx1"/>
            </w14:solidFill>
          </w14:textFill>
        </w:rPr>
        <w:t>When facing academic challenges like preparing for finals, dorm mates often form study groups where knowledge gaps are filled through collaborative learning. A struggling student might grasp calculus concepts through peer explanations that click better than textbook diagrams.</w:t>
      </w:r>
    </w:p>
    <w:p w14:paraId="2BFF2531">
      <w:pPr>
        <w:pStyle w:val="48"/>
        <w:spacing w:before="0" w:beforeAutospacing="0" w:after="0" w:afterAutospacing="0" w:line="288" w:lineRule="auto"/>
        <w:jc w:val="both"/>
        <w:rPr>
          <w:rFonts w:ascii="Arial" w:hAnsi="Arial" w:cs="Arial"/>
          <w:color w:val="404040"/>
          <w:sz w:val="20"/>
          <w:szCs w:val="20"/>
          <w:shd w:val="clear" w:color="auto" w:fill="FFFFFF"/>
        </w:rPr>
      </w:pPr>
      <w:r>
        <w:rPr>
          <w:rFonts w:ascii="Arial" w:hAnsi="Arial" w:cs="Arial"/>
          <w:color w:val="404040"/>
          <w:sz w:val="20"/>
          <w:szCs w:val="20"/>
          <w:shd w:val="clear" w:color="auto" w:fill="FFFFFF"/>
        </w:rPr>
        <w:t>应对期末考试等学业挑战时，室友们常自发组成学习小组. 通过协作学习填补知识盲区：当课本图表难以理解时，同伴的讲解可能让挣扎于微积分的学生豁然开朗。</w:t>
      </w:r>
    </w:p>
    <w:p w14:paraId="753E010F">
      <w:pPr>
        <w:pStyle w:val="48"/>
        <w:spacing w:before="0" w:beforeAutospacing="0" w:after="0" w:afterAutospacing="0" w:line="288" w:lineRule="auto"/>
        <w:jc w:val="both"/>
        <w:rPr>
          <w:rFonts w:ascii="Arial" w:hAnsi="Arial" w:cs="Arial"/>
          <w:color w:val="404040"/>
          <w:sz w:val="20"/>
          <w:szCs w:val="20"/>
          <w:shd w:val="clear" w:color="auto" w:fill="FFFFFF"/>
        </w:rPr>
      </w:pPr>
    </w:p>
    <w:p w14:paraId="463CC567">
      <w:pPr>
        <w:pStyle w:val="48"/>
        <w:numPr>
          <w:ilvl w:val="0"/>
          <w:numId w:val="3"/>
        </w:numPr>
        <w:spacing w:before="0" w:beforeAutospacing="0" w:after="0" w:afterAutospacing="0" w:line="288" w:lineRule="auto"/>
        <w:ind w:left="0"/>
        <w:jc w:val="both"/>
        <w:rPr>
          <w:rFonts w:ascii="Arial" w:hAnsi="Arial" w:cs="Arial"/>
          <w:color w:val="404040"/>
          <w:sz w:val="20"/>
          <w:szCs w:val="20"/>
          <w:shd w:val="clear" w:color="auto" w:fill="FFFFFF"/>
        </w:rPr>
      </w:pPr>
      <w:r>
        <w:rPr>
          <w:rFonts w:ascii="Arial" w:hAnsi="Arial" w:cs="Arial"/>
          <w:color w:val="000000" w:themeColor="text1"/>
          <w:sz w:val="20"/>
          <w:szCs w:val="20"/>
          <w14:textFill>
            <w14:solidFill>
              <w14:schemeClr w14:val="tx1"/>
            </w14:solidFill>
          </w14:textFill>
        </w:rPr>
        <w:t>Beyond academics, shared living cultivates emotional support networks: a homesick student receives encouragement from roommates who have adapted to dorm life, while late-night conversations about stress or family issues strengthen trust.</w:t>
      </w:r>
    </w:p>
    <w:p w14:paraId="246DD577">
      <w:pPr>
        <w:pStyle w:val="48"/>
        <w:spacing w:before="0" w:beforeAutospacing="0" w:after="0" w:afterAutospacing="0" w:line="288" w:lineRule="auto"/>
        <w:jc w:val="both"/>
        <w:rPr>
          <w:rFonts w:ascii="Arial" w:hAnsi="Arial" w:cs="Arial"/>
          <w:color w:val="404040"/>
          <w:sz w:val="20"/>
          <w:szCs w:val="20"/>
          <w:shd w:val="clear" w:color="auto" w:fill="FFFFFF"/>
        </w:rPr>
      </w:pPr>
      <w:r>
        <w:rPr>
          <w:rFonts w:ascii="Arial" w:hAnsi="Arial" w:cs="Arial"/>
          <w:color w:val="404040"/>
          <w:sz w:val="20"/>
          <w:szCs w:val="20"/>
          <w:shd w:val="clear" w:color="auto" w:fill="FFFFFF"/>
        </w:rPr>
        <w:t>宿舍生活更孕育出情感支持网络：想家的新生会得到已适应集体生活的室友开导，而那些关于压力或家庭问题的深夜卧谈，则在无形中筑牢了彼此信任的纽带。</w:t>
      </w:r>
    </w:p>
    <w:p w14:paraId="2C7DFA46">
      <w:pPr>
        <w:pStyle w:val="48"/>
        <w:spacing w:before="0" w:beforeAutospacing="0" w:after="0" w:afterAutospacing="0" w:line="288" w:lineRule="auto"/>
        <w:jc w:val="both"/>
        <w:rPr>
          <w:rFonts w:ascii="Arial" w:hAnsi="Arial" w:cs="Arial"/>
          <w:color w:val="404040"/>
          <w:sz w:val="20"/>
          <w:szCs w:val="20"/>
          <w:shd w:val="clear" w:color="auto" w:fill="FFFFFF"/>
        </w:rPr>
      </w:pPr>
    </w:p>
    <w:p w14:paraId="24A2EFED">
      <w:pPr>
        <w:pStyle w:val="48"/>
        <w:numPr>
          <w:ilvl w:val="0"/>
          <w:numId w:val="3"/>
        </w:numPr>
        <w:spacing w:before="0" w:beforeAutospacing="0" w:after="0" w:afterAutospacing="0" w:line="288" w:lineRule="auto"/>
        <w:ind w:left="0"/>
        <w:jc w:val="both"/>
        <w:rPr>
          <w:rFonts w:ascii="Arial" w:hAnsi="Arial" w:cs="Arial"/>
          <w:color w:val="404040"/>
          <w:sz w:val="20"/>
          <w:szCs w:val="20"/>
          <w:shd w:val="clear" w:color="auto" w:fill="FFFFFF"/>
        </w:rPr>
      </w:pPr>
      <w:r>
        <w:rPr>
          <w:rFonts w:ascii="Arial" w:hAnsi="Arial" w:cs="Arial"/>
          <w:color w:val="404040"/>
          <w:sz w:val="20"/>
          <w:szCs w:val="20"/>
          <w:shd w:val="clear" w:color="auto" w:fill="FFFFFF"/>
        </w:rPr>
        <w:t>Boarding schools are ideal for middle and high school students, as they nurture independence and responsibility in a structured yet supportive environment. Living away from home, students learn time management, self-discipline, and problem-solving—skills crucial for university and beyond. The immersive community also fosters resilience, teamwork, and emotional maturity, preparing teens for adulthood.</w:t>
      </w:r>
    </w:p>
    <w:p w14:paraId="19DB2BB2">
      <w:pPr>
        <w:pStyle w:val="48"/>
        <w:spacing w:before="0" w:beforeAutospacing="0" w:after="0" w:afterAutospacing="0" w:line="288" w:lineRule="auto"/>
        <w:jc w:val="both"/>
        <w:rPr>
          <w:rFonts w:ascii="Arial" w:hAnsi="Arial" w:cs="Arial"/>
          <w:color w:val="404040"/>
          <w:sz w:val="20"/>
          <w:szCs w:val="20"/>
          <w:shd w:val="clear" w:color="auto" w:fill="FFFFFF"/>
        </w:rPr>
      </w:pPr>
      <w:r>
        <w:rPr>
          <w:rFonts w:ascii="Arial" w:hAnsi="Arial" w:cs="Arial"/>
          <w:color w:val="404040"/>
          <w:sz w:val="20"/>
          <w:szCs w:val="20"/>
          <w:shd w:val="clear" w:color="auto" w:fill="FFFFFF"/>
        </w:rPr>
        <w:t>寄宿制学校是初高中学生的理想选择，这种教育模式能在规范而充满支持的环境中培养学生的独立性与责任感。离家求学的经历让学生掌握时间管理、自律意识和解决问题等关键能力——这些正是大学及未来人生不可或缺的素质。沉浸式的集体生活更能锤炼青少年的抗压能力、团队协作精神与情绪管理智慧，为即将到来的成人世界做好充分准备。</w:t>
      </w:r>
    </w:p>
    <w:p w14:paraId="6F39E5F4">
      <w:pPr>
        <w:pStyle w:val="48"/>
        <w:spacing w:before="0" w:beforeAutospacing="0" w:after="0" w:afterAutospacing="0" w:line="288" w:lineRule="auto"/>
        <w:jc w:val="both"/>
        <w:rPr>
          <w:rFonts w:ascii="Arial" w:hAnsi="Arial" w:cs="Arial"/>
          <w:color w:val="404040"/>
          <w:sz w:val="20"/>
          <w:szCs w:val="20"/>
          <w:shd w:val="clear" w:color="auto" w:fill="FFFFFF"/>
        </w:rPr>
      </w:pPr>
    </w:p>
    <w:p w14:paraId="082801EA">
      <w:pPr>
        <w:pStyle w:val="48"/>
        <w:numPr>
          <w:ilvl w:val="0"/>
          <w:numId w:val="3"/>
        </w:numPr>
        <w:spacing w:before="0" w:beforeAutospacing="0" w:after="0" w:afterAutospacing="0" w:line="288" w:lineRule="auto"/>
        <w:ind w:left="0"/>
        <w:jc w:val="both"/>
        <w:rPr>
          <w:rFonts w:ascii="Arial" w:hAnsi="Arial" w:cs="Arial"/>
          <w:color w:val="404040"/>
          <w:sz w:val="20"/>
          <w:szCs w:val="20"/>
          <w:shd w:val="clear" w:color="auto" w:fill="FFFFFF"/>
        </w:rPr>
      </w:pPr>
      <w:r>
        <w:rPr>
          <w:rFonts w:ascii="Arial" w:hAnsi="Arial" w:cs="Arial"/>
          <w:color w:val="404040"/>
          <w:sz w:val="20"/>
          <w:szCs w:val="20"/>
          <w:shd w:val="clear" w:color="auto" w:fill="FFFFFF"/>
        </w:rPr>
        <w:t>On the other hand, day schools are more appropriate for younger children, especially those in primary school, as they require greater familial care, emotional support, and a stable home environment. Day schools allow parents to actively participate in their child's education, monitor their progress, and provide immediate guidance, all of which are crucial for nurturing confidence and social skills in early childhood.</w:t>
      </w:r>
    </w:p>
    <w:p w14:paraId="04ED102A">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另一方面，走读学校更适合年幼的孩子，尤其是小学生，因为他们需要更多的家庭关怀、情感支持和稳定的成长环境。走读模式能让家长积极参与孩子的教育过程，及时了解学习进展并给予指导，这些对于培养儿童早期的自信心和社交能力都至关重要。</w:t>
      </w:r>
    </w:p>
    <w:p w14:paraId="17BD1C90">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p>
    <w:p w14:paraId="29CA49C8">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By engaging in activities that benefit their local communities, students can cultivate important qualities such as compassion and a sense of social responsibility.</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参与社区服务能培养学生的人文关怀精神与社会担当意识。</w:t>
      </w:r>
    </w:p>
    <w:p w14:paraId="58A4B265">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p>
    <w:p w14:paraId="61A28CD7">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Advanced facilities enable students to acquire knowledge more effectively, enhancing their ability to comprehend and retain information. For instance, in film studies, professors can leverage professional tools such as Final Cut Pro or iMovie to guide students in transforming static images into engaging motion videos, thereby deepening their grasp of cinematic techniques. </w:t>
      </w:r>
    </w:p>
    <w:p w14:paraId="7E3C4F6C">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先进的设施能够帮助学生更有效地获取知识，提升他们的理解力和记忆力。例如，在电影教学中，教授可以利用诸如Final Cut Pro或iMovie等专业工具，指导学生将静态图片转化为生动的动态视频，从而加深他们对电影技术的掌握。 </w:t>
      </w:r>
    </w:p>
    <w:p w14:paraId="4DEC0552">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p>
    <w:p w14:paraId="48AF0CF7">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Universities with star faculty members often boast higher graduate employment rates. It is not surprising that well-connected professors can provide students with a significant advantage in the job market. For instance, a renowned professor in the field of computer science might leverage their network to secure a student an interview with a top-tier company like Google or Microsoft, significantly enhancing their chances of landing a coveted position.</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拥有明星师资的大学往往毕业生就业率更高。人脉广泛的教授能为学生在求职市场创造显著优势——比如计算机科学领域的权威学者，可能通过个人关系帮学生争取到谷歌或微软等顶尖企业的面试机会，大幅提升他们斩获理想职位的概率。</w:t>
      </w:r>
    </w:p>
    <w:p w14:paraId="57BBB32F">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p>
    <w:p w14:paraId="640BF71E">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Good teachers do more than just impart knowledge; they also instill essential values in the next generation. Take, for instance, an educator who patiently works with a troubled student, helping them rebuild their confidence and guiding them toward a brighter future. Such efforts are invaluable and deserve recognition. Similarly, consider a teacher who notices a shy, introverted student with a natural talent for painting. By nurturing that talent and encouraging the student to explore their passion, the teacher not only unlocks their potential but also sets them on a path to self-discovery and fulfillment. These moments, though often unseen, are where the true impact of a great teacher lies.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优秀的教师不仅是知识的传递者，更是价值观的塑造者。想象一位教师耐心引导问题学生重拾信心，为他们点亮未来；或发现内向学生暗藏的绘画天赋，通过悉心培养助其找到人生方向。这些润物无声的瞬间，正是教育者最珍贵的价值所在。</w:t>
      </w:r>
    </w:p>
    <w:p w14:paraId="4031575A">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在线课程的问题：</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Many students face real barriers when it comes to online learning—starting with the fact that not everyone can even get online. Imagine a high school student in a rural area where internet coverage is spotty, or a family that cannot afford reliable broadband. Even when students do have access, virtual classes often come with their own set of challenges. Teachers who are used to traditional classrooms may struggle with the tech, turning lessons into frustrating tech-support sessions rather than actual learning. Furthermore, certain subjects—such as science experiments requiring lab equipment or physical education classes that depend on movement and teamwork—become nearly impossible to replicate effectively in an online format. Without proper resources and training, remote learning often falls short of providing a meaningful educational experience.</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在线教育存在诸多现实障碍：乡村学生受困于时断时续的网络信号，贫困家庭负担不起稳定宽带。即便硬件达标，传统教师面对技术设备手忙脚乱，课堂沦为技术故障排除会；需要实验器材的理科课程、依赖肢体协作的体育课，更是难以通过屏幕有效开展。缺乏系统支持的远程教学，终究难以实现真正的教育价值。</w:t>
      </w:r>
    </w:p>
    <w:p w14:paraId="1C2189DB">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电子游戏的坏处：</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It is not advisable for children to become obsessed with computer games. The immersive and captivating nature of these games, with their lifelike graphics, captivating audio effects, and compelling narratives, can create an enchanting experience that engrosses young players. As a result, many children find themselves glued to their chairs in front of the computer screen for extended periods of time.</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儿童沉迷电子游戏危害显著。逼真的画面、震撼的音效和引人入胜的剧情构建出令人沉溺的虚拟世界，导致许多孩子长时间黏在电脑前无法自拔。</w:t>
      </w:r>
    </w:p>
    <w:p w14:paraId="4DB258F2">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使用电子科技的问题：</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The long-term health effects of excessive screen time on children remain uncertain, but two concerning trends are evident. First, prolonged screen use displaces physical activity, directly compromising children's fitness and increasing obesity risks. Second, screen exposure—particularly to targeted advertising—often promotes unhealthy dietary habits. The combined effect of sedentary behavior and poor nutrition may further exacerbate weight-related health issues.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过度屏幕暴露对儿童健康的长期影响尚不明确，但两大隐患已然显现：既挤占运动时间导致体能下降和肥胖风险，又通过精准投放的广告助长不良饮食习惯。久坐与垃圾食品的双重作用，将加剧体重管理难题。</w:t>
      </w:r>
    </w:p>
    <w:p w14:paraId="4E0B1334">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做家务的好处：</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Mandating household chores for children is an effective way to prepare them for independent living. By actively participating in household management, children acquire practical life skills—such as cooking, laundry, cleaning, basic repairs, vehicle maintenance, and budgeting—that are essential for self-sufficiency in adulthood. This hands-on approach not only contributes to the family but also fosters responsibility and competence in real-world tasks.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 xml:space="preserve">要求孩子承担家务是培养独立能力的有效途径。通过参与家政管理，孩子们能掌握烹饪、清洁、简单维修、理财等关键生活技能，这些能力正是成年后自立的基石。这种实践既是对家庭的贡献，更是责任感的培育过程。  </w:t>
      </w:r>
    </w:p>
    <w:p w14:paraId="19ECA32F">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Teaching involves a myriad of time-consuming responsibilities that demand significant effort. For instance, educators must dedicate hours to lesson planning—designing curricula, creating engaging PowerPoints, and preparing interactive classroom activities. Grading, particularly for subjects like English or literature, is equally taxing, with teachers often painstakingly reviewing hundreds of essays to provide meaningful feedback.</w:t>
      </w:r>
    </w:p>
    <w:p w14:paraId="263D0E21">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教学工作包含无数耗时费力的职责。以备课为例，教师需要投入大量时间设计课程大纲、制作生动的教学课件、筹备互动课堂活动。批改作业同样繁重，尤其是英语或文学科目的老师，往往要逐字审阅上百篇作文并撰写详尽的评语。</w:t>
      </w:r>
    </w:p>
    <w:p w14:paraId="61EFEA7E">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Beyond academics, they must maintain classroom discipline, address individual student needs, and juggle administrative duties such as completing report cards, attending staff meetings, and organizing teaching portfolios.  Additionally, they are expected to maintain constant communication with parents, responding to messages, attending conferences, and even handling complaints—all of which encroach on their personal time.</w:t>
      </w:r>
    </w:p>
    <w:p w14:paraId="1C651DB9">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除教学任务外，教师还需维持课堂纪律、因材施教，同时应付填写成绩单、参加教职工会议、整理教学档案等行政工作。更需时刻保持与家长沟通——回复留言、出席家长会、处理投诉事项，这些事务不断侵蚀着教师的个人时间。</w:t>
      </w:r>
    </w:p>
    <w:p w14:paraId="2099E152">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For example, the introduction of express buses equipped with air conditioning, operating in dedicated lanes, makes commuting both pleasant and predictable. If ticket prices are lower than the cost of parking and passengers can track arrivals in real time, many drivers eventually find it more practical to leave their cars at home. As more and more individuals make the switch, the streets become less congested, vehicles spend less time idling in traffic, and the collective emissions drop noticeably. Over time, as transit services continue to expand and improve, even more residents are encouraged to use them. This creates a positive cycle in which each new rider contributes to a smoother, cleaner, and more attractive urban environment.   </w:t>
      </w:r>
    </w:p>
    <w:p w14:paraId="7AD82949">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r>
        <w:rPr>
          <w:rFonts w:ascii="Arial" w:hAnsi="Arial" w:cs="Arial"/>
          <w:color w:val="404040"/>
          <w:sz w:val="20"/>
          <w:szCs w:val="20"/>
        </w:rPr>
        <w:t>例如，配备空调的快速公交系统在专用车道运行，既提升了通勤舒适度又保障了准点率。当票价低于停车费用，乘客还能实时查询到站时间时，越来越多驾车族会发现将爱车留在家中更为实惠。随着转乘公交的市民不断增加，道路拥堵得以缓解，车辆怠速时间减少，整体尾气排放显著下降。公交服务在持续优化扩展中形成良性循环——每位新乘客的加入，都在助力打造更畅通、更清洁、更具魅力的城市环境。</w:t>
      </w:r>
    </w:p>
    <w:p w14:paraId="3CA7FAA9">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Journal writing enables students to actively process and internalize new knowledge, and gradually develops their ability for self-directed learning. For example, after reading a short story in English class, a student might write a journal entry exploring the main character’s motivations and examining how the character’s decisions shape the story’s outcome. By expressing these ideas in their own words, students deepen their grasp of the plot, character development, and underlying themes. This reflective process also encourages them to draw connections between the story and their own experiences, which not only helps them retain important details but also promotes more thoughtful engagement with the material.   </w:t>
      </w:r>
    </w:p>
    <w:p w14:paraId="2263A15A">
      <w:pPr>
        <w:pStyle w:val="48"/>
        <w:spacing w:before="0" w:beforeAutospacing="0" w:after="0" w:afterAutospacing="0" w:line="288" w:lineRule="auto"/>
        <w:jc w:val="both"/>
        <w:rPr>
          <w:rFonts w:ascii="Arial" w:hAnsi="Arial" w:cs="Arial"/>
          <w:color w:val="000000" w:themeColor="text1"/>
          <w:sz w:val="20"/>
          <w:szCs w:val="20"/>
          <w14:textFill>
            <w14:solidFill>
              <w14:schemeClr w14:val="tx1"/>
            </w14:solidFill>
          </w14:textFill>
        </w:rPr>
      </w:pPr>
      <w:r>
        <w:rPr>
          <w:rFonts w:ascii="Arial" w:hAnsi="Arial" w:cs="Arial"/>
          <w:color w:val="404040"/>
          <w:sz w:val="20"/>
          <w:szCs w:val="20"/>
        </w:rPr>
        <w:t>写日志能帮助学生主动消化新知，逐步培养自主学习能力。比如在英语课上读完短篇小说后，学生可通过日志剖析主人公行为动机，探讨其抉择如何影响故事走向。当学生用自己的语言梳理这些观点时，不仅加深了对情节、人物塑造和主题的理解，这种反思过程更促使他们将故事与自身经历相联系——既巩固了关键记忆点，又培育了更深层次的文本解读能力。</w:t>
      </w:r>
    </w:p>
    <w:p w14:paraId="05E10ABC">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For example, imagine a family deciding to repaint the living room together. The parents handle moving the furniture and taping the edges, while the children choose the new color and help with painting the walls. As they work side by side, they discuss color preferences, solve minor mishaps such as spilled paint, and share laughter over funny mistakes. Through these shared moments, each person feels included and valued, and the family comes to appreciate one another’s efforts and perspectives.</w:t>
      </w:r>
      <w:r>
        <w:rPr>
          <w:rFonts w:ascii="Arial" w:hAnsi="Arial" w:cs="Arial"/>
          <w:color w:val="404040"/>
          <w:sz w:val="20"/>
          <w:szCs w:val="20"/>
        </w:rPr>
        <w:t>试想一个家庭共同粉刷客厅的场景：父母负责搬家具、贴边条，孩子挑选墙色并参与粉刷。当他们并肩劳作时，会讨论色彩偏好，处理油漆泼洒等小意外，还会因滑稽失误开怀大笑。这些共同经历的瞬间让每个成员感受到归属与尊重，整个家庭也在协作中学会欣赏彼此的努力与观点。</w:t>
      </w:r>
    </w:p>
    <w:p w14:paraId="3FDFC6F8">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 COVID-19 pandemic has left many unemployed, and the rising cost of living has only exacerbated the situation. Therefore, it is crucial for city governments to implement policies that foster job creation. By designating land for shopping malls or manufacturing plants, numerous job openings could be generated—</w:t>
      </w:r>
      <w:r>
        <w:rPr>
          <w:rFonts w:ascii="Arial" w:hAnsi="Arial" w:cs="Arial"/>
          <w:color w:val="000000" w:themeColor="text1"/>
          <w:sz w:val="20"/>
          <w:szCs w:val="20"/>
          <w:u w:val="single"/>
          <w14:textFill>
            <w14:solidFill>
              <w14:schemeClr w14:val="tx1"/>
            </w14:solidFill>
          </w14:textFill>
        </w:rPr>
        <w:t xml:space="preserve">from sales associates and cashiers to management positions and technical roles. </w:t>
      </w:r>
      <w:r>
        <w:rPr>
          <w:rFonts w:ascii="Arial" w:hAnsi="Arial" w:cs="Arial"/>
          <w:color w:val="000000" w:themeColor="text1"/>
          <w:sz w:val="20"/>
          <w:szCs w:val="20"/>
          <w14:textFill>
            <w14:solidFill>
              <w14:schemeClr w14:val="tx1"/>
            </w14:solidFill>
          </w14:textFill>
        </w:rPr>
        <w:t xml:space="preserve">This approach would benefit the wider urban population seeking employment, an advantage that green spaces simply cannot match. </w:t>
      </w:r>
    </w:p>
    <w:p w14:paraId="4A835A71">
      <w:pPr>
        <w:pStyle w:val="48"/>
        <w:spacing w:before="0" w:beforeAutospacing="0" w:after="0" w:afterAutospacing="0" w:line="288" w:lineRule="auto"/>
        <w:jc w:val="both"/>
        <w:rPr>
          <w:rFonts w:ascii="Arial" w:hAnsi="Arial" w:cs="Arial"/>
          <w:color w:val="404040"/>
          <w:sz w:val="20"/>
          <w:szCs w:val="20"/>
        </w:rPr>
      </w:pPr>
      <w:r>
        <w:rPr>
          <w:rFonts w:ascii="Arial" w:hAnsi="Arial" w:cs="Arial"/>
          <w:color w:val="404040"/>
          <w:sz w:val="20"/>
          <w:szCs w:val="20"/>
        </w:rPr>
        <w:t>新冠疫情导致大量失业，生活成本攀升更使形势雪上加霜。因此市政府亟需出台促进就业的政策——无论是规划商场用地还是兴建厂房，都能创造从销售员、收银员到管理岗、技术岗的大量职位。这种举措能惠及广大求职市民，而这正是绿地建设无法比拟的优势。</w:t>
      </w:r>
    </w:p>
    <w:p w14:paraId="6B1FDEBD">
      <w:pPr>
        <w:pStyle w:val="48"/>
        <w:numPr>
          <w:ilvl w:val="0"/>
          <w:numId w:val="3"/>
        </w:numPr>
        <w:spacing w:before="0" w:beforeAutospacing="0" w:after="0" w:afterAutospacing="0" w:line="288" w:lineRule="auto"/>
        <w:ind w:left="0"/>
        <w:jc w:val="both"/>
        <w:rPr>
          <w:rFonts w:ascii="Arial" w:hAnsi="Arial" w:cs="Arial"/>
          <w:color w:val="404040"/>
          <w:sz w:val="20"/>
          <w:szCs w:val="20"/>
        </w:rPr>
      </w:pPr>
      <w:r>
        <w:rPr>
          <w:rFonts w:ascii="Arial" w:hAnsi="Arial" w:cs="Arial"/>
          <w:color w:val="000000" w:themeColor="text1"/>
          <w:sz w:val="20"/>
          <w:szCs w:val="20"/>
          <w14:textFill>
            <w14:solidFill>
              <w14:schemeClr w14:val="tx1"/>
            </w14:solidFill>
          </w14:textFill>
        </w:rPr>
        <w:t>Having work experience helps a young teen develop maturity in their outlook and behavior. They will learn important skills like showing up on time, taking responsibility, and doing a job properly. Employers hardly patiently explain every detail or tolerate frequent lateness.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职场历练能加速青少年心智成熟。他们将深刻理解守时尽责的职业准则，学会高标准完成工作任务。雇主既不会事无巨细反复指导，更难以容忍屡屡迟到的行为。</w:t>
      </w:r>
    </w:p>
    <w:p w14:paraId="40B0E1DC">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large number of jobs are sedentary, such as secretaries, lawyers, and clerks, posing a great threat to their physical health. They might suffer from dizziness, backache, and fatigue.</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文秘、律师、文员等久坐型职业正严重侵蚀从业者健康，头晕目眩、腰背酸痛、精神萎靡等问题接踵而至。</w:t>
      </w:r>
    </w:p>
    <w:p w14:paraId="5CD58FA9">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Telecommuting enhances productivity. Traditional meetings require physical attendance, which can be disrupted by factors such as adverse weather or flight delays. Teleconferencing, however, only necessitates a laptop, allowing participation from any location at any time.</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远程办公显著提升效率。传统会议受制于天气、航班等客观因素，而视频会议仅需一台笔记本即可随时随地进行。</w:t>
      </w:r>
    </w:p>
    <w:p w14:paraId="07F51EF7">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Blurring the line between work and personal time runs the danger of preventing true rest. In the long run, this leads to burnout and depression, as we end up feeling constantly available and unable to switch off.</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工作与生活界限模糊将剥夺真正的休憩。长期处于随时待命状态，最终只会导致精力枯竭与情绪抑郁。</w:t>
      </w:r>
    </w:p>
    <w:p w14:paraId="61B191AA">
      <w:pPr>
        <w:pStyle w:val="48"/>
        <w:numPr>
          <w:ilvl w:val="0"/>
          <w:numId w:val="3"/>
        </w:numPr>
        <w:spacing w:before="0" w:beforeAutospacing="0" w:after="0" w:afterAutospacing="0" w:line="288" w:lineRule="auto"/>
        <w:ind w:left="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Maintaining focus while working independently is a common challenge. Many people share the experience of setting out to research work-related information, only to find themselves distracted by social media—scrolling through Facebook, checking Twitter for new posts, or browsing unrelated content. Likewise, what begins as a brief respite can easily turn into prolonged inactivity, such as watching an entire movie instead of taking a short break. Without conscious effort, productivity diminishes, and valuable time is lost.</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独处办公时保持专注实非易事。多少人有过这般体验：本想查阅工作资料，却鬼使神差刷起社交媒体——翻脸书动态、追推特热搜、看无关网页；本想小憩片刻，竟不知不觉看完一整部电影。稍不留意，效率骤降，光阴虚度。</w:t>
      </w:r>
    </w:p>
    <w:p w14:paraId="631A66BE">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运动让人放松:</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Sports activities like hockey, soccer, gymnastics, and swimming provide a temporary escape, enabling children to take their mind off studies for a while and then go back to schoolwork refreshed.</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曲棍球、足球、体操和游泳等体育运动能让孩子暂时从课业中抽离，经过适度放松后，他们能以更饱满的精神状态重新投入学习。</w:t>
      </w:r>
    </w:p>
    <w:p w14:paraId="06E474A6">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运动对年轻人很重要:</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Physical exercise is beneficial for the young, primarily due to the distinct challenges faced by these age groups. Young adults, often engaged in sedentary jobs, are increasingly susceptible to health issues like muscle stiffness and cardiovascular diseases. The sedentary nature of modern workplaces contributes to this trend, as evidenced by the declining average age of heart attack victims. Regular physical activity, such as jogging or swimming, offers a vital counterbalance, enhancing muscle flexibility and mitigating stress-related ailments.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体育锻炼对年轻人尤为重要，这与其面临的特殊健康挑战密切相关。从事久坐办公的年轻群体更容易出现肌肉僵硬和心血管问题，现代职场久坐特性导致的心梗患者年轻化趋势就是明证。定期进行慢跑或游泳等运动能有效改善肌肉柔韧性，预防压力相关疾病。</w:t>
      </w:r>
    </w:p>
    <w:p w14:paraId="055BADD2">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Last month, while searching for a new laptop, I spent hours comparing models across various online retailers. What ultimately guided my decision were the detailed user reviews—one graphic designer highlighted how the lightweight design held up during her travels, while another noted the battery lasted through a cross-country flight. These firsthand accounts convinced me to choose a model that perfectly matched my mobile work style.</w:t>
      </w:r>
    </w:p>
    <w:p w14:paraId="2927F688">
      <w:pPr>
        <w:pStyle w:val="43"/>
        <w:widowControl/>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上个月，我在挑选新笔记本电脑（laptop）时，花了数小时对比不同在线零售商（online retailers）的型号。最终让我下定决心的是详细的用户评价（user reviews）——一位平面设计师提到轻薄设计在差旅中耐用，另一位用户则指出电池续航足以支撑跨州航班。这些第一手反馈（firsthand accounts）让我选到了一款完全符合移动办公需求（mobile work style）的机型。</w:t>
      </w:r>
    </w:p>
    <w:p w14:paraId="6DF3AFDA">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旅游业对经济的影响：</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Tourism can significantly contribute to the economic growth of a region or country. It brings in revenue through visitor spending on accommodations, transportation, food, souvenirs, and various tourist activities. This influx of money can stimulate local businesses, create job opportunities, and support the development of infrastructure.</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旅游业对地区经济发展具有显著拉动作用。游客在食宿、交通、购物及旅游项目上的消费能带来可观收入，这些资金流入不仅能激活地方经济、创造就业岗位，还能促进基础设施建设。</w:t>
      </w:r>
    </w:p>
    <w:p w14:paraId="38AE36C1">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和许多人一起旅行更加经济。</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Traveling with a group of people is more economical. It is because a group of travelers can get discounts at airlines, hotels, restaurants and even tourist attractions. As a result, travelers can save a considerable sum of money. And the saved money can be used to buy more souvenirs for families and friends. In contrast, if traveling alone, people will have to pay full prices.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结伴出游更划算。团队旅客在机票预订、酒店住宿、餐饮消费乃至景区门票方面都能享受优惠折扣，这样就能省下可观的开支，用节省下来的钱给亲友多买些纪念品。相比之下，独自旅行时所有消费都需按原价支付。</w:t>
      </w:r>
    </w:p>
    <w:p w14:paraId="0E776DFF">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在线购物的好处：</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Online shopping provides a hassle-free shopping experience. Consumers can browse, compare prices, and make purchases from the comfort of their homes, saving time and effort that would otherwise be spent traveling to and navigating through physical stores. This convenience has led to an increase in online shopping, especially amidst busy urban lifestyles.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网购带来轻松便捷的消费体验。消费者足不出户就能浏览商品、比价下单，省去了往返实体店的时间和精力。这种便利性使得网购日益普及，尤其符合都市快节奏生活的需求。</w:t>
      </w:r>
    </w:p>
    <w:p w14:paraId="16C387FC">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在线评论的好处：</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Online reviews are invaluable resources when deciding to purchase a product or service. These reviews offer genuine, user-generated feedback, setting them apart from potentially biased endorsements. The credibility of consumer reviews allows for more informed decisions.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用户评价是购物决策的重要参考。这些真实用户的体验反馈不同于可能带有商业性质的推荐，其可信度能帮助消费者做出更明智的选择。</w:t>
      </w:r>
    </w:p>
    <w:p w14:paraId="3C7DAD13">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广告的好处：</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If people see clothes, cosmetics, or a car being endorsed/promoted by someone they admire, they might be influenced to purchase them.</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当消费者看到自己崇拜的名人代言服装、化妆品或汽车时，其购买决策很容易受到影响。</w:t>
      </w:r>
    </w:p>
    <w:p w14:paraId="3A74B3E0">
      <w:pPr>
        <w:pStyle w:val="43"/>
        <w:numPr>
          <w:ilvl w:val="0"/>
          <w:numId w:val="3"/>
        </w:numPr>
        <w:spacing w:line="288" w:lineRule="auto"/>
        <w:ind w:left="0"/>
        <w:rPr>
          <w:rFonts w:ascii="Arial" w:hAnsi="Arial" w:cs="Arial"/>
          <w:sz w:val="20"/>
          <w:szCs w:val="20"/>
        </w:rPr>
      </w:pPr>
      <w:r>
        <w:rPr>
          <w:rFonts w:ascii="Arial" w:hAnsi="Arial" w:cs="Arial"/>
          <w:sz w:val="20"/>
          <w:szCs w:val="20"/>
        </w:rPr>
        <w:t>When students record their daily thoughts and progress, they gain a clearer sense of their strengths and weaknesses. For instance, imagine a high school student preparing for exams. Each evening, she writes about what she has studied, noting which topics were straightforward and which ones posed challenges. Over time, she notices she tends to review familiar content while avoiding more difficult subjects. Recognizing this pattern, she adjusts her study plan, dedicating extra time to areas that need improvement. Through this process, journaling transforms vague concerns into concrete steps, making her learning more focused and productive.</w:t>
      </w:r>
    </w:p>
    <w:p w14:paraId="2A257A4F">
      <w:pPr>
        <w:pStyle w:val="43"/>
        <w:spacing w:line="288" w:lineRule="auto"/>
        <w:ind w:left="0"/>
        <w:rPr>
          <w:rFonts w:ascii="Arial" w:hAnsi="Arial" w:cs="Arial"/>
          <w:color w:val="404040"/>
          <w:sz w:val="20"/>
          <w:szCs w:val="20"/>
          <w:shd w:val="clear" w:color="auto" w:fill="FFFFFF"/>
        </w:rPr>
      </w:pPr>
      <w:r>
        <w:rPr>
          <w:rFonts w:ascii="Arial" w:hAnsi="Arial" w:cs="Arial"/>
          <w:color w:val="404040"/>
          <w:sz w:val="20"/>
          <w:szCs w:val="20"/>
          <w:shd w:val="clear" w:color="auto" w:fill="FFFFFF"/>
        </w:rPr>
        <w:t>学生通过记录每日的学习心得和进展，能更清晰地认识自身优劣。比如一名备考的高中生，每晚梳理当日所学内容时，会标注哪些知识点轻松掌握、哪些存在困难。持续数周后，她发现自己总在重复熟悉的内容，却回避薄弱环节。意识到这种倾向后，她主动调整复习计划，为重点难点预留更多时间。这种记录方式将模糊的学习焦虑转化为具体的行动方案，使她的备考更有针对性，效率显著提升。</w:t>
      </w:r>
    </w:p>
    <w:p w14:paraId="7AD1EBAF">
      <w:pPr>
        <w:pStyle w:val="43"/>
        <w:numPr>
          <w:ilvl w:val="0"/>
          <w:numId w:val="3"/>
        </w:numPr>
        <w:spacing w:line="288" w:lineRule="auto"/>
        <w:ind w:left="0"/>
        <w:rPr>
          <w:rFonts w:ascii="Arial" w:hAnsi="Arial" w:cs="Arial"/>
          <w:sz w:val="20"/>
          <w:szCs w:val="20"/>
        </w:rPr>
      </w:pPr>
      <w:r>
        <w:rPr>
          <w:rFonts w:ascii="Arial" w:hAnsi="Arial" w:cs="Arial"/>
          <w:sz w:val="20"/>
          <w:szCs w:val="20"/>
        </w:rPr>
        <w:t>When students keep a journal, they actively process new information, question their assumptions, and reflect on what they understand. This habit helps them approach their studies with curiosity and independence. For example, after a lesson on environmental protection, instead of simply repeating what the teacher said, a student might use their journal to question whether electric cars are truly the best solution for the planet. They could consider the environmental costs of producing batteries and reflect on how mining for these materials affects local communities. Through writing, the student weighs different perspectives, challenges easy answers, and connects classroom knowledge to real-life dilemmas. This process pushes them to think independently and critically, rather than just memorizing information.</w:t>
      </w:r>
    </w:p>
    <w:p w14:paraId="624B813F">
      <w:pPr>
        <w:pStyle w:val="43"/>
        <w:spacing w:line="288" w:lineRule="auto"/>
        <w:ind w:left="0"/>
        <w:rPr>
          <w:rFonts w:ascii="Arial" w:hAnsi="Arial" w:cs="Arial"/>
          <w:color w:val="404040"/>
          <w:sz w:val="20"/>
          <w:szCs w:val="20"/>
          <w:shd w:val="clear" w:color="auto" w:fill="FFFFFF"/>
        </w:rPr>
      </w:pPr>
      <w:r>
        <w:rPr>
          <w:rFonts w:ascii="Arial" w:hAnsi="Arial" w:cs="Arial"/>
          <w:color w:val="404040"/>
          <w:sz w:val="20"/>
          <w:szCs w:val="20"/>
          <w:shd w:val="clear" w:color="auto" w:fill="FFFFFF"/>
        </w:rPr>
        <w:t>学生坚持写学习日志时，会主动梳理新知、质疑既有观点并进行深度思考。这种习惯能培养他们以好奇心和自主性投入学习。比如在完成环保课程后，具有日志习惯的学生不会简单复述教师观点，而可能提出质疑：电动汽车真是地球的最优解吗？他们会记录电池生产的环境代价，思考锂矿开采对原住民社区的影响。通过文字梳理，学生得以权衡多方观点、挑战简单结论，并将课堂知识与现实困境联系起来。这个过程推动他们超越死记硬背，形成独立批判的思维方式。</w:t>
      </w:r>
    </w:p>
    <w:p w14:paraId="05AA44A7">
      <w:pPr>
        <w:spacing w:line="288" w:lineRule="auto"/>
        <w:rPr>
          <w:rFonts w:ascii="Arial" w:hAnsi="Arial" w:cs="Arial"/>
          <w:color w:val="404040"/>
          <w:sz w:val="20"/>
          <w:szCs w:val="20"/>
          <w:shd w:val="clear" w:color="auto" w:fill="FFFFFF"/>
        </w:rPr>
      </w:pPr>
    </w:p>
    <w:p w14:paraId="70186A52">
      <w:pPr>
        <w:pStyle w:val="43"/>
        <w:numPr>
          <w:ilvl w:val="0"/>
          <w:numId w:val="3"/>
        </w:numPr>
        <w:spacing w:line="288" w:lineRule="auto"/>
        <w:ind w:left="0"/>
        <w:rPr>
          <w:rFonts w:ascii="Arial" w:hAnsi="Arial" w:cs="Arial"/>
          <w:sz w:val="20"/>
          <w:szCs w:val="20"/>
        </w:rPr>
      </w:pPr>
      <w:r>
        <w:rPr>
          <w:rFonts w:ascii="Arial" w:hAnsi="Arial" w:cs="Arial"/>
          <w:sz w:val="20"/>
          <w:szCs w:val="20"/>
        </w:rPr>
        <w:t>Launching a tech startup requires unwavering dedication—extended 14-hour workdays, frequent sleepless nights, and continuous adaptation to remain competitive. A 25-year-old founder typically manages this demanding routine more effectively, as their body recovers swiftly, sustains energy despite insufficient rest, and adapts readily to rapid changes. In contrast, an individual in their 50s, even with decades of experience, encounters significant physical challenges: fatigue accumulates more intensely, recovery from all-nighters takes considerably longer, and the relentless pace becomes increasingly strenuous.</w:t>
      </w:r>
    </w:p>
    <w:p w14:paraId="73B3B9B5">
      <w:pPr>
        <w:pStyle w:val="43"/>
        <w:spacing w:line="288" w:lineRule="auto"/>
        <w:ind w:left="0"/>
        <w:rPr>
          <w:rFonts w:ascii="Arial" w:hAnsi="Arial" w:cs="Arial"/>
          <w:color w:val="404040"/>
          <w:sz w:val="20"/>
          <w:szCs w:val="20"/>
          <w:shd w:val="clear" w:color="auto" w:fill="FFFFFF"/>
        </w:rPr>
      </w:pPr>
      <w:r>
        <w:rPr>
          <w:rFonts w:ascii="Arial" w:hAnsi="Arial" w:cs="Arial"/>
          <w:color w:val="404040"/>
          <w:sz w:val="20"/>
          <w:szCs w:val="20"/>
          <w:shd w:val="clear" w:color="auto" w:fill="FFFFFF"/>
        </w:rPr>
        <w:t>创办一家科技初创公司需要全情投入——每天14小时超长待机、频繁熬夜、持续迭代以保持竞争力。25岁的创始人通常更能适应这种高强度节奏：他们身体恢复快，熬夜后依然精力充沛，对瞬息万变的市场也能快速调整。而年届五十的创业者，即便拥有数十年经验，却要面临显著的体力挑战：疲惫感更容易累积，通宵工作后恢复期明显延长，高强度的工作节奏会愈发让人力不从心。</w:t>
      </w:r>
    </w:p>
    <w:p w14:paraId="50E84093">
      <w:pPr>
        <w:spacing w:line="288" w:lineRule="auto"/>
        <w:rPr>
          <w:rFonts w:ascii="Arial" w:hAnsi="Arial" w:cs="Arial"/>
          <w:sz w:val="20"/>
          <w:szCs w:val="20"/>
        </w:rPr>
      </w:pPr>
    </w:p>
    <w:p w14:paraId="79022FED">
      <w:pPr>
        <w:pStyle w:val="43"/>
        <w:numPr>
          <w:ilvl w:val="0"/>
          <w:numId w:val="3"/>
        </w:numPr>
        <w:spacing w:line="288" w:lineRule="auto"/>
        <w:ind w:left="0"/>
        <w:rPr>
          <w:rFonts w:ascii="Arial" w:hAnsi="Arial" w:cs="Arial"/>
          <w:sz w:val="20"/>
          <w:szCs w:val="20"/>
        </w:rPr>
      </w:pPr>
      <w:r>
        <w:rPr>
          <w:rFonts w:ascii="Arial" w:hAnsi="Arial" w:cs="Arial"/>
          <w:sz w:val="20"/>
          <w:szCs w:val="20"/>
        </w:rPr>
        <w:t>College students rush between labs and lectures, gulping coffee between classes. They juggle heavy coursework, pulling all-nighters to finish assignments and debug code.  Between part-time jobs and club meetings, they survive on instant noodles, their desks buried in notes and half-finished papers. As finals approach, every spare moment goes to memorizing formulas and praying the library printer works.</w:t>
      </w:r>
    </w:p>
    <w:p w14:paraId="63F57FD8">
      <w:pPr>
        <w:pStyle w:val="43"/>
        <w:spacing w:line="288" w:lineRule="auto"/>
        <w:ind w:left="0"/>
        <w:rPr>
          <w:rFonts w:ascii="Arial" w:hAnsi="Arial" w:cs="Arial"/>
          <w:color w:val="404040"/>
          <w:sz w:val="20"/>
          <w:szCs w:val="20"/>
          <w:shd w:val="clear" w:color="auto" w:fill="FFFFFF"/>
        </w:rPr>
      </w:pPr>
      <w:r>
        <w:rPr>
          <w:rFonts w:ascii="Arial" w:hAnsi="Arial" w:cs="Arial"/>
          <w:color w:val="404040"/>
          <w:sz w:val="20"/>
          <w:szCs w:val="20"/>
          <w:shd w:val="clear" w:color="auto" w:fill="FFFFFF"/>
        </w:rPr>
        <w:t>大学生们奔波于实验室与课堂之间，课间猛灌咖啡提神。他们应付繁重的课业，熬夜赶作业、调试代码是家常便饭。在兼职与社团活动的夹缝中，靠泡面果腹，书桌堆满笔记与半成品的论文。期末临近时，所有零碎时间都用来狂背公式，还得祈祷图书馆的打印机别罢工。</w:t>
      </w:r>
    </w:p>
    <w:p w14:paraId="5C367F1F">
      <w:pPr>
        <w:spacing w:line="288" w:lineRule="auto"/>
        <w:rPr>
          <w:rFonts w:ascii="Arial" w:hAnsi="Arial" w:cs="Arial"/>
          <w:color w:val="404040"/>
          <w:sz w:val="20"/>
          <w:szCs w:val="20"/>
          <w:shd w:val="clear" w:color="auto" w:fill="FFFFFF"/>
        </w:rPr>
      </w:pPr>
    </w:p>
    <w:p w14:paraId="31B7B98E">
      <w:pPr>
        <w:pStyle w:val="43"/>
        <w:numPr>
          <w:ilvl w:val="0"/>
          <w:numId w:val="3"/>
        </w:numPr>
        <w:spacing w:line="288" w:lineRule="auto"/>
        <w:ind w:left="0"/>
        <w:rPr>
          <w:rFonts w:ascii="Arial" w:hAnsi="Arial" w:cs="Arial"/>
          <w:color w:val="404040"/>
          <w:sz w:val="20"/>
          <w:szCs w:val="20"/>
          <w:shd w:val="clear" w:color="auto" w:fill="FFFFFF"/>
        </w:rPr>
      </w:pPr>
      <w:r>
        <w:rPr>
          <w:rFonts w:ascii="Arial" w:hAnsi="Arial" w:cs="Arial"/>
          <w:color w:val="404040"/>
          <w:sz w:val="20"/>
          <w:szCs w:val="20"/>
          <w:shd w:val="clear" w:color="auto" w:fill="FFFFFF"/>
        </w:rPr>
        <w:t>Holidays means workers get more sleep by</w:t>
      </w:r>
      <w:r>
        <w:rPr>
          <w:rFonts w:ascii="Arial" w:hAnsi="Arial" w:cs="Arial"/>
          <w:color w:val="404040"/>
          <w:sz w:val="20"/>
          <w:szCs w:val="20"/>
          <w:u w:val="single"/>
          <w:shd w:val="clear" w:color="auto" w:fill="FFFFFF"/>
        </w:rPr>
        <w:t xml:space="preserve"> escaping the tyranny of the early-morning alarm</w:t>
      </w:r>
      <w:r>
        <w:rPr>
          <w:rFonts w:ascii="Arial" w:hAnsi="Arial" w:cs="Arial"/>
          <w:color w:val="404040"/>
          <w:sz w:val="20"/>
          <w:szCs w:val="20"/>
          <w:shd w:val="clear" w:color="auto" w:fill="FFFFFF"/>
        </w:rPr>
        <w:t xml:space="preserve">. In addition, they no longer suffer the agonies极度痛苦of the daily commute: </w:t>
      </w:r>
      <w:r>
        <w:rPr>
          <w:rFonts w:ascii="Arial" w:hAnsi="Arial" w:cs="Arial"/>
          <w:color w:val="404040"/>
          <w:sz w:val="20"/>
          <w:szCs w:val="20"/>
          <w:u w:val="single"/>
          <w:shd w:val="clear" w:color="auto" w:fill="FFFFFF"/>
        </w:rPr>
        <w:t>the cramped railway carriages or gridlocked拥堵的 roads.</w:t>
      </w:r>
      <w:r>
        <w:rPr>
          <w:rFonts w:ascii="Arial" w:hAnsi="Arial" w:cs="Arial"/>
          <w:color w:val="404040"/>
          <w:sz w:val="20"/>
          <w:szCs w:val="20"/>
          <w:shd w:val="clear" w:color="auto" w:fill="FFFFFF"/>
        </w:rPr>
        <w:t xml:space="preserve"> And best of all, there are </w:t>
      </w:r>
      <w:r>
        <w:rPr>
          <w:rFonts w:ascii="Arial" w:hAnsi="Arial" w:cs="Arial"/>
          <w:color w:val="404040"/>
          <w:sz w:val="20"/>
          <w:szCs w:val="20"/>
          <w:u w:val="single"/>
          <w:shd w:val="clear" w:color="auto" w:fill="FFFFFF"/>
        </w:rPr>
        <w:t>no meetings to endure</w:t>
      </w:r>
      <w:r>
        <w:rPr>
          <w:rFonts w:ascii="Arial" w:hAnsi="Arial" w:cs="Arial"/>
          <w:color w:val="404040"/>
          <w:sz w:val="20"/>
          <w:szCs w:val="20"/>
          <w:shd w:val="clear" w:color="auto" w:fill="FFFFFF"/>
        </w:rPr>
        <w:t>— no need to sit with a vaguely interested expression on your face while time seems to slow to a crawl. In short, holidays reduce stress.</w:t>
      </w:r>
    </w:p>
    <w:p w14:paraId="705648A3">
      <w:pPr>
        <w:pStyle w:val="43"/>
        <w:spacing w:line="288" w:lineRule="auto"/>
        <w:ind w:left="0"/>
        <w:rPr>
          <w:rFonts w:ascii="Arial" w:hAnsi="Arial" w:cs="Arial"/>
          <w:sz w:val="20"/>
          <w:szCs w:val="20"/>
        </w:rPr>
      </w:pPr>
      <w:r>
        <w:rPr>
          <w:rFonts w:ascii="Arial" w:hAnsi="Arial" w:cs="Arial"/>
          <w:color w:val="404040"/>
          <w:sz w:val="20"/>
          <w:szCs w:val="20"/>
          <w:shd w:val="clear" w:color="auto" w:fill="FFFFFF"/>
        </w:rPr>
        <w:t>假期意味着打工人们终于能多睡一会儿，不用再忍受早起闹钟的折磨。他们也不必再经历通勤之苦——不用挤在狭窄的车厢里，或是堵在龟速前进的马路上。最棒的是，终于不用开会了——不必再强装出一副感兴趣的表情干坐着，感觉时间过得异常缓慢。简而言之，假期能让人减压。</w:t>
      </w:r>
    </w:p>
    <w:p w14:paraId="34490A3B">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Consider the financial burden on an average urban family. Enrolling a child in kindergarten alone costs at least 800 to 1,000 USD per month, excluding additional expenses such as extracurricular classes and medical checkups. Hiring a full-time nanny pushes costs even higher, often exceeding 2,000 USD monthly. Routine healthcare—doctor visits, vaccinations, and insurance—easily amounts to thousands annually. Furthermore, many families must upgrade to larger homes to provide children with their own rooms, resulting in mortgage payments of several thousand dollars each month.</w:t>
      </w:r>
    </w:p>
    <w:p w14:paraId="711A440F">
      <w:pPr>
        <w:pStyle w:val="43"/>
        <w:widowControl/>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以普通城市家庭(average urban household)为例，光是让孩子上幼儿园(kindergarten tuition)，每月就要花掉至少800-1000美元(USD)，这还不算课外班(extracurricular classes)、医疗检查(medical check-ups)这些额外支出(additional expenses)。如果请保姆照顾孩子(hiring a nanny)，费用更高，全天看护(full-time childcare)可能要2000美元以上一个月。孩子生病看医生(doctor visits)、打疫苗(vaccinations)、买保险(insurance premiums)，一年下来轻松花掉几千块。更不用说为了让孩子有独立房间(separate bedroom)，很多家庭不得不换更大的房子(larger apartment)，每月房贷(mortgage payments)又要几千美元。</w:t>
      </w:r>
    </w:p>
    <w:p w14:paraId="17B1F05C">
      <w:pPr>
        <w:pStyle w:val="43"/>
        <w:widowControl/>
        <w:shd w:val="clear" w:color="auto" w:fill="FFFFFF"/>
        <w:spacing w:line="288" w:lineRule="auto"/>
        <w:ind w:left="0"/>
        <w:rPr>
          <w:rFonts w:ascii="Arial" w:hAnsi="Arial" w:eastAsia="PingFang SC" w:cs="Arial"/>
          <w:color w:val="333333"/>
          <w:spacing w:val="8"/>
          <w:kern w:val="0"/>
          <w:sz w:val="20"/>
          <w:szCs w:val="20"/>
        </w:rPr>
      </w:pPr>
    </w:p>
    <w:p w14:paraId="205EA51B">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Elderly people lack income but face high living costs. Upon retirement, older adults experience a sharp decline in earnings, yet their expenses—particularly for healthcare and long-term care—continue to climb.  In some countries pensions remain insufficient, leaving many retirees struggling to afford necessities, especially in first-tier cities where medical and caregiving costs are exceptionally high. A single hospitalization can deplete years of savings, and with limited family support, countless elderly individuals endure financial strain.</w:t>
      </w:r>
    </w:p>
    <w:p w14:paraId="69F0D2AD">
      <w:pPr>
        <w:pStyle w:val="43"/>
        <w:widowControl/>
        <w:shd w:val="clear" w:color="auto" w:fill="FFFFFF"/>
        <w:spacing w:line="288" w:lineRule="auto"/>
        <w:ind w:left="0"/>
        <w:rPr>
          <w:rFonts w:ascii="Arial" w:hAnsi="Arial" w:eastAsia="PingFang SC" w:cs="Arial"/>
          <w:b/>
          <w:bCs/>
          <w:color w:val="333333"/>
          <w:spacing w:val="8"/>
          <w:kern w:val="0"/>
          <w:sz w:val="20"/>
          <w:szCs w:val="20"/>
        </w:rPr>
      </w:pPr>
      <w:r>
        <w:rPr>
          <w:rFonts w:ascii="Arial" w:hAnsi="Arial" w:eastAsia="PingFang SC" w:cs="Arial"/>
          <w:b/>
          <w:bCs/>
          <w:color w:val="333333"/>
          <w:spacing w:val="8"/>
          <w:kern w:val="0"/>
          <w:sz w:val="20"/>
          <w:szCs w:val="20"/>
        </w:rPr>
        <w:t>老年人缺乏收入（lack income）但生活成本（living costs）高昂。</w:t>
      </w:r>
      <w:r>
        <w:rPr>
          <w:rFonts w:ascii="Arial" w:hAnsi="Arial" w:eastAsia="PingFang SC" w:cs="Arial"/>
          <w:color w:val="333333"/>
          <w:spacing w:val="8"/>
          <w:kern w:val="0"/>
          <w:sz w:val="20"/>
          <w:szCs w:val="20"/>
        </w:rPr>
        <w:t>退休后（upon retirement），老年人收入骤降（sharp decline in earnings），但支出——尤其是医疗（healthcare）和长期护理（long-term care）费用——持续攀升（continue to climb）。在某些国家，养老金（pensions）仍不足（insufficient），导致许多退休人员（retirees）难以负担必需品（necessities）。尤其在一线城市（first-tier cities），医疗（medical）和护理费用（caregiving costs）极高。一次住院（single hospitalization）就可能耗尽多年积蓄（years of savings），使无数老年人承受着经济压力（financial strain）。</w:t>
      </w:r>
    </w:p>
    <w:p w14:paraId="56CF16D4">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 xml:space="preserve">Many hospitals cannot afford enough doctors, schools lack textbooks, and poor families struggle to buy food. These problems </w:t>
      </w:r>
      <w:r>
        <w:rPr>
          <w:rFonts w:ascii="Arial" w:hAnsi="Arial" w:eastAsia="PingFang SC" w:cs="Arial"/>
          <w:color w:val="333333"/>
          <w:spacing w:val="8"/>
          <w:kern w:val="0"/>
          <w:sz w:val="20"/>
          <w:szCs w:val="20"/>
          <w:u w:val="single"/>
        </w:rPr>
        <w:t>affect millions of people</w:t>
      </w:r>
      <w:r>
        <w:rPr>
          <w:rFonts w:ascii="Arial" w:hAnsi="Arial" w:eastAsia="PingFang SC" w:cs="Arial"/>
          <w:color w:val="333333"/>
          <w:spacing w:val="8"/>
          <w:kern w:val="0"/>
          <w:sz w:val="20"/>
          <w:szCs w:val="20"/>
        </w:rPr>
        <w:t xml:space="preserve"> directly, while </w:t>
      </w:r>
      <w:r>
        <w:rPr>
          <w:rFonts w:ascii="Arial" w:hAnsi="Arial" w:eastAsia="PingFang SC" w:cs="Arial"/>
          <w:color w:val="333333"/>
          <w:spacing w:val="8"/>
          <w:kern w:val="0"/>
          <w:sz w:val="20"/>
          <w:szCs w:val="20"/>
          <w:u w:val="single"/>
        </w:rPr>
        <w:t xml:space="preserve">art </w:t>
      </w:r>
      <w:r>
        <w:rPr>
          <w:rFonts w:ascii="Arial" w:hAnsi="Arial" w:eastAsia="PingFang SC" w:cs="Arial"/>
          <w:color w:val="333333"/>
          <w:spacing w:val="8"/>
          <w:kern w:val="0"/>
          <w:sz w:val="20"/>
          <w:szCs w:val="20"/>
        </w:rPr>
        <w:t xml:space="preserve">subsidies help only </w:t>
      </w:r>
      <w:r>
        <w:rPr>
          <w:rFonts w:ascii="Arial" w:hAnsi="Arial" w:eastAsia="PingFang SC" w:cs="Arial"/>
          <w:color w:val="333333"/>
          <w:spacing w:val="8"/>
          <w:kern w:val="0"/>
          <w:sz w:val="20"/>
          <w:szCs w:val="20"/>
          <w:u w:val="single"/>
        </w:rPr>
        <w:t>a small group</w:t>
      </w:r>
      <w:r>
        <w:rPr>
          <w:rFonts w:ascii="Arial" w:hAnsi="Arial" w:eastAsia="PingFang SC" w:cs="Arial"/>
          <w:color w:val="333333"/>
          <w:spacing w:val="8"/>
          <w:kern w:val="0"/>
          <w:sz w:val="20"/>
          <w:szCs w:val="20"/>
        </w:rPr>
        <w:t xml:space="preserve">. When a government spends one million dollars supporting painters or musicians, that is one </w:t>
      </w:r>
      <w:r>
        <w:rPr>
          <w:rFonts w:ascii="Arial" w:hAnsi="Arial" w:eastAsia="PingFang SC" w:cs="Arial"/>
          <w:color w:val="333333"/>
          <w:spacing w:val="8"/>
          <w:kern w:val="0"/>
          <w:sz w:val="20"/>
          <w:szCs w:val="20"/>
          <w:u w:val="single"/>
        </w:rPr>
        <w:t xml:space="preserve">million dollars not spent on building clinics or training teachers. </w:t>
      </w:r>
      <w:r>
        <w:rPr>
          <w:rFonts w:ascii="Arial" w:hAnsi="Arial" w:eastAsia="PingFang SC" w:cs="Arial"/>
          <w:color w:val="333333"/>
          <w:spacing w:val="8"/>
          <w:kern w:val="0"/>
          <w:sz w:val="20"/>
          <w:szCs w:val="20"/>
        </w:rPr>
        <w:t>Artists can find other ways to earn money, such as</w:t>
      </w:r>
      <w:r>
        <w:rPr>
          <w:rFonts w:ascii="Arial" w:hAnsi="Arial" w:eastAsia="PingFang SC" w:cs="Arial"/>
          <w:color w:val="333333"/>
          <w:spacing w:val="8"/>
          <w:kern w:val="0"/>
          <w:sz w:val="20"/>
          <w:szCs w:val="20"/>
          <w:u w:val="single"/>
        </w:rPr>
        <w:t xml:space="preserve"> selling their work online, performing at private events, or getting support from art enthusiasts</w:t>
      </w:r>
      <w:r>
        <w:rPr>
          <w:rFonts w:ascii="Arial" w:hAnsi="Arial" w:eastAsia="PingFang SC" w:cs="Arial"/>
          <w:color w:val="333333"/>
          <w:spacing w:val="8"/>
          <w:kern w:val="0"/>
          <w:sz w:val="20"/>
          <w:szCs w:val="20"/>
        </w:rPr>
        <w:t>. Some young artists may struggle at first, but this is true for many small businesses –</w:t>
      </w:r>
      <w:r>
        <w:rPr>
          <w:rFonts w:ascii="Arial" w:hAnsi="Arial" w:eastAsia="PingFang SC" w:cs="Arial"/>
          <w:color w:val="333333"/>
          <w:spacing w:val="8"/>
          <w:kern w:val="0"/>
          <w:sz w:val="20"/>
          <w:szCs w:val="20"/>
          <w:u w:val="single"/>
        </w:rPr>
        <w:t xml:space="preserve"> bakers, tailors, and carpenters</w:t>
      </w:r>
      <w:r>
        <w:rPr>
          <w:rFonts w:ascii="Arial" w:hAnsi="Arial" w:eastAsia="PingFang SC" w:cs="Arial"/>
          <w:color w:val="333333"/>
          <w:spacing w:val="8"/>
          <w:kern w:val="0"/>
          <w:sz w:val="20"/>
          <w:szCs w:val="20"/>
        </w:rPr>
        <w:t xml:space="preserve"> also work hard without government help. </w:t>
      </w:r>
    </w:p>
    <w:p w14:paraId="61ABB701">
      <w:pPr>
        <w:pStyle w:val="43"/>
        <w:widowControl/>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许多医院无力聘请足够医生，学校缺课本，贫困家庭难负担食物。这些问题直接影响数百万人，而艺术补贴仅惠及少数群体。当政府花费一百万美金支持画家或音乐家时（supporting painters or musicians），就意味着少了一百万用于建设诊所或培训教师（building clinics or training teachers）。艺术家可以通过其他方式谋生，例如在线售卖作品（selling their work online）、在私人活动上表演（performing at private events），或获得艺术爱好者的资助（support from art lovers）。年轻艺术家初期可能面临困难，但许多小企业亦然——面包师、裁缝和木匠同样在没有政府援助的情况下辛勤工作（without government help）。</w:t>
      </w:r>
    </w:p>
    <w:p w14:paraId="13988219">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u w:val="single"/>
        </w:rPr>
      </w:pPr>
      <w:r>
        <w:rPr>
          <w:rFonts w:ascii="Arial" w:hAnsi="Arial" w:eastAsia="PingFang SC" w:cs="Arial"/>
          <w:color w:val="333333"/>
          <w:spacing w:val="8"/>
          <w:kern w:val="0"/>
          <w:sz w:val="20"/>
          <w:szCs w:val="20"/>
        </w:rPr>
        <w:t xml:space="preserve">Social media platforms prioritize user engagement, which frequently amplifies extreme viewpoints, misinformation, and divisive content. Without intervention, these issues escalate. However, balanced oversight can encourage platforms to prioritize accuracy and public welfare over mere clicks and shares. </w:t>
      </w:r>
    </w:p>
    <w:p w14:paraId="5CC3BFAA">
      <w:pPr>
        <w:pStyle w:val="43"/>
        <w:widowControl/>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社交媒体平台（social media platforms）一味追求用户参与度（user engagement），往往助长极端观点（extreme viewpoints）、虚假信息（misinformation）和煽动性内容（divisive content）。若不加以干预（without intervention），这些问题会愈演愈烈。而适度的监管（balanced oversight）能促使平台把准确性（accuracy）和公共利益（public welfare）置于点击量和转发量（clicks and shares）之上。</w:t>
      </w:r>
    </w:p>
    <w:p w14:paraId="03B11646">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u w:val="single"/>
        </w:rPr>
      </w:pPr>
      <w:r>
        <w:rPr>
          <w:rFonts w:ascii="Arial" w:hAnsi="Arial" w:eastAsia="PingFang SC" w:cs="Arial"/>
          <w:color w:val="333333"/>
          <w:spacing w:val="8"/>
          <w:kern w:val="0"/>
          <w:sz w:val="20"/>
          <w:szCs w:val="20"/>
        </w:rPr>
        <w:t>For example, during elections or public health crises, harmful falsehoods—such as incorrect voting procedures or debunked medical advice—often spread faster than factual corrections. When platforms are mandated to label or restrict demonstrably false content, the dissemination of misinformation slows, and users become more cautious about sharing unverified claims.</w:t>
      </w:r>
    </w:p>
    <w:p w14:paraId="3BB03619">
      <w:pPr>
        <w:pStyle w:val="43"/>
        <w:widowControl/>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例如在选举（elections）或公共卫生事件（public health crises）期间，诸如错误投票方式（incorrect voting procedures）或错误的医疗建议（debunked medical advice）等有害谣言（harmful falsehoods），其传播速度往往快过事实核查（factual corrections）。若强制平台对虚假内容（demonstrably false content）进行标注或限制（label or restrict），不实信息的扩散（dissemination of misinformation）就会减缓，用户也会更谨慎地对待未经验证的说法（unverified claims）。</w:t>
      </w:r>
    </w:p>
    <w:p w14:paraId="72183F89">
      <w:pPr>
        <w:widowControl/>
        <w:shd w:val="clear" w:color="auto" w:fill="FFFFFF"/>
        <w:spacing w:line="288" w:lineRule="auto"/>
        <w:rPr>
          <w:rFonts w:ascii="Arial" w:hAnsi="Arial" w:eastAsia="PingFang SC" w:cs="Arial"/>
          <w:color w:val="333333"/>
          <w:spacing w:val="8"/>
          <w:kern w:val="0"/>
          <w:sz w:val="20"/>
          <w:szCs w:val="20"/>
          <w:u w:val="single"/>
        </w:rPr>
      </w:pPr>
    </w:p>
    <w:p w14:paraId="274A5E89">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 xml:space="preserve">Space missions require enormous funding, yet governments operate with limited budgets. Excessive investment in space programs often comes at the expense of essential services such as education, healthcare, and infrastructure. </w:t>
      </w:r>
    </w:p>
    <w:p w14:paraId="603942B1">
      <w:pPr>
        <w:pStyle w:val="43"/>
        <w:widowControl/>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太空任务（space missions）需要巨额资金（enormous funding），但政府（governments）的预算有限（limited budgets）。过度投资太空计划（space programs）往往以牺牲教育（education）、医疗（healthcare）和基础设施（infrastructure）等基本服务（essential services）为代价。</w:t>
      </w:r>
    </w:p>
    <w:p w14:paraId="0FC07BF0">
      <w:pPr>
        <w:pStyle w:val="43"/>
        <w:widowControl/>
        <w:numPr>
          <w:ilvl w:val="0"/>
          <w:numId w:val="3"/>
        </w:numPr>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For example, building a single spacecraft demands not only costly materials but also years of labor from thousands of highly skilled professionals, including engineers, technicians, and scientists. These same human and financial resources could instead construct schools, train medical personnel, or improve transportation networks—projects with direct, tangible benefits for the public. When governments prioritize space exploration over such fundamental needs, citizens risk facing underfunded schools, overwhelmed healthcare systems, and fewer employment opportunities.</w:t>
      </w:r>
    </w:p>
    <w:p w14:paraId="665F4E6C">
      <w:pPr>
        <w:pStyle w:val="43"/>
        <w:widowControl/>
        <w:shd w:val="clear" w:color="auto" w:fill="FFFFFF"/>
        <w:spacing w:line="288" w:lineRule="auto"/>
        <w:ind w:left="0"/>
        <w:rPr>
          <w:rFonts w:ascii="Arial" w:hAnsi="Arial" w:eastAsia="PingFang SC" w:cs="Arial"/>
          <w:color w:val="333333"/>
          <w:spacing w:val="8"/>
          <w:kern w:val="0"/>
          <w:sz w:val="20"/>
          <w:szCs w:val="20"/>
        </w:rPr>
      </w:pPr>
      <w:r>
        <w:rPr>
          <w:rFonts w:ascii="Arial" w:hAnsi="Arial" w:eastAsia="PingFang SC" w:cs="Arial"/>
          <w:color w:val="333333"/>
          <w:spacing w:val="8"/>
          <w:kern w:val="0"/>
          <w:sz w:val="20"/>
          <w:szCs w:val="20"/>
        </w:rPr>
        <w:t>例如，建造一艘航天器（spacecraft）不仅需要昂贵材料（costly materials），还需要数千名高技能专业人员（highly skilled professionals）（如工程师engineers、技术人员technicians和科学家scientists）多年的劳动（years of labor）。这些人力（human resources）和财力（financial resources）本可用于建设学校（construct schools）、培训医疗人员（train medical personnel）或改善交通网络（transportation networks）——这些项目能直接为公众带来切实利益（tangible benefits）。当政府（governments）优先考虑太空探索（space exploration）而非基本需求（fundamental needs）时，公民（citizens）可能面临教育经费不足（underfunded schools）、医疗系统超负荷（overwhelmed healthcare systems）和就业机会减少（fewer employment opportunities）等问题。</w:t>
      </w:r>
    </w:p>
    <w:p w14:paraId="78D0C8D7">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In healthcare, for example, slimmer allocations (缩减的拨款) can lead to a severe decline in patient care. Underfunding often results in staff shortages and outdated medical equipment. This translates to dangerously overcrowded emergency rooms (拥挤的急诊室) where patients might wait for hours in pain for critical attention. Booking an appointment with a specialist (专科医生) can become a desperate, months-long wait, turning a treatable condition into a chronic problem. To compensate for budget shortfalls, hospitals may be forced to increase out-of-pocket charges (自付费用) for services and treatments that were once covered, leaving patients with unexpected and often unaffordable medical bills. This combination of excruciatingly long waits, inaccessible specialized care, and rising personal costs creates a system where healthcare becomes a source of anxiety and financial distress rather than a reliable support. </w:t>
      </w:r>
    </w:p>
    <w:p w14:paraId="2DBBC747">
      <w:pPr>
        <w:pStyle w:val="43"/>
        <w:widowControl/>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例如，在医疗保健领域，拨款的缩减可能导致患者护理质量严重下降。资金不足往往导致人员短缺和医疗设备陈旧。这会造成急诊室危险的拥挤，患者可能在痛苦中等待数小时才能获得关键治疗。预约专科医生可能会变成长达数月的绝望等待，将可治疗的疾病拖成慢性病。为了弥补预算缺口，医院可能被迫提高曾经报销的服务和治疗项目的自付费用，让患者背上意料之外且往往无力承担的医疗账单。这种漫长得令人痛苦的等待、无法获得的专业护理以及不断上涨的个人费用相结合，使得医疗系统不再是可靠的保障，反而成为焦虑和财务困境的根源。</w:t>
      </w:r>
    </w:p>
    <w:p w14:paraId="5BD7DEE7">
      <w:pPr>
        <w:pStyle w:val="43"/>
        <w:widowControl/>
        <w:numPr>
          <w:ilvl w:val="0"/>
          <w:numId w:val="3"/>
        </w:numPr>
        <w:shd w:val="clear" w:color="auto" w:fill="FFFFFF"/>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0"/>
          <w:szCs w:val="20"/>
        </w:rPr>
        <w:t>In heavy manufacturing, where outdated, polluting machinery remains common, substantial fines for emissions violations can push firms to transition to cleaner technologies. The long-term savings from reduced penalties and improved efficiency often justify the initial investment in upgrades, leading to both environmental and operational benefits.</w:t>
      </w:r>
    </w:p>
    <w:p w14:paraId="23D47465">
      <w:pPr>
        <w:spacing w:line="288" w:lineRule="auto"/>
        <w:rPr>
          <w:rFonts w:ascii="Arial" w:hAnsi="Arial" w:cs="Arial"/>
          <w:sz w:val="20"/>
          <w:szCs w:val="20"/>
        </w:rPr>
      </w:pPr>
      <w:r>
        <w:rPr>
          <w:rFonts w:ascii="Arial" w:hAnsi="Arial" w:cs="Arial"/>
          <w:sz w:val="20"/>
          <w:szCs w:val="20"/>
        </w:rPr>
        <w:t>在重工业领域(heavy manufacturing)，老旧、高污染的机械设备(outdated, polluting machinery) 仍很常见，针对违规排放(emissions violations)的高额罚款(substantial fines)能倒逼企业转向清洁技术。从长远来看，减少罚款和提升效率带来的收益(long-term savings)往往能抵消技术升级的初期投入(initial investment)，从而实现环保与运营效益的双赢(environmental and operational benefits)。</w:t>
      </w:r>
    </w:p>
    <w:p w14:paraId="721324AC">
      <w:pPr>
        <w:spacing w:line="288" w:lineRule="auto"/>
        <w:rPr>
          <w:rFonts w:ascii="Arial" w:hAnsi="Arial" w:cs="Arial"/>
          <w:sz w:val="20"/>
          <w:szCs w:val="20"/>
        </w:rPr>
      </w:pPr>
    </w:p>
    <w:p w14:paraId="2881FA52">
      <w:pPr>
        <w:pStyle w:val="43"/>
        <w:numPr>
          <w:ilvl w:val="0"/>
          <w:numId w:val="3"/>
        </w:numPr>
        <w:spacing w:line="288" w:lineRule="auto"/>
        <w:ind w:left="0"/>
        <w:rPr>
          <w:rFonts w:ascii="Arial" w:hAnsi="Arial" w:cs="Arial"/>
          <w:sz w:val="20"/>
          <w:szCs w:val="20"/>
        </w:rPr>
      </w:pPr>
      <w:r>
        <w:rPr>
          <w:rFonts w:ascii="Arial" w:hAnsi="Arial" w:cs="Arial"/>
          <w:sz w:val="20"/>
          <w:szCs w:val="20"/>
        </w:rPr>
        <w:t>In the energy sector, significant carbon taxes can shift the economic balance in favor of renewables. As traditional fossil fuels become less profitable due to penalties, companies increasingly invest in wind, solar, and other sustainable alternatives—accelerating the industry-wide shift toward greener energy.</w:t>
      </w:r>
    </w:p>
    <w:p w14:paraId="1D6CD509">
      <w:pPr>
        <w:pStyle w:val="43"/>
        <w:spacing w:line="288" w:lineRule="auto"/>
        <w:ind w:left="0"/>
        <w:rPr>
          <w:rFonts w:ascii="Arial" w:hAnsi="Arial" w:cs="Arial"/>
          <w:sz w:val="20"/>
          <w:szCs w:val="20"/>
        </w:rPr>
      </w:pPr>
      <w:r>
        <w:rPr>
          <w:rFonts w:ascii="Arial" w:hAnsi="Arial" w:cs="Arial"/>
          <w:sz w:val="20"/>
          <w:szCs w:val="20"/>
        </w:rPr>
        <w:t>在能源行业(energy sector)，高额碳税(carbon taxes)会使可再生能源(renewables)更具优势。由于传统化石燃料(fossil fuels)因处罚使利润下降(less profitable)，企业会加大对风能(wind)、太阳能(solar)等可持续替代方案(sustainable alternatives)的投入，从而加速整个行业向绿色能源(greener energy)转型。</w:t>
      </w:r>
    </w:p>
    <w:p w14:paraId="0AADE39C">
      <w:pPr>
        <w:pStyle w:val="43"/>
        <w:spacing w:line="288" w:lineRule="auto"/>
        <w:ind w:left="0"/>
        <w:rPr>
          <w:rFonts w:ascii="Arial" w:hAnsi="Arial" w:cs="Arial"/>
          <w:sz w:val="20"/>
          <w:szCs w:val="20"/>
        </w:rPr>
      </w:pPr>
    </w:p>
    <w:p w14:paraId="683256D8">
      <w:pPr>
        <w:pStyle w:val="43"/>
        <w:numPr>
          <w:ilvl w:val="0"/>
          <w:numId w:val="3"/>
        </w:numPr>
        <w:spacing w:line="288" w:lineRule="auto"/>
        <w:ind w:left="0"/>
        <w:rPr>
          <w:rFonts w:ascii="Arial" w:hAnsi="Arial" w:cs="Arial"/>
          <w:sz w:val="20"/>
          <w:szCs w:val="20"/>
        </w:rPr>
      </w:pPr>
      <w:r>
        <w:rPr>
          <w:rFonts w:ascii="Arial" w:hAnsi="Arial" w:cs="Arial"/>
          <w:sz w:val="20"/>
          <w:szCs w:val="20"/>
        </w:rPr>
        <w:t>First, heavy environmental taxes can damage economies rather than drive sustainability. Industries like steel, cement, and chemicals, which are heavily impacted by green taxes, often respond by downsizing operations or moving production to countries with weaker regulations. Rather than adopting cleaner technologies, companies prioritize short-term survival, leading to job losses and economic strain in regions dependent on these sectors.</w:t>
      </w:r>
    </w:p>
    <w:p w14:paraId="6E3A878A">
      <w:pPr>
        <w:pStyle w:val="43"/>
        <w:spacing w:line="288" w:lineRule="auto"/>
        <w:ind w:left="0"/>
        <w:rPr>
          <w:rFonts w:ascii="Arial" w:hAnsi="Arial" w:cs="Arial"/>
          <w:sz w:val="20"/>
          <w:szCs w:val="20"/>
        </w:rPr>
      </w:pPr>
      <w:r>
        <w:rPr>
          <w:rFonts w:ascii="Arial" w:hAnsi="Arial" w:cs="Arial"/>
          <w:sz w:val="20"/>
          <w:szCs w:val="20"/>
        </w:rPr>
        <w:t>首先，过重的环境税（heavy environmental taxes）可能拖累经济（damage economies）。钢铁（steel）、水泥（cement）、化工（chemicals）等受环保税冲击严重的行业（industries heavily impacted），通常选择缩减规模（downsizing operations）或将产能转移至监管宽松的国家（countries with weaker regulations）。企业并非采用清洁技术（cleaner technologies），而是优先考虑短期生存（short-term survival），导致依赖这些产业的地区出现失业和经济衰退（job losses and economic strain）。</w:t>
      </w:r>
    </w:p>
    <w:p w14:paraId="2856A420">
      <w:pPr>
        <w:pStyle w:val="43"/>
        <w:spacing w:line="288" w:lineRule="auto"/>
        <w:ind w:left="0"/>
        <w:rPr>
          <w:rFonts w:ascii="Arial" w:hAnsi="Arial" w:cs="Arial"/>
          <w:sz w:val="20"/>
          <w:szCs w:val="20"/>
        </w:rPr>
      </w:pPr>
    </w:p>
    <w:p w14:paraId="6E47E6C0">
      <w:pPr>
        <w:pStyle w:val="43"/>
        <w:numPr>
          <w:ilvl w:val="0"/>
          <w:numId w:val="3"/>
        </w:numPr>
        <w:spacing w:line="288" w:lineRule="auto"/>
        <w:ind w:left="0"/>
        <w:rPr>
          <w:rFonts w:ascii="Arial" w:hAnsi="Arial" w:cs="Arial"/>
          <w:sz w:val="20"/>
          <w:szCs w:val="20"/>
        </w:rPr>
      </w:pPr>
      <w:r>
        <w:rPr>
          <w:rFonts w:ascii="Arial" w:hAnsi="Arial" w:cs="Arial"/>
          <w:sz w:val="20"/>
          <w:szCs w:val="20"/>
        </w:rPr>
        <w:t>Green taxes often become hidden consumer taxes rather than tools for real change. In sectors like fuel and consumer goods, corporations routinely pass green tax expenses onto customers through higher prices. For example, when carbon taxes are applied to gasoline or electricity, households and small businesses bear the burden through inflated bills, while large polluters continue operating as usual. Over time, this makes essential goods more expensive for average consumers.</w:t>
      </w:r>
    </w:p>
    <w:p w14:paraId="60E29729">
      <w:pPr>
        <w:pStyle w:val="43"/>
        <w:spacing w:line="288" w:lineRule="auto"/>
        <w:ind w:left="0"/>
        <w:rPr>
          <w:rFonts w:ascii="Arial" w:hAnsi="Arial" w:cs="Arial"/>
          <w:color w:val="333333"/>
          <w:sz w:val="20"/>
          <w:szCs w:val="20"/>
        </w:rPr>
      </w:pPr>
      <w:r>
        <w:rPr>
          <w:rFonts w:ascii="Arial" w:hAnsi="Arial" w:cs="Arial"/>
          <w:color w:val="333333"/>
          <w:sz w:val="20"/>
          <w:szCs w:val="20"/>
        </w:rPr>
        <w:t>环保税常常沦为变相的消费者税（hidden consumer taxes），而非真正推动变革的工具（tools for real change）。在燃料（fuel）、公共事业（utilities）和消费品（consumer goods）领域，企业惯于将环保税成本（green tax expenses）转嫁给消费者（pass onto customers），通过涨价（higher prices）抵消压力。例如，当汽油或电力被征收碳税（carbon taxes）时，普通家庭和小企业（households and small businesses）因账单上涨（inflated bills）承受压力，而大型污染企业（large polluters）却照常运营（continue operating as usual）。长此以往，生活必需品（essential goods）价格攀升。</w:t>
      </w:r>
    </w:p>
    <w:p w14:paraId="6B260E1C">
      <w:pPr>
        <w:pStyle w:val="43"/>
        <w:spacing w:line="288" w:lineRule="auto"/>
        <w:ind w:left="0"/>
        <w:rPr>
          <w:rFonts w:ascii="Arial" w:hAnsi="Arial" w:cs="Arial"/>
          <w:color w:val="333333"/>
          <w:sz w:val="20"/>
          <w:szCs w:val="20"/>
        </w:rPr>
      </w:pPr>
    </w:p>
    <w:p w14:paraId="6457926B">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 xml:space="preserve">For instance, a middle schooler struggling with essay writing might use an AI tool that not only detects grammatical errors but also suggests improvements in sentence structure, tone, and coherence—much like a personal writing coach. </w:t>
      </w:r>
    </w:p>
    <w:p w14:paraId="22C38F1F">
      <w:pPr>
        <w:pStyle w:val="43"/>
        <w:spacing w:line="288" w:lineRule="auto"/>
        <w:ind w:left="0"/>
        <w:rPr>
          <w:rFonts w:ascii="Arial" w:hAnsi="Arial" w:cs="Arial"/>
          <w:color w:val="333333"/>
          <w:sz w:val="20"/>
          <w:szCs w:val="20"/>
        </w:rPr>
      </w:pPr>
      <w:r>
        <w:rPr>
          <w:rFonts w:ascii="Arial" w:hAnsi="Arial" w:cs="Arial"/>
          <w:color w:val="333333"/>
          <w:sz w:val="20"/>
          <w:szCs w:val="20"/>
        </w:rPr>
        <w:t>例如，一个苦于写作文的初中生可以使用AI工具——不仅能检测语法错误(grammatical errors)，还会在句式结构(sentence structure)、语气语调(tone)和逻辑连贯(coherence)方面给建议，就像私人写作教练(personal writing coach)。</w:t>
      </w:r>
    </w:p>
    <w:p w14:paraId="67315E2B">
      <w:pPr>
        <w:pStyle w:val="43"/>
        <w:spacing w:line="288" w:lineRule="auto"/>
        <w:ind w:left="0"/>
        <w:rPr>
          <w:rFonts w:ascii="Arial" w:hAnsi="Arial" w:cs="Arial"/>
          <w:color w:val="333333"/>
          <w:sz w:val="20"/>
          <w:szCs w:val="20"/>
        </w:rPr>
      </w:pPr>
    </w:p>
    <w:p w14:paraId="1E86B3B8">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Similarly, in subjects like chemistry, AI simulations allow students to conduct virtual experiments, receiving instant feedback on their methodology rather than waiting days for a teacher’s evaluation. Even in skill-based learning, such as coding or music, AI provides interactive exercises that scale difficulty based on performance, ensuring students remain challenged but not overwhelmed.</w:t>
      </w:r>
    </w:p>
    <w:p w14:paraId="57FB6165">
      <w:pPr>
        <w:pStyle w:val="43"/>
        <w:spacing w:line="288" w:lineRule="auto"/>
        <w:ind w:left="0"/>
        <w:rPr>
          <w:rFonts w:ascii="Arial" w:hAnsi="Arial" w:cs="Arial"/>
          <w:color w:val="333333"/>
          <w:sz w:val="20"/>
          <w:szCs w:val="20"/>
        </w:rPr>
      </w:pPr>
      <w:r>
        <w:rPr>
          <w:rFonts w:ascii="Arial" w:hAnsi="Arial" w:cs="Arial"/>
          <w:color w:val="333333"/>
          <w:sz w:val="20"/>
          <w:szCs w:val="20"/>
        </w:rPr>
        <w:t>在化学等学科中，AI模拟实验(simulations)让学生进行虚拟操作(virtual experiments)，即时获得方法论(methodology)反馈，无需等教师批改。编程(coding)或音乐(music)等技能学习领域，AI也提供互动练习(interactive exercises)，根据表现智能调节难度(scale difficulty)，既保持挑战性(challenged)又避免挫败感(overwhelmed)。</w:t>
      </w:r>
    </w:p>
    <w:p w14:paraId="3F33FE45">
      <w:pPr>
        <w:pStyle w:val="43"/>
        <w:spacing w:line="288" w:lineRule="auto"/>
        <w:ind w:left="0"/>
        <w:rPr>
          <w:rFonts w:ascii="Arial" w:hAnsi="Arial" w:cs="Arial"/>
          <w:color w:val="333333"/>
          <w:sz w:val="20"/>
          <w:szCs w:val="20"/>
        </w:rPr>
      </w:pPr>
    </w:p>
    <w:p w14:paraId="6C07BD70">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In automotive manufacturing plants, robotic arms now handle tasks such as welding and painting with perfect consistency—a level of precision that even the most skilled human workers cannot maintain consistently due to fatigue or environmental factors. These machines position components with millimeter-level accuracy, guaranteeing uniform quality across every vehicle, a standard difficult to achieve through manual labor alone.</w:t>
      </w:r>
    </w:p>
    <w:p w14:paraId="7FFB6CCB">
      <w:pPr>
        <w:pStyle w:val="43"/>
        <w:spacing w:line="288" w:lineRule="auto"/>
        <w:ind w:left="0"/>
        <w:rPr>
          <w:rFonts w:ascii="Arial" w:hAnsi="Arial" w:cs="Arial"/>
          <w:color w:val="333333"/>
          <w:sz w:val="20"/>
          <w:szCs w:val="20"/>
        </w:rPr>
      </w:pPr>
      <w:r>
        <w:rPr>
          <w:rFonts w:ascii="Arial" w:hAnsi="Arial" w:cs="Arial"/>
          <w:color w:val="333333"/>
          <w:sz w:val="20"/>
          <w:szCs w:val="20"/>
        </w:rPr>
        <w:t>在汽车制造厂(automotive manufacturing plants)，机械臂(robotic arms)负责焊接(welding)和喷漆(painting)等任务，其稳定性(perfect consistency)连最熟练的技术工人(skilled human workers)也难以持续保持。受疲劳(fatigue)或环境因素(environmental factors)影响，人类难像机器那样实现毫米级精度(millimeter-level accuracy)，确保每辆车品质统一(uniform quality)。</w:t>
      </w:r>
    </w:p>
    <w:p w14:paraId="6B89925E">
      <w:pPr>
        <w:pStyle w:val="43"/>
        <w:spacing w:line="288" w:lineRule="auto"/>
        <w:ind w:left="0"/>
        <w:rPr>
          <w:rFonts w:ascii="Arial" w:hAnsi="Arial" w:cs="Arial"/>
          <w:color w:val="333333"/>
          <w:sz w:val="20"/>
          <w:szCs w:val="20"/>
        </w:rPr>
      </w:pPr>
    </w:p>
    <w:p w14:paraId="17C10C46">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In deep mining operations, autonomous drones now conduct tunnel inspections to detect gas leaks and structural weaknesses, removing the need for human entry into potentially fatal environments. Similarly, in chemical plants, robotic systems handle toxic materials and extreme-temperature processes, drastically lowering workers' exposure to dangers such as burns, poisoning, or explosions.</w:t>
      </w:r>
    </w:p>
    <w:p w14:paraId="64009119">
      <w:pPr>
        <w:pStyle w:val="43"/>
        <w:spacing w:line="288" w:lineRule="auto"/>
        <w:ind w:left="0"/>
        <w:rPr>
          <w:rFonts w:ascii="Arial" w:hAnsi="Arial" w:cs="Arial"/>
          <w:color w:val="333333"/>
          <w:sz w:val="20"/>
          <w:szCs w:val="20"/>
        </w:rPr>
      </w:pPr>
      <w:r>
        <w:rPr>
          <w:rFonts w:ascii="Arial" w:hAnsi="Arial" w:cs="Arial"/>
          <w:color w:val="333333"/>
          <w:sz w:val="20"/>
          <w:szCs w:val="20"/>
        </w:rPr>
        <w:t>在深井采矿(deep mining operations)中，无人机(autonomous drones)替代人工进行隧道巡检(tunnel inspections)，探测气体泄漏(gas leaks)和结构缺陷(structural weaknesses)，避免人进入致命环境(potentially fatal environments)；化工厂(chemical plants)里，机器人系统(robotic systems)处理有毒物质(toxic materials)和极端高温流程(extreme-temperature processes)，使工人免于烧伤(burns)、中毒(poisoning)或爆炸(explosions)等危险。</w:t>
      </w:r>
    </w:p>
    <w:p w14:paraId="44E71F55">
      <w:pPr>
        <w:pStyle w:val="43"/>
        <w:spacing w:line="288" w:lineRule="auto"/>
        <w:ind w:left="0"/>
        <w:rPr>
          <w:rFonts w:ascii="Arial" w:hAnsi="Arial" w:cs="Arial"/>
          <w:color w:val="333333"/>
          <w:sz w:val="20"/>
          <w:szCs w:val="20"/>
        </w:rPr>
      </w:pPr>
    </w:p>
    <w:p w14:paraId="04CB6AB7">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For example, international students can use WeChat to video call their families, sharing daily experiences and reducing feelings of loneliness and homesickness. Additionally, platforms like Facebook enable users to reconnect with old friends and expand their social networks, fostering long-lasting relationships that would otherwise be difficult to sustain.</w:t>
      </w:r>
    </w:p>
    <w:p w14:paraId="0AC9A0E9">
      <w:pPr>
        <w:pStyle w:val="43"/>
        <w:spacing w:line="288" w:lineRule="auto"/>
        <w:ind w:left="0"/>
        <w:rPr>
          <w:rFonts w:ascii="Arial" w:hAnsi="Arial" w:cs="Arial"/>
          <w:color w:val="333333"/>
          <w:sz w:val="20"/>
          <w:szCs w:val="20"/>
        </w:rPr>
      </w:pPr>
      <w:r>
        <w:rPr>
          <w:rFonts w:ascii="Arial" w:hAnsi="Arial" w:cs="Arial"/>
          <w:color w:val="333333"/>
          <w:sz w:val="20"/>
          <w:szCs w:val="20"/>
        </w:rPr>
        <w:t>例如，留学生可以通过WeChat与家人视频通话，分享日常生活，缓解孤独感和思乡之情。此外，Facebook等平台能让用户与旧友重新联系并拓展社交圈，维系原本难以持续的长久关系。</w:t>
      </w:r>
    </w:p>
    <w:p w14:paraId="742EC77C">
      <w:pPr>
        <w:pStyle w:val="43"/>
        <w:spacing w:line="288" w:lineRule="auto"/>
        <w:ind w:left="0"/>
        <w:rPr>
          <w:rFonts w:ascii="Arial" w:hAnsi="Arial" w:cs="Arial"/>
          <w:color w:val="333333"/>
          <w:sz w:val="20"/>
          <w:szCs w:val="20"/>
        </w:rPr>
      </w:pPr>
    </w:p>
    <w:p w14:paraId="41A7CCC5">
      <w:pPr>
        <w:pStyle w:val="43"/>
        <w:numPr>
          <w:ilvl w:val="0"/>
          <w:numId w:val="3"/>
        </w:numPr>
        <w:spacing w:line="288" w:lineRule="auto"/>
        <w:ind w:left="0"/>
        <w:rPr>
          <w:rFonts w:ascii="Arial" w:hAnsi="Arial" w:cs="Arial"/>
          <w:b/>
          <w:bCs/>
          <w:color w:val="333333"/>
          <w:sz w:val="20"/>
          <w:szCs w:val="20"/>
        </w:rPr>
      </w:pPr>
      <w:r>
        <w:rPr>
          <w:rFonts w:ascii="Arial" w:hAnsi="Arial" w:cs="Arial"/>
          <w:color w:val="333333"/>
          <w:sz w:val="20"/>
          <w:szCs w:val="20"/>
        </w:rPr>
        <w:t>Artisans, for instance, can showcase their handmade products on Douyin, attracting customers worldwide and generating additional income. Similarly, professionals use LinkedIn to network with potential employers, access job opportunities, and advance their careers—opportunities that were much harder to find before the rise of social media.</w:t>
      </w:r>
    </w:p>
    <w:p w14:paraId="1785CBAA">
      <w:pPr>
        <w:pStyle w:val="43"/>
        <w:spacing w:line="288" w:lineRule="auto"/>
        <w:ind w:left="0"/>
        <w:rPr>
          <w:rFonts w:ascii="Arial" w:hAnsi="Arial" w:cs="Arial"/>
          <w:color w:val="333333"/>
          <w:sz w:val="20"/>
          <w:szCs w:val="20"/>
        </w:rPr>
      </w:pPr>
      <w:r>
        <w:rPr>
          <w:rFonts w:ascii="Arial" w:hAnsi="Arial" w:cs="Arial"/>
          <w:color w:val="333333"/>
          <w:sz w:val="20"/>
          <w:szCs w:val="20"/>
        </w:rPr>
        <w:t>比如，手工艺人可以在Douyin上展示手工制品，吸引全球客户并增加收入。同样，职场人士通过LinkedIn与潜在雇主联系，获取工作机会并推动职业发展——这些机遇在社交媒体兴起前很难获得。</w:t>
      </w:r>
    </w:p>
    <w:p w14:paraId="7D9DC4C7">
      <w:pPr>
        <w:pStyle w:val="43"/>
        <w:numPr>
          <w:ilvl w:val="0"/>
          <w:numId w:val="3"/>
        </w:numPr>
        <w:spacing w:line="288" w:lineRule="auto"/>
        <w:ind w:left="0"/>
        <w:rPr>
          <w:rFonts w:ascii="Arial" w:hAnsi="Arial" w:cs="Arial"/>
          <w:color w:val="333333"/>
          <w:sz w:val="20"/>
          <w:szCs w:val="20"/>
        </w:rPr>
      </w:pPr>
      <w:r>
        <w:rPr>
          <w:rFonts w:ascii="Arial" w:hAnsi="Arial" w:cs="Arial"/>
          <w:b/>
          <w:bCs/>
          <w:color w:val="333333"/>
          <w:sz w:val="20"/>
          <w:szCs w:val="20"/>
        </w:rPr>
        <w:t xml:space="preserve">This policy protects employees' physical and mental well-being, which in turn enhances productivity.  </w:t>
      </w:r>
      <w:r>
        <w:rPr>
          <w:rFonts w:ascii="Arial" w:hAnsi="Arial" w:cs="Arial"/>
          <w:color w:val="333333"/>
          <w:sz w:val="20"/>
          <w:szCs w:val="20"/>
        </w:rPr>
        <w:t>Constant connectivity（持续在线） blurs the boundaries between work and personal life（工作与生活的界限）, leading to chronic stress（长期压力） and burnout（职业倦怠） as employees feel pressured to respond to messages even during their downtime（休息时间）. For example, an employee receiving frequent late-night emails from their manager may feel compelled to respond immediately（被迫立即回复）, making it hard to unwind（难以放松）. This leads to sleeplessness（失眠）, next-day grogginess（次日昏沉）, and difficulty focusing in meetings（会议中难以集中注意力）.</w:t>
      </w:r>
    </w:p>
    <w:p w14:paraId="2892F484">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Similarly, a parent interrupted by urgent work calls（被紧急工作电话打断） during their child’s birthday dinner or weekend family time grows increasingly resentful（愈发不满）, feeling their personal moments are invaded（个人时间被侵占）. Over time, this erodes their work engagement（削弱工作投入） and strains their family bonds（损害家庭关系）, diminishing both professional enthusiasm（职业热情） and personal connections（人际关系）.</w:t>
      </w:r>
    </w:p>
    <w:p w14:paraId="0CAAFD82">
      <w:pPr>
        <w:pStyle w:val="43"/>
        <w:numPr>
          <w:ilvl w:val="0"/>
          <w:numId w:val="3"/>
        </w:numPr>
        <w:spacing w:line="288" w:lineRule="auto"/>
        <w:ind w:left="0"/>
        <w:rPr>
          <w:rFonts w:ascii="Arial" w:hAnsi="Arial" w:cs="Arial"/>
          <w:b/>
          <w:bCs/>
          <w:color w:val="333333"/>
          <w:sz w:val="20"/>
          <w:szCs w:val="20"/>
        </w:rPr>
      </w:pPr>
      <w:r>
        <w:rPr>
          <w:rFonts w:ascii="Arial" w:hAnsi="Arial" w:cs="Arial"/>
          <w:b/>
          <w:bCs/>
          <w:color w:val="333333"/>
          <w:sz w:val="20"/>
          <w:szCs w:val="20"/>
        </w:rPr>
        <w:t xml:space="preserve">Maintaining this standard is essential for ensuring accurate and trustworthy information online. </w:t>
      </w:r>
      <w:r>
        <w:rPr>
          <w:rFonts w:ascii="Arial" w:hAnsi="Arial" w:cs="Arial"/>
          <w:color w:val="333333"/>
          <w:sz w:val="20"/>
          <w:szCs w:val="20"/>
        </w:rPr>
        <w:t xml:space="preserve">Without adequate qualifications, content creators risk spreading misinformation, which can have serious consequences. For instance, an influencer without medical training (医学培训) might promote unproven treatments (未经证实的疗法) or questionable "quick fixes" ("快速疗法"). Followers who trust such advice could experience harmful side effects (有害副作用) or delay seeking proper medical care (正规医疗), potentially worsening their condition (加重病情). </w:t>
      </w:r>
    </w:p>
    <w:p w14:paraId="2FB8DA6D">
      <w:pPr>
        <w:pStyle w:val="43"/>
        <w:numPr>
          <w:ilvl w:val="0"/>
          <w:numId w:val="3"/>
        </w:numPr>
        <w:spacing w:line="288" w:lineRule="auto"/>
        <w:ind w:left="0"/>
        <w:rPr>
          <w:rFonts w:ascii="Arial" w:hAnsi="Arial" w:cs="Arial"/>
          <w:b/>
          <w:bCs/>
          <w:color w:val="333333"/>
          <w:sz w:val="20"/>
          <w:szCs w:val="20"/>
        </w:rPr>
      </w:pPr>
      <w:r>
        <w:rPr>
          <w:rFonts w:ascii="Arial" w:hAnsi="Arial" w:cs="Arial"/>
          <w:color w:val="333333"/>
          <w:sz w:val="20"/>
          <w:szCs w:val="20"/>
        </w:rPr>
        <w:t xml:space="preserve">Similarly, a blogger with no financial expertise (金融专业知识) might casually recommend high-risk investments (高风险投资). If followers act on this advice, they could suffer significant financial losses (重大财务损失), as untrained influencers (未经专业培训的网红) often fail to assess risks appropriately (合理评估风险). </w:t>
      </w:r>
    </w:p>
    <w:p w14:paraId="40BFCA9F">
      <w:pPr>
        <w:pStyle w:val="43"/>
        <w:numPr>
          <w:ilvl w:val="0"/>
          <w:numId w:val="3"/>
        </w:numPr>
        <w:spacing w:line="288" w:lineRule="auto"/>
        <w:ind w:left="0"/>
        <w:rPr>
          <w:rFonts w:ascii="Arial" w:hAnsi="Arial" w:cs="Arial"/>
          <w:b/>
          <w:bCs/>
          <w:color w:val="333333"/>
          <w:sz w:val="20"/>
          <w:szCs w:val="20"/>
        </w:rPr>
      </w:pPr>
      <w:r>
        <w:rPr>
          <w:rFonts w:ascii="Arial" w:hAnsi="Arial" w:cs="Arial"/>
          <w:color w:val="333333"/>
          <w:sz w:val="20"/>
          <w:szCs w:val="20"/>
        </w:rPr>
        <w:t>Admittedly, requiring expertise might limit free expression (限制自由表达) or exclude valuable grassroots perspectives (草根观点). However, the dangers of uninformed opinions (缺乏依据的观点) in critical fields far outweigh these concerns. After all, we would not accept medical advice (医疗建议) from an untrained stranger in person; why should we treat online content differently?</w:t>
      </w:r>
    </w:p>
    <w:p w14:paraId="0CFF330D">
      <w:pPr>
        <w:pStyle w:val="43"/>
        <w:numPr>
          <w:ilvl w:val="0"/>
          <w:numId w:val="3"/>
        </w:numPr>
        <w:spacing w:line="288" w:lineRule="auto"/>
        <w:ind w:left="0"/>
        <w:rPr>
          <w:rFonts w:ascii="Arial" w:hAnsi="Arial" w:cs="Arial"/>
          <w:color w:val="333333"/>
          <w:sz w:val="20"/>
          <w:szCs w:val="20"/>
        </w:rPr>
      </w:pPr>
      <w:r>
        <w:rPr>
          <w:rFonts w:ascii="Arial" w:hAnsi="Arial" w:cs="Arial"/>
          <w:b/>
          <w:bCs/>
          <w:color w:val="333333"/>
          <w:sz w:val="20"/>
          <w:szCs w:val="20"/>
        </w:rPr>
        <w:t xml:space="preserve">First, </w:t>
      </w:r>
      <w:r>
        <w:rPr>
          <w:rFonts w:ascii="Arial" w:hAnsi="Arial" w:cs="Arial"/>
          <w:color w:val="333333"/>
          <w:sz w:val="20"/>
          <w:szCs w:val="20"/>
        </w:rPr>
        <w:t>online shopping</w:t>
      </w:r>
      <w:r>
        <w:rPr>
          <w:rFonts w:ascii="Arial" w:hAnsi="Arial" w:cs="Arial"/>
          <w:b/>
          <w:bCs/>
          <w:color w:val="333333"/>
          <w:sz w:val="20"/>
          <w:szCs w:val="20"/>
        </w:rPr>
        <w:t xml:space="preserve"> levels the playing field for businesses of all sizes. </w:t>
      </w:r>
      <w:r>
        <w:rPr>
          <w:rFonts w:ascii="Arial" w:hAnsi="Arial" w:cs="Arial"/>
          <w:color w:val="333333"/>
          <w:sz w:val="20"/>
          <w:szCs w:val="20"/>
        </w:rPr>
        <w:t>In the past, only well-established companies with substantial financial resources could afford traditional advertising methods such as celebrity endorsements and national television campaigns, allowing giants like Apple and Coca-Cola to dominate their respective fields. Now, e-commerce removes this barrier; startups can now use targeted social ads, SEO, and influencer marketing to compete globally.</w:t>
      </w:r>
    </w:p>
    <w:p w14:paraId="54C6307A">
      <w:pPr>
        <w:pStyle w:val="43"/>
        <w:numPr>
          <w:ilvl w:val="0"/>
          <w:numId w:val="3"/>
        </w:numPr>
        <w:spacing w:line="288" w:lineRule="auto"/>
        <w:ind w:left="0"/>
        <w:rPr>
          <w:rFonts w:ascii="Arial" w:hAnsi="Arial" w:cs="Arial"/>
          <w:color w:val="333333"/>
          <w:sz w:val="20"/>
          <w:szCs w:val="20"/>
        </w:rPr>
      </w:pPr>
      <w:r>
        <w:rPr>
          <w:rFonts w:ascii="Arial" w:hAnsi="Arial" w:cs="Arial"/>
          <w:b/>
          <w:bCs/>
          <w:color w:val="333333"/>
          <w:sz w:val="20"/>
          <w:szCs w:val="20"/>
        </w:rPr>
        <w:t xml:space="preserve">Second, online shopping significantly enhances consumer choice.  </w:t>
      </w:r>
      <w:r>
        <w:rPr>
          <w:rFonts w:ascii="Arial" w:hAnsi="Arial" w:cs="Arial"/>
          <w:color w:val="333333"/>
          <w:sz w:val="20"/>
          <w:szCs w:val="20"/>
        </w:rPr>
        <w:t>Detailed reviews from influencers and comparison tools allow shoppers to easily evaluate products across brands, prices, and features. For instance, travelers searching for luggage can now assess durability, weight, and design across multiple manufacturers, opting for niche brands with superior craftsmanship over traditional labels, thanks to side-by-side online analyses and trusted reviewer insights. Therefore, online shopping not only fosters economic inclusivity by supporting small businesses but also empowers consumers with greater access to information and options.</w:t>
      </w:r>
    </w:p>
    <w:p w14:paraId="1DF2A94B">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By upgrading infrastructure—such as introducing faster, cleaner, and more frequent services—cities can make trains and buses a more convenient and comfortable alternative to driving. Imagine a commuter who used to dread恐惧the daily grind（日常苦差事） of traffic jams（交通拥堵） and parking hassles（停车麻烦）. Now, they step onto a sleek（时尚的）, air-conditioned train with ample seating and free Wi-Fi, glancing at their phone to check the live arrival time（实时到站时间） of their connecting bus（接驳巴士）—which arrives right on schedule（准时到达）. The bus glides smoothly（平稳滑行） into a dedicated lane（专用车道）, bypassing（绕过） the gridlocked cars（堵死的车辆） beside it. For the first time, their commute feels less like a chore（琐事） and more like a moment of respite（喘息时刻）. Small touches（小细节）, including clean stations（整洁的车站）, clear signage（清晰的标识）, and polite staff（礼貌的工作人员）, add to the experience, making public transport not just tolerable（可忍受的）, but genuinely pleasant（真正愉悦的）.</w:t>
      </w:r>
    </w:p>
    <w:p w14:paraId="4358B1E0">
      <w:pPr>
        <w:pStyle w:val="43"/>
        <w:numPr>
          <w:ilvl w:val="0"/>
          <w:numId w:val="3"/>
        </w:numPr>
        <w:spacing w:line="288" w:lineRule="auto"/>
        <w:ind w:left="0"/>
        <w:rPr>
          <w:rFonts w:ascii="Arial" w:hAnsi="Arial" w:cs="Arial"/>
          <w:b/>
          <w:bCs/>
          <w:color w:val="333333"/>
          <w:sz w:val="20"/>
          <w:szCs w:val="20"/>
        </w:rPr>
      </w:pPr>
      <w:r>
        <w:rPr>
          <w:rFonts w:ascii="Arial" w:hAnsi="Arial" w:cs="Arial"/>
          <w:b/>
          <w:bCs/>
          <w:color w:val="333333"/>
          <w:sz w:val="20"/>
          <w:szCs w:val="20"/>
        </w:rPr>
        <w:t xml:space="preserve">Even if aviation taxes lead to higher airfare prices, passenger demand is unlikely to decrease significantly. </w:t>
      </w:r>
      <w:r>
        <w:rPr>
          <w:rFonts w:ascii="Arial" w:hAnsi="Arial" w:cs="Arial"/>
          <w:color w:val="333333"/>
          <w:sz w:val="20"/>
          <w:szCs w:val="20"/>
        </w:rPr>
        <w:t>Whether for cross-border business travel（跨境商务旅行） or international family visits（国际家庭探访）, passengers rarely cancel trips due to fare increases（票价上涨）. For long-haul flights（长途航班） with no viable alternative transportation（替代交通方式）, taxation merely raises travel costs（旅行成本） without meaningfully reducing flight frequency（航班频率）. True emission reductions（减排） depend on technological advancements（技术进步）, such as sustainable aviation fuel (SAF)（可持续航空燃料） and more efficient engine technology（高效发动机技术）, rather than blunt taxation measures（生硬的税收措施）.</w:t>
      </w:r>
    </w:p>
    <w:p w14:paraId="23ECBDD1">
      <w:pPr>
        <w:pStyle w:val="43"/>
        <w:numPr>
          <w:ilvl w:val="0"/>
          <w:numId w:val="3"/>
        </w:numPr>
        <w:spacing w:line="288" w:lineRule="auto"/>
        <w:ind w:left="0"/>
        <w:rPr>
          <w:rFonts w:ascii="Arial" w:hAnsi="Arial" w:cs="Arial"/>
          <w:b/>
          <w:bCs/>
          <w:color w:val="333333"/>
          <w:sz w:val="20"/>
          <w:szCs w:val="20"/>
        </w:rPr>
      </w:pPr>
      <w:r>
        <w:rPr>
          <w:rFonts w:ascii="Arial" w:hAnsi="Arial" w:cs="Arial"/>
          <w:b/>
          <w:bCs/>
          <w:color w:val="333333"/>
          <w:sz w:val="20"/>
          <w:szCs w:val="20"/>
        </w:rPr>
        <w:t>Implementing car-free zones in urban centers would create significant inconveniences for consumers.</w:t>
      </w:r>
    </w:p>
    <w:p w14:paraId="1E019C3A">
      <w:pPr>
        <w:spacing w:line="288" w:lineRule="auto"/>
        <w:rPr>
          <w:rFonts w:ascii="Arial" w:hAnsi="Arial" w:cs="Arial"/>
          <w:color w:val="333333"/>
          <w:sz w:val="20"/>
          <w:szCs w:val="20"/>
        </w:rPr>
      </w:pPr>
      <w:r>
        <w:rPr>
          <w:rFonts w:ascii="Arial" w:hAnsi="Arial" w:cs="Arial"/>
          <w:b/>
          <w:bCs/>
          <w:color w:val="333333"/>
          <w:sz w:val="20"/>
          <w:szCs w:val="20"/>
        </w:rPr>
        <w:t>【消费者习惯】</w:t>
      </w:r>
      <w:r>
        <w:rPr>
          <w:rFonts w:ascii="Arial" w:hAnsi="Arial" w:cs="Arial"/>
          <w:color w:val="333333"/>
          <w:sz w:val="20"/>
          <w:szCs w:val="20"/>
        </w:rPr>
        <w:t>Middle-to-high-income families have developed entrenched one-stop car shopping routines. These households typically drive to downtown shopping centers on weekends to purchase their weekly supplies in a single trip. Such shopping expeditions frequently involve transporting bulky and heavy merchandise, including bottled water, large-format paper products, and household appliances, which prove physically demanding to carry.</w:t>
      </w:r>
    </w:p>
    <w:p w14:paraId="34EBC1C2">
      <w:pPr>
        <w:spacing w:line="288" w:lineRule="auto"/>
        <w:rPr>
          <w:rFonts w:ascii="Arial" w:hAnsi="Arial" w:cs="Arial"/>
          <w:color w:val="333333"/>
          <w:sz w:val="20"/>
          <w:szCs w:val="20"/>
        </w:rPr>
      </w:pPr>
      <w:r>
        <w:rPr>
          <w:rFonts w:ascii="Arial" w:hAnsi="Arial" w:cs="Arial"/>
          <w:b/>
          <w:bCs/>
          <w:color w:val="333333"/>
          <w:sz w:val="20"/>
          <w:szCs w:val="20"/>
        </w:rPr>
        <w:t>【禁车令造成障碍】</w:t>
      </w:r>
      <w:r>
        <w:rPr>
          <w:rFonts w:ascii="Arial" w:hAnsi="Arial" w:cs="Arial"/>
          <w:color w:val="333333"/>
          <w:sz w:val="20"/>
          <w:szCs w:val="20"/>
        </w:rPr>
        <w:t>A vehicle prohibition would introduce substantial practical difficulties: the nearest available parking might be located nearly one kilometer from commercial districts. During inclement weather conditions—such as torrential rain, heavy snowfall, or extreme heat—carrying weighty shopping parcels over such distances becomes particularly arduous. The situation grows even more problematic for young parents managing strollers while transporting purchases.</w:t>
      </w:r>
    </w:p>
    <w:p w14:paraId="6FD33FD2">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 xml:space="preserve">A tidy workspace </w:t>
      </w:r>
      <w:r>
        <w:rPr>
          <w:rFonts w:ascii="Arial" w:hAnsi="Arial" w:cs="Arial"/>
          <w:color w:val="333333"/>
          <w:sz w:val="20"/>
          <w:szCs w:val="20"/>
          <w:u w:val="single"/>
        </w:rPr>
        <w:t>minimizes external distractions</w:t>
      </w:r>
      <w:r>
        <w:rPr>
          <w:rFonts w:ascii="Arial" w:hAnsi="Arial" w:cs="Arial"/>
          <w:color w:val="333333"/>
          <w:sz w:val="20"/>
          <w:szCs w:val="20"/>
        </w:rPr>
        <w:t xml:space="preserve">（减少外部干扰）that compete for an individual's cognitive resources（消耗个人认知资源）. When an employee is </w:t>
      </w:r>
      <w:r>
        <w:rPr>
          <w:rFonts w:ascii="Arial" w:hAnsi="Arial" w:cs="Arial"/>
          <w:color w:val="333333"/>
          <w:sz w:val="20"/>
          <w:szCs w:val="20"/>
          <w:u w:val="single"/>
        </w:rPr>
        <w:t>surrounded by clutter（</w:t>
      </w:r>
      <w:r>
        <w:rPr>
          <w:rFonts w:ascii="Arial" w:hAnsi="Arial" w:cs="Arial"/>
          <w:color w:val="333333"/>
          <w:sz w:val="20"/>
          <w:szCs w:val="20"/>
        </w:rPr>
        <w:t xml:space="preserve">被杂乱包围）, </w:t>
      </w:r>
      <w:r>
        <w:rPr>
          <w:rFonts w:ascii="Arial" w:hAnsi="Arial" w:cs="Arial"/>
          <w:color w:val="333333"/>
          <w:sz w:val="20"/>
          <w:szCs w:val="20"/>
          <w:u w:val="single"/>
        </w:rPr>
        <w:t>such as stacks of unrelated papers（堆积无关文件）, disorganized supplies（凌乱办公用品）, or unnecessary items（不必要物品）</w:t>
      </w:r>
      <w:r>
        <w:rPr>
          <w:rFonts w:ascii="Arial" w:hAnsi="Arial" w:cs="Arial"/>
          <w:color w:val="333333"/>
          <w:sz w:val="20"/>
          <w:szCs w:val="20"/>
        </w:rPr>
        <w:t xml:space="preserve">, their brain must constantly process this irrelevant visual information（不断处理无关视觉信息）, which can deplete mental energy（消耗心理能量）and make it difficult to sustain the deep focus（持续深度专注）required for </w:t>
      </w:r>
      <w:r>
        <w:rPr>
          <w:rFonts w:ascii="Arial" w:hAnsi="Arial" w:cs="Arial"/>
          <w:color w:val="333333"/>
          <w:sz w:val="20"/>
          <w:szCs w:val="20"/>
          <w:u w:val="single"/>
        </w:rPr>
        <w:t>complex problem solving or creative thinking.</w:t>
      </w:r>
    </w:p>
    <w:p w14:paraId="61B31B02">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 xml:space="preserve">For instance, consider </w:t>
      </w:r>
      <w:r>
        <w:rPr>
          <w:rFonts w:ascii="Arial" w:hAnsi="Arial" w:cs="Arial"/>
          <w:b/>
          <w:bCs/>
          <w:color w:val="333333"/>
          <w:sz w:val="20"/>
          <w:szCs w:val="20"/>
        </w:rPr>
        <w:t>a financial analyst</w:t>
      </w:r>
      <w:r>
        <w:rPr>
          <w:rFonts w:ascii="Arial" w:hAnsi="Arial" w:cs="Arial"/>
          <w:color w:val="333333"/>
          <w:sz w:val="20"/>
          <w:szCs w:val="20"/>
        </w:rPr>
        <w:t xml:space="preserve">（金融分析师）who needs to prepare </w:t>
      </w:r>
      <w:r>
        <w:rPr>
          <w:rFonts w:ascii="Arial" w:hAnsi="Arial" w:cs="Arial"/>
          <w:color w:val="333333"/>
          <w:sz w:val="20"/>
          <w:szCs w:val="20"/>
          <w:u w:val="single"/>
        </w:rPr>
        <w:t>a detailed quarterly report</w:t>
      </w:r>
      <w:r>
        <w:rPr>
          <w:rFonts w:ascii="Arial" w:hAnsi="Arial" w:cs="Arial"/>
          <w:color w:val="333333"/>
          <w:sz w:val="20"/>
          <w:szCs w:val="20"/>
        </w:rPr>
        <w:t>（详细季度报告）. In a cluttered office（混乱办公室）with</w:t>
      </w:r>
      <w:r>
        <w:rPr>
          <w:rFonts w:ascii="Arial" w:hAnsi="Arial" w:cs="Arial"/>
          <w:color w:val="333333"/>
          <w:sz w:val="20"/>
          <w:szCs w:val="20"/>
          <w:u w:val="single"/>
        </w:rPr>
        <w:t xml:space="preserve"> stacks of unrelated papers（堆积无关文件）, disorganized supplies（凌乱办公用品）, or unnecessary items（不必要物品）</w:t>
      </w:r>
      <w:r>
        <w:rPr>
          <w:rFonts w:ascii="Arial" w:hAnsi="Arial" w:cs="Arial"/>
          <w:color w:val="333333"/>
          <w:sz w:val="20"/>
          <w:szCs w:val="20"/>
        </w:rPr>
        <w:t xml:space="preserve">, the analyst might frequently </w:t>
      </w:r>
      <w:r>
        <w:rPr>
          <w:rFonts w:ascii="Arial" w:hAnsi="Arial" w:cs="Arial"/>
          <w:color w:val="333333"/>
          <w:sz w:val="20"/>
          <w:szCs w:val="20"/>
          <w:u w:val="single"/>
        </w:rPr>
        <w:t>lose their train of thought</w:t>
      </w:r>
      <w:r>
        <w:rPr>
          <w:rFonts w:ascii="Arial" w:hAnsi="Arial" w:cs="Arial"/>
          <w:color w:val="333333"/>
          <w:sz w:val="20"/>
          <w:szCs w:val="20"/>
        </w:rPr>
        <w:t xml:space="preserve">（思路中断）while searching for a specific file（寻找特定文件）amidst piles of documents or being distracted by the general mess（被杂乱分心）, leading to potential errors（潜在错误）and wasted time（浪费时间）. However, if the same analyst works in </w:t>
      </w:r>
      <w:r>
        <w:rPr>
          <w:rFonts w:ascii="Arial" w:hAnsi="Arial" w:cs="Arial"/>
          <w:b/>
          <w:bCs/>
          <w:color w:val="333333"/>
          <w:sz w:val="20"/>
          <w:szCs w:val="20"/>
        </w:rPr>
        <w:t>a well-organized space</w:t>
      </w:r>
      <w:r>
        <w:rPr>
          <w:rFonts w:ascii="Arial" w:hAnsi="Arial" w:cs="Arial"/>
          <w:color w:val="333333"/>
          <w:sz w:val="20"/>
          <w:szCs w:val="20"/>
        </w:rPr>
        <w:t xml:space="preserve"> where </w:t>
      </w:r>
      <w:r>
        <w:rPr>
          <w:rFonts w:ascii="Arial" w:hAnsi="Arial" w:cs="Arial"/>
          <w:color w:val="333333"/>
          <w:sz w:val="20"/>
          <w:szCs w:val="20"/>
          <w:u w:val="single"/>
        </w:rPr>
        <w:t>all materials are properly filed</w:t>
      </w:r>
      <w:r>
        <w:rPr>
          <w:rFonts w:ascii="Arial" w:hAnsi="Arial" w:cs="Arial"/>
          <w:color w:val="333333"/>
          <w:sz w:val="20"/>
          <w:szCs w:val="20"/>
        </w:rPr>
        <w:t xml:space="preserve">（所有资料妥善归档）and </w:t>
      </w:r>
      <w:r>
        <w:rPr>
          <w:rFonts w:ascii="Arial" w:hAnsi="Arial" w:cs="Arial"/>
          <w:color w:val="333333"/>
          <w:sz w:val="20"/>
          <w:szCs w:val="20"/>
          <w:u w:val="single"/>
        </w:rPr>
        <w:t>the desk is clear</w:t>
      </w:r>
      <w:r>
        <w:rPr>
          <w:rFonts w:ascii="Arial" w:hAnsi="Arial" w:cs="Arial"/>
          <w:color w:val="333333"/>
          <w:sz w:val="20"/>
          <w:szCs w:val="20"/>
        </w:rPr>
        <w:t xml:space="preserve">, they can more easily enter a state of deep concentration, leading to </w:t>
      </w:r>
      <w:r>
        <w:rPr>
          <w:rFonts w:ascii="Arial" w:hAnsi="Arial" w:cs="Arial"/>
          <w:color w:val="333333"/>
          <w:sz w:val="20"/>
          <w:szCs w:val="20"/>
          <w:u w:val="single"/>
        </w:rPr>
        <w:t>a more accurate and efficiently completed report.</w:t>
      </w:r>
    </w:p>
    <w:p w14:paraId="43F9ECDC">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 xml:space="preserve">For instance, when learning math（学习数学时）, a child might play a game where they guide a friendly robot across different “number islands”（数字小岛）. Each island presents puzzles（谜题） that require adding, subtracting, or estimating（加减或估算） to unlock bridges and continue the journey（解锁桥梁继续前进）. As children solve each problem, they receive cheerful animations（生动的动画效果） and quick feedback（快速反馈） showing why the answer is correct or how to improve next time（为什么答案正确以及如何改进）. This combination of challenge, instant response, and visual reward（挑战、即时回应与视觉奖励的结合） helps deepen understanding（加深理解） and strengthen problem-solving skills（提升解决问题的能力）. </w:t>
      </w:r>
    </w:p>
    <w:p w14:paraId="11046EF9">
      <w:pPr>
        <w:pStyle w:val="43"/>
        <w:numPr>
          <w:ilvl w:val="0"/>
          <w:numId w:val="3"/>
        </w:numPr>
        <w:spacing w:line="288" w:lineRule="auto"/>
        <w:ind w:left="0"/>
        <w:rPr>
          <w:rFonts w:ascii="Arial" w:hAnsi="Arial" w:cs="Arial"/>
          <w:color w:val="333333"/>
          <w:sz w:val="20"/>
          <w:szCs w:val="20"/>
        </w:rPr>
      </w:pPr>
      <w:r>
        <w:rPr>
          <w:rFonts w:ascii="Arial" w:hAnsi="Arial" w:cs="Arial"/>
          <w:color w:val="333333"/>
          <w:sz w:val="20"/>
          <w:szCs w:val="20"/>
        </w:rPr>
        <w:t>Similarly, language-learning games（语言学习游戏） often use animated characters and story-based missions（动画角色和情境任务）. For example, a child may help a lost traveler find the right path（帮助迷路的旅行者找到正确的路） by choosing suitable words or forming complete sentences（选择恰当的单词或组成完整句子）. This meaningful interaction（有意义的互动） turns vocabulary practice into a memorable and enjoyable learning experience（将词汇学习变成一次难忘又有趣的学习体验）.</w:t>
      </w:r>
    </w:p>
    <w:p w14:paraId="4610D189">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To begin with, the break between high school and university provides an invaluable opportunity for self-discovery.</w:t>
      </w:r>
      <w:r>
        <w:rPr>
          <w:rFonts w:ascii="Arial" w:hAnsi="Arial" w:cs="Arial"/>
          <w:color w:val="000000" w:themeColor="text1"/>
          <w:sz w:val="20"/>
          <w:szCs w:val="20"/>
          <w14:textFill>
            <w14:solidFill>
              <w14:schemeClr w14:val="tx1"/>
            </w14:solidFill>
          </w14:textFill>
        </w:rPr>
        <w:t xml:space="preserve"> By stepping away from the constant pressure of academics, students can use this time to reflect on their genuine interests and aspirations, rather than simply their academic performance. For instance, through </w:t>
      </w:r>
      <w:r>
        <w:rPr>
          <w:rFonts w:ascii="Arial" w:hAnsi="Arial" w:cs="Arial"/>
          <w:b/>
          <w:bCs/>
          <w:color w:val="000000" w:themeColor="text1"/>
          <w:sz w:val="20"/>
          <w:szCs w:val="20"/>
          <w:u w:val="single"/>
          <w14:textFill>
            <w14:solidFill>
              <w14:schemeClr w14:val="tx1"/>
            </w14:solidFill>
          </w14:textFill>
        </w:rPr>
        <w:t>volunteering at an animal shelter (在动物收容所做志愿者) or backpacking through a different country (在异国背包旅行)</w:t>
      </w:r>
      <w:r>
        <w:rPr>
          <w:rFonts w:ascii="Arial" w:hAnsi="Arial" w:cs="Arial"/>
          <w:color w:val="000000" w:themeColor="text1"/>
          <w:sz w:val="20"/>
          <w:szCs w:val="20"/>
          <w:u w:val="single"/>
          <w14:textFill>
            <w14:solidFill>
              <w14:schemeClr w14:val="tx1"/>
            </w14:solidFill>
          </w14:textFill>
        </w:rPr>
        <w:t>,</w:t>
      </w:r>
      <w:r>
        <w:rPr>
          <w:rFonts w:ascii="Arial" w:hAnsi="Arial" w:cs="Arial"/>
          <w:color w:val="000000" w:themeColor="text1"/>
          <w:sz w:val="20"/>
          <w:szCs w:val="20"/>
          <w14:textFill>
            <w14:solidFill>
              <w14:schemeClr w14:val="tx1"/>
            </w14:solidFill>
          </w14:textFill>
        </w:rPr>
        <w:t xml:space="preserve"> a young adult might uncover a passion for </w:t>
      </w:r>
      <w:r>
        <w:rPr>
          <w:rFonts w:ascii="Arial" w:hAnsi="Arial" w:cs="Arial"/>
          <w:color w:val="000000" w:themeColor="text1"/>
          <w:sz w:val="20"/>
          <w:szCs w:val="20"/>
          <w:u w:val="single"/>
          <w14:textFill>
            <w14:solidFill>
              <w14:schemeClr w14:val="tx1"/>
            </w14:solidFill>
          </w14:textFill>
        </w:rPr>
        <w:t>veterinary science (兽医学) or anthropology (人类学),</w:t>
      </w:r>
      <w:r>
        <w:rPr>
          <w:rFonts w:ascii="Arial" w:hAnsi="Arial" w:cs="Arial"/>
          <w:color w:val="000000" w:themeColor="text1"/>
          <w:sz w:val="20"/>
          <w:szCs w:val="20"/>
          <w14:textFill>
            <w14:solidFill>
              <w14:schemeClr w14:val="tx1"/>
            </w14:solidFill>
          </w14:textFill>
        </w:rPr>
        <w:t xml:space="preserve"> fields they might not have considered otherwise. This deeper self-awareness allows them to choose a university major that fits their true calling, leading to greater academic engagement and future career satisfaction.</w:t>
      </w:r>
    </w:p>
    <w:p w14:paraId="104BC8A9">
      <w:pPr>
        <w:pStyle w:val="43"/>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首先，高中和大学之间的间隔期为自我发现提供了极其宝贵的机会。通过暂时摆脱学业上的持续压力，学生们可以利用这段时间来思考自己真正的兴趣和抱负，而不仅仅是学业成绩。比如，通过在动物收容所做志愿者或在异国背包旅行，一个年轻人可能会发现自己对兽医学或人类学的热爱，而这些可能是他们之前未曾考虑过的领域。这种更深入的自我认知使他们能够选择与自己真正志向相符的大学专业，从而在学业上更加投入，并在未来的职业生涯中获得更大的满足感。</w:t>
      </w:r>
    </w:p>
    <w:p w14:paraId="7194AADE">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Additionally, a gap year enables graduates to gain substantial real-world experience through internships or meaningful volunteer work.</w:t>
      </w:r>
      <w:r>
        <w:rPr>
          <w:rFonts w:ascii="Arial" w:hAnsi="Arial" w:cs="Arial"/>
          <w:color w:val="000000" w:themeColor="text1"/>
          <w:sz w:val="20"/>
          <w:szCs w:val="20"/>
          <w14:textFill>
            <w14:solidFill>
              <w14:schemeClr w14:val="tx1"/>
            </w14:solidFill>
          </w14:textFill>
        </w:rPr>
        <w:t xml:space="preserve"> By working in a professional environment, </w:t>
      </w:r>
      <w:r>
        <w:rPr>
          <w:rFonts w:ascii="Arial" w:hAnsi="Arial" w:cs="Arial"/>
          <w:b/>
          <w:bCs/>
          <w:color w:val="000000" w:themeColor="text1"/>
          <w:sz w:val="20"/>
          <w:szCs w:val="20"/>
          <w:u w:val="single"/>
          <w14:textFill>
            <w14:solidFill>
              <w14:schemeClr w14:val="tx1"/>
            </w14:solidFill>
          </w14:textFill>
        </w:rPr>
        <w:t xml:space="preserve">such as </w:t>
      </w:r>
      <w:r>
        <w:rPr>
          <w:rFonts w:ascii="Arial" w:hAnsi="Arial" w:cs="Arial"/>
          <w:b/>
          <w:bCs/>
          <w:color w:val="000000" w:themeColor="text1"/>
          <w:sz w:val="20"/>
          <w:szCs w:val="20"/>
          <w:u w:val="single"/>
          <w:rPrChange w:id="0" w:author="Admin" w:date="2025-11-10T22:31:00Z">
            <w:rPr/>
          </w:rPrChange>
          <w14:textFill>
            <w14:solidFill>
              <w14:schemeClr w14:val="tx1"/>
            </w14:solidFill>
          </w14:textFill>
        </w:rPr>
        <w:t>interning at a local marketing firm or volunteering for an environmental NGO.</w:t>
      </w:r>
      <w:r>
        <w:rPr>
          <w:rFonts w:ascii="Arial" w:hAnsi="Arial" w:cs="Arial"/>
          <w:color w:val="000000" w:themeColor="text1"/>
          <w:sz w:val="20"/>
          <w:szCs w:val="20"/>
          <w:rPrChange w:id="1" w:author="Admin" w:date="2025-11-10T22:31:00Z">
            <w:rPr/>
          </w:rPrChange>
          <w14:textFill>
            <w14:solidFill>
              <w14:schemeClr w14:val="tx1"/>
            </w14:solidFill>
          </w14:textFill>
        </w:rPr>
        <w:t xml:space="preserve"> Through these hands-on roles, they acquire tangible professional skills. For example, an </w:t>
      </w:r>
      <w:r>
        <w:rPr>
          <w:rFonts w:ascii="Arial" w:hAnsi="Arial" w:cs="Arial"/>
          <w:b/>
          <w:bCs/>
          <w:color w:val="000000" w:themeColor="text1"/>
          <w:sz w:val="20"/>
          <w:szCs w:val="20"/>
          <w:u w:val="single"/>
          <w:rPrChange w:id="2" w:author="Admin" w:date="2025-11-10T22:31:00Z">
            <w:rPr/>
          </w:rPrChange>
          <w14:textFill>
            <w14:solidFill>
              <w14:schemeClr w14:val="tx1"/>
            </w14:solidFill>
          </w14:textFill>
        </w:rPr>
        <w:t>internship might teach them how to conduct market research and collaborate within a team</w:t>
      </w:r>
      <w:r>
        <w:rPr>
          <w:rFonts w:ascii="Arial" w:hAnsi="Arial" w:cs="Arial"/>
          <w:color w:val="000000" w:themeColor="text1"/>
          <w:sz w:val="20"/>
          <w:szCs w:val="20"/>
          <w:rPrChange w:id="3" w:author="Admin" w:date="2025-11-10T22:31:00Z">
            <w:rPr/>
          </w:rPrChange>
          <w14:textFill>
            <w14:solidFill>
              <w14:schemeClr w14:val="tx1"/>
            </w14:solidFill>
          </w14:textFill>
        </w:rPr>
        <w:t xml:space="preserve">, while volunteer work could develop their </w:t>
      </w:r>
      <w:r>
        <w:rPr>
          <w:rFonts w:ascii="Arial" w:hAnsi="Arial" w:cs="Arial"/>
          <w:b/>
          <w:bCs/>
          <w:color w:val="000000" w:themeColor="text1"/>
          <w:sz w:val="20"/>
          <w:szCs w:val="20"/>
          <w:u w:val="single"/>
          <w:rPrChange w:id="4" w:author="Admin" w:date="2025-11-10T22:31:00Z">
            <w:rPr/>
          </w:rPrChange>
          <w14:textFill>
            <w14:solidFill>
              <w14:schemeClr w14:val="tx1"/>
            </w14:solidFill>
          </w14:textFill>
        </w:rPr>
        <w:t>project management and public speaking abilities as they organize community cleanup events</w:t>
      </w:r>
      <w:r>
        <w:rPr>
          <w:rFonts w:ascii="Arial" w:hAnsi="Arial" w:cs="Arial"/>
          <w:color w:val="000000" w:themeColor="text1"/>
          <w:sz w:val="20"/>
          <w:szCs w:val="20"/>
          <w:rPrChange w:id="5" w:author="Admin" w:date="2025-11-10T22:31:00Z">
            <w:rPr/>
          </w:rPrChange>
          <w14:textFill>
            <w14:solidFill>
              <w14:schemeClr w14:val="tx1"/>
            </w14:solidFill>
          </w14:textFill>
        </w:rPr>
        <w:t>.</w:t>
      </w:r>
      <w:r>
        <w:rPr>
          <w:rFonts w:ascii="Arial" w:hAnsi="Arial" w:cs="Arial"/>
          <w:color w:val="000000" w:themeColor="text1"/>
          <w:sz w:val="20"/>
          <w:szCs w:val="20"/>
          <w14:textFill>
            <w14:solidFill>
              <w14:schemeClr w14:val="tx1"/>
            </w14:solidFill>
          </w14:textFill>
        </w:rPr>
        <w:t xml:space="preserve"> These competencies are not typically taught in a traditional classroom but are indispensable for future success. While some may argue that a gap year is an unnecessary delay, they overlook the profound benefits of using this time effectively; </w:t>
      </w:r>
      <w:r>
        <w:rPr>
          <w:rFonts w:ascii="Arial" w:hAnsi="Arial" w:cs="Arial"/>
          <w:color w:val="000000" w:themeColor="text1"/>
          <w:sz w:val="20"/>
          <w:szCs w:val="20"/>
          <w:u w:val="single"/>
          <w14:textFill>
            <w14:solidFill>
              <w14:schemeClr w14:val="tx1"/>
            </w14:solidFill>
          </w14:textFill>
        </w:rPr>
        <w:t>the personal and professional maturity</w:t>
      </w:r>
      <w:r>
        <w:rPr>
          <w:rFonts w:ascii="Arial" w:hAnsi="Arial" w:cs="Arial"/>
          <w:color w:val="000000" w:themeColor="text1"/>
          <w:sz w:val="20"/>
          <w:szCs w:val="20"/>
          <w14:textFill>
            <w14:solidFill>
              <w14:schemeClr w14:val="tx1"/>
            </w14:solidFill>
          </w14:textFill>
        </w:rPr>
        <w:t xml:space="preserve"> gained far outweighs the perceived drawback of a one-year pause.</w:t>
      </w:r>
    </w:p>
    <w:p w14:paraId="20AC3095">
      <w:pPr>
        <w:pStyle w:val="43"/>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此外，间隔年能让毕业生通过实习或有意义的志愿工作获得大量实际经验。在专业环境中工作，比如在当地一家营销公司实习或为一家环保非政府组织做志愿者。通过这些亲力亲为的角色，他们能获得切实的专业技能。例如，实习可能会教会他们如何进行市场调研以及团队协作，而志愿工作则能培养他们的项目管理和公开演讲能力，因为他们要组织社区清洁活动。这些能力在传统课堂上通常不会教授，但却是未来成功不可或缺的。尽管有人可能认为间隔年是不必要的拖延，但他们忽视了有效利用这段时间所带来的深远益处；个人和职业上的成熟度提升远远超过了暂停一年所带来的所谓弊端。</w:t>
      </w:r>
    </w:p>
    <w:p w14:paraId="0CCEE1F2">
      <w:pPr>
        <w:pStyle w:val="43"/>
        <w:numPr>
          <w:ilvl w:val="0"/>
          <w:numId w:val="3"/>
        </w:numPr>
        <w:spacing w:line="288" w:lineRule="auto"/>
        <w:ind w:left="0"/>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 xml:space="preserve">During peak hours, packed subway and bus cars make commuting extremely unpleasant. During off-peak times, people may have to wait in the cold or heat for an hourly bus, just to avoid missing it. </w:t>
      </w:r>
      <w:r>
        <w:rPr>
          <w:rFonts w:ascii="Arial" w:hAnsi="Arial" w:cs="Arial"/>
          <w:color w:val="000000" w:themeColor="text1"/>
          <w:sz w:val="20"/>
          <w:szCs w:val="20"/>
          <w14:textFill>
            <w14:solidFill>
              <w14:schemeClr w14:val="tx1"/>
            </w14:solidFill>
          </w14:textFill>
        </w:rPr>
        <w:t>在高峰时段，</w:t>
      </w:r>
      <w:r>
        <w:rPr>
          <w:rFonts w:ascii="Arial" w:hAnsi="Arial" w:cs="Arial"/>
          <w:i/>
          <w:iCs/>
          <w:color w:val="000000" w:themeColor="text1"/>
          <w:sz w:val="20"/>
          <w:szCs w:val="20"/>
          <w14:textFill>
            <w14:solidFill>
              <w14:schemeClr w14:val="tx1"/>
            </w14:solidFill>
          </w14:textFill>
        </w:rPr>
        <w:t>拥挤的地铁和公交车厢让通勤体验变得非常糟糕。而在非高峰时段，为了赶上一小时一班的公交车，人们可能需要在寒风或酷暑中等待很久。</w:t>
      </w:r>
    </w:p>
    <w:p w14:paraId="030E5FE2">
      <w:pPr>
        <w:pStyle w:val="43"/>
        <w:numPr>
          <w:ilvl w:val="0"/>
          <w:numId w:val="3"/>
        </w:numPr>
        <w:spacing w:line="288" w:lineRule="auto"/>
        <w:ind w:left="0"/>
        <w:rPr>
          <w:rFonts w:ascii="Arial" w:hAnsi="Arial" w:cs="Arial"/>
          <w:i/>
          <w:iCs/>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If inefficiency causes most people, especially car owners, to avoid public transportation, then the government’s heavy tax investment in a poorly utilized free system results in massive resource waste. 如果因为效率问题，大部分人（尤其是有车一族）依然不选择公共交通，那么政府投入巨额税收维持一个低使用率的免费系统，就构成了巨大的资源浪费。</w:t>
      </w:r>
    </w:p>
    <w:p w14:paraId="0F0A7959">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For residents living in suburban areas where public transit networks are weak, they almost never use public transportation but still have to pay extra taxes. This represents an unfair burden for them. 对于居住在郊区、公共交通网络本就不发达的居民来说，他们几乎从不使用公共交通，但同样需要缴纳额外的税款。这对于他们来说是一种不公平的负担。</w:t>
      </w:r>
    </w:p>
    <w:p w14:paraId="6A4ABE87">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The government should prioritize providing subsidiary resources (财政补助资源) to young people because they bear the tightest financial burdens (承受最沉重的经济负担) within society. </w:t>
      </w:r>
    </w:p>
    <w:p w14:paraId="499802CB">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Young people tend to have higher expenditures as they must invest heavily in (大量投入) their education, career development, and establishing a household (成家立业). For example, a college education in the U.S. can cost more than USD 60,000 per year. </w:t>
      </w:r>
    </w:p>
    <w:p w14:paraId="640CE4C2">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Furthermore, apartment rents are rarely below USD 1,500 per month for graduates job hunting (找工作) in metropolises (大都市) like Los Angeles, New York City, or Chicago. When they try to start a family (组建家庭), a housing mortgage (住房抵押贷款) and automobile purchase place even tougher pressure on their shoulders. </w:t>
      </w:r>
    </w:p>
    <w:p w14:paraId="662417AA">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1A1C1E"/>
          <w:sz w:val="22"/>
          <w:szCs w:val="22"/>
          <w:highlight w:val="yellow"/>
          <w:shd w:val="clear" w:color="auto" w:fill="FFFFFF"/>
        </w:rPr>
        <w:t>Unfortunately,</w:t>
      </w:r>
      <w:r>
        <w:rPr>
          <w:rFonts w:ascii="Arial" w:hAnsi="Arial" w:cs="Arial"/>
          <w:color w:val="1A1C1E"/>
          <w:sz w:val="22"/>
          <w:szCs w:val="22"/>
          <w:shd w:val="clear" w:color="auto" w:fill="FFFFFF"/>
        </w:rPr>
        <w:t xml:space="preserve"> younger people usually have lower and less stable incomes, as they mostly rely on their working salaries (依赖工作薪水) rather than assets. Yet, the potential for lay-offs (潜在的裁员风险) by large corporations is always looming (时刻笼罩着). </w:t>
      </w:r>
    </w:p>
    <w:p w14:paraId="72F0EA08">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In contrast (相比之下), senior citizens in most cases receive pensions and other social security benefits (社会保障福利) from existing governmental programs and tend to have long-term savings (长期储蓄) from their earlier lives and careers. Therefore, the government should subsidize young people as a priority (作为优先事项). </w:t>
      </w:r>
    </w:p>
    <w:p w14:paraId="3CFA41D1">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The government should not offer financial assistance (财政援助) to artists because public resources (公共资源) should always be directed toward fields that promote general social welfare (促进普遍的社会福祉). </w:t>
      </w:r>
    </w:p>
    <w:p w14:paraId="1C5029D8">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1A1C1E"/>
          <w:sz w:val="22"/>
          <w:szCs w:val="22"/>
          <w:shd w:val="clear" w:color="auto" w:fill="FFFFFF"/>
        </w:rPr>
        <w:t>For one thing, there are multiple critical social pillars (关键的社会支柱) impacting people’s daily lives, and the government holds full responsibility (承担全部责任) for these areas.</w:t>
      </w:r>
      <w:r>
        <w:rPr>
          <w:rFonts w:ascii="Arial" w:hAnsi="Arial" w:cs="Arial"/>
          <w:color w:val="1A1C1E"/>
          <w:sz w:val="22"/>
          <w:szCs w:val="22"/>
          <w:shd w:val="clear" w:color="auto" w:fill="FFFFFF"/>
        </w:rPr>
        <w:t xml:space="preserve"> For example, one-third of the U.S. federal budget is spent on Medicare and Medicaid, which cover healthcare costs for the elderly and the poor (老年人和穷人). </w:t>
      </w:r>
    </w:p>
    <w:p w14:paraId="27B913E8">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Additionally, pensions and veteran support (退伍军人支持) are pivotal to the well-being (对...的福祉至关重要) of essential groups in our society. Focusing on these groups makes society more stable. </w:t>
      </w:r>
    </w:p>
    <w:p w14:paraId="09EFCD0E">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1A1C1E"/>
          <w:sz w:val="22"/>
          <w:szCs w:val="22"/>
          <w:shd w:val="clear" w:color="auto" w:fill="FFFFFF"/>
        </w:rPr>
        <w:t>For another, artists and the art industry are in most cases profitable (在大多数情况下是有利可图的); they can be self-sustaining (自给自足) and develop based on the principle of free competition (自由竞争原则) without interfering with public life (干预公共生活).</w:t>
      </w:r>
      <w:r>
        <w:rPr>
          <w:rFonts w:ascii="Arial" w:hAnsi="Arial" w:cs="Arial"/>
          <w:color w:val="1A1C1E"/>
          <w:sz w:val="22"/>
          <w:szCs w:val="22"/>
          <w:shd w:val="clear" w:color="auto" w:fill="FFFFFF"/>
        </w:rPr>
        <w:t xml:space="preserve"> </w:t>
      </w:r>
    </w:p>
    <w:p w14:paraId="6B603A01">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If governmental funds were poured into these areas (投入到这些领域), it would worsen the administration's overall capacity (削弱政府的整体能力) to address other issues that may cause larger negative impacts (更大的负面影响), such as poverty, crime, and reduced disability benefits (残疾福利削减). </w:t>
      </w:r>
    </w:p>
    <w:p w14:paraId="7C293AA5">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Consequently, a larger number of citizens’ lives would worsen because of such an investment. Although some forms of support may be reasonable, most public funds should not be spent on artists and related industries (相关产业). </w:t>
      </w:r>
    </w:p>
    <w:p w14:paraId="438DB972">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Social media should be regulated by the government because government oversight (政府监管) is the only effective way to regulate these platforms. </w:t>
      </w:r>
    </w:p>
    <w:p w14:paraId="1B81E9CF">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1A1C1E"/>
          <w:sz w:val="22"/>
          <w:szCs w:val="22"/>
          <w:shd w:val="clear" w:color="auto" w:fill="FFFFFF"/>
        </w:rPr>
        <w:t xml:space="preserve">Firstly, no entity besides the government has the ability to regulate the platforms. </w:t>
      </w:r>
      <w:r>
        <w:rPr>
          <w:rFonts w:ascii="Arial" w:hAnsi="Arial" w:cs="Arial"/>
          <w:color w:val="1A1C1E"/>
          <w:sz w:val="22"/>
          <w:szCs w:val="22"/>
          <w:shd w:val="clear" w:color="auto" w:fill="FFFFFF"/>
        </w:rPr>
        <w:t xml:space="preserve">The volume of data (数据量) and the technical complexity (技术复杂性) of modern social media are far beyond the reach of self-regulation (超出了自我监管的能力范围). </w:t>
      </w:r>
    </w:p>
    <w:p w14:paraId="551D70D0">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For instance, over a million tweets are generated on X per second, and more than 100,000 new short-form videos (短视频) are produced on Instagram daily. Only governments are capable of leveraging sufficient technical and human resources (利用足够的技术和人力资源) to manage and vet all the information (审查所有信息) generated through social media. </w:t>
      </w:r>
    </w:p>
    <w:p w14:paraId="25CCBDC0">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1A1C1E"/>
          <w:sz w:val="22"/>
          <w:szCs w:val="22"/>
          <w:shd w:val="clear" w:color="auto" w:fill="FFFFFF"/>
        </w:rPr>
        <w:t>Secondly, social media companies are unwilling to regulate themselves effectively due to their profit motive (出于其利润动机).</w:t>
      </w:r>
      <w:r>
        <w:rPr>
          <w:rFonts w:ascii="Arial" w:hAnsi="Arial" w:cs="Arial"/>
          <w:color w:val="1A1C1E"/>
          <w:sz w:val="22"/>
          <w:szCs w:val="22"/>
          <w:shd w:val="clear" w:color="auto" w:fill="FFFFFF"/>
        </w:rPr>
        <w:t xml:space="preserve"> Their financial performance depends on the volume of content generated, the number of followers, and the frequency of reposts. </w:t>
      </w:r>
    </w:p>
    <w:p w14:paraId="7E034796">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Therefore, the platforms lack a genuine motivation (缺乏真正的动力) to control and regularly purge potentially harmful misinformation (清除潜在的有害虚假信息). </w:t>
      </w:r>
    </w:p>
    <w:p w14:paraId="1659DEBF">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While platforms do implement some self-management policies, such as parental controls (家长控制模式), the government must play the vital role (发挥关键作用) in regulation. </w:t>
      </w:r>
    </w:p>
    <w:p w14:paraId="3B5B57C0">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Space exploration is not a good use of government spending and resources (政府开支和资源的良善利用) because many more important and urgent social issues (紧迫的社会问题) exist. </w:t>
      </w:r>
    </w:p>
    <w:p w14:paraId="7F2CBF1A">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b/>
          <w:bCs/>
          <w:color w:val="1A1C1E"/>
          <w:sz w:val="22"/>
          <w:szCs w:val="22"/>
          <w:shd w:val="clear" w:color="auto" w:fill="FFFFFF"/>
        </w:rPr>
        <w:t>Firstly, space exploration has very little impact on (对...影响甚微) people’s daily lives, and the government's responsibilities should always focus on general social welfare (普遍的社会福祉).</w:t>
      </w:r>
    </w:p>
    <w:p w14:paraId="587142C6">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For example, social security programs (社会保障项目) like Medicaid, Medicare, pensions, disability benefits (残疾人福利), and veteran support cover almost half of the entire U.S. population, and the federal budget faces a large deficit (面临巨大赤字) in funding these necessary programs. </w:t>
      </w:r>
    </w:p>
    <w:p w14:paraId="1510051B">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Therefore, less impactful areas (影响较小的领域) such as space research should be kept at a minimum level (保持在最低水平). </w:t>
      </w:r>
    </w:p>
    <w:p w14:paraId="04DD516B">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 xml:space="preserve">Secondly, space programs do not produce a guaranteed return on investment (ROI) (有保证的投资回报率). Past events have indicated that a space shuttle (航天飞机) or a space prospecting journey (太空探索之旅) may produce nothing valuable even after a mission of tens of years. </w:t>
      </w:r>
    </w:p>
    <w:p w14:paraId="41E994C4">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color w:val="1A1C1E"/>
          <w:sz w:val="22"/>
          <w:szCs w:val="22"/>
          <w:shd w:val="clear" w:color="auto" w:fill="FFFFFF"/>
        </w:rPr>
        <w:t>Public funds should be put into tracks where every penny has a way of benefiting people's daily lives (有益于人民的日常生活). Although space research may be allocated some government funds, it is not a good program for the public sector to prioritize (不是公共部门应该优先考虑的好项目).</w:t>
      </w:r>
    </w:p>
    <w:p w14:paraId="3CCD1F0F">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I believe the biggest mistake people make when purchasing technology products is prioritizing performance (将性能放在首位), as this mindset (思维定式) often causes significant financial loss and waste (巨大的经济损失和浪费). </w:t>
      </w:r>
    </w:p>
    <w:p w14:paraId="787174A0">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First, the performance of a technology product is highly correlated with its cost (与其成本高度相关). For example, Apple MacBooks with larger storage or more powerful CPU/GPU chips can cost one to two thousand dollars more than lower-end models (低端型号). Pursuing performance first (优先追求性能) can place a heavy financial burden (沉重的经济负担) on consumers, who may not even use all the device's functions throughout its lifecycle (在整个生命周期中). </w:t>
      </w:r>
    </w:p>
    <w:p w14:paraId="523A26D5">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The situation is even worse for young people, such as college students. These individuals could have allocated those funds (分配这些资金) to more meaningful areas like housing, dining, transportation, and textbooks. </w:t>
      </w:r>
    </w:p>
    <w:p w14:paraId="44F759AC">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Besides, a higher cost for better performance does not necessarily lead to higher productivity (更高的生产力), as most use cases (使用场景), such as word processing, spreadsheets, and presentations, do not require high computational power (高计算能力). Therefore, it is a great financial waste and burden for people to put performance first when buying technology products.</w:t>
      </w:r>
    </w:p>
    <w:p w14:paraId="5FA58D7C">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I consider AI a powerful tool for humanity in general because it provides a tremendous boost in productivity (生产力的巨大提升) to solve people’s problems and uplifts the overall efficiency (提升整体效率) of society. </w:t>
      </w:r>
    </w:p>
    <w:p w14:paraId="26868FAE">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Firstly, AI, commonly represented by large language models (LLMs) (大型语言模型) nowadays, has already become a helpful assistant in many white-collar industries (白领行业). </w:t>
      </w:r>
    </w:p>
    <w:p w14:paraId="04A90648">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For instance, financial professionals (金融专业人士) such as traders and analysts use LLMs to predict and evaluate equity market trends (预测和评估股市趋势). Project managers also use AI to generate detailed slides and diagrams, illustrating progress in a much shorter period. </w:t>
      </w:r>
    </w:p>
    <w:p w14:paraId="5C22AEBA">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Secondly, AI enables automation (实现自动化) in many blue-collar sectors (蓝领行业), such as automaking, mining, and energy production. It can monitor and adjust the operational processes (监控和调整操作流程) of machines 24/7, reducing the need for on-site human workers (现场的真人工作者) and sharply bringing down overall costs. </w:t>
      </w:r>
    </w:p>
    <w:p w14:paraId="4BFC738D">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Companies utilizing AI can reinvest these additional resources and productivity gains (再投资这些额外的资源和生产力收益) into research and development (研发) to create better products and offer richer services. </w:t>
      </w:r>
    </w:p>
    <w:p w14:paraId="5888C7A6">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Although we must admit that AI also brings some ethical issues (伦理问题) and a rise in unemployment, it is the definitive needle-mover (决定性的推动力) for increasing the overall benefit for humankind.</w:t>
      </w:r>
    </w:p>
    <w:p w14:paraId="0A1C5DD2">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I believe automation is a positive booster (积极的推动力) for economic development (经济发展) and benefits the broader society because it not only enhances efficiency (提升效率) but also reduces risks for humans in various working scenarios (工作场景). </w:t>
      </w:r>
    </w:p>
    <w:p w14:paraId="4F20B6DF">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First, automation has already proven itself to be a key factor for efficiency in multiple white-collar industries. For instance, stock traders use automation to make deals and monitor equity prices on a 24/7 basis, and such practices increase profitability (增加盈利能力) for many major funds and asset management companies (资产管理公司). </w:t>
      </w:r>
    </w:p>
    <w:p w14:paraId="6A82D278">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Project managers in technology companies also leverage automation (利用自动化) to produce diagrams, spreadsheets, and data analysis in a much shorter period, bringing down operational costs (降低运营成本) as well. </w:t>
      </w:r>
    </w:p>
    <w:p w14:paraId="435B5338">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Second, automation replaces numerous workers with machines in blue-collar industries such as manufacturing, mining, and oil production, keeping humans away from hazardous conditions (危险环境).</w:t>
      </w:r>
    </w:p>
    <w:p w14:paraId="274DFF6E">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Consequently, the overall occupational hazard rates (职业危害率) across various industrial and agricultural sectors have also been brought down by automation from a long-term perspective (从长远来看). Even though automation may cause some unemployment issues in certain industries, it is undoubtedly escalating the overall economy and society. </w:t>
      </w:r>
    </w:p>
    <w:p w14:paraId="5DA7B8DA">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I consider the smartphone a device that positively impacts (产生积极影响) people's communication because it not only brings convenience (带来便利) but also slashes costs (大幅削减成本). </w:t>
      </w:r>
    </w:p>
    <w:p w14:paraId="60C8A956">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First, the smartphone is a great invention that enables people to connect with one another from anywhere at any time. In previous decades, people who were far apart could only be linked by telephone, telegraph, or even physical paper letters (实体信件), all of which took days, weeks, or even months. </w:t>
      </w:r>
    </w:p>
    <w:p w14:paraId="7FD1C566">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 xml:space="preserve">However, smartphones make communication instantaneous (即时通讯) and available in any way that people prefer, such as vocal, text, or video. Second, smartphones have also boosted the rapid development (推动了快速发展) of cellular networks (蜂窝网络) and broadband internet access (宽带互联网接入). </w:t>
      </w:r>
    </w:p>
    <w:p w14:paraId="6E4F832C">
      <w:pPr>
        <w:pStyle w:val="43"/>
        <w:numPr>
          <w:ilvl w:val="0"/>
          <w:numId w:val="3"/>
        </w:numPr>
        <w:spacing w:line="288" w:lineRule="auto"/>
        <w:ind w:left="0"/>
        <w:rPr>
          <w:rFonts w:ascii="Arial" w:hAnsi="Arial" w:cs="Arial"/>
          <w:color w:val="000000" w:themeColor="text1"/>
          <w:sz w:val="20"/>
          <w:szCs w:val="20"/>
          <w14:textFill>
            <w14:solidFill>
              <w14:schemeClr w14:val="tx1"/>
            </w14:solidFill>
          </w14:textFill>
        </w:rPr>
      </w:pPr>
      <w:r>
        <w:rPr>
          <w:rFonts w:ascii="Arial" w:hAnsi="Arial" w:cs="Arial"/>
          <w:sz w:val="22"/>
          <w:szCs w:val="22"/>
        </w:rPr>
        <w:t>Nowadays, people can spend as little as $20 for unlimited mobile data (无限移动数据) or calling minutes, which has driven the communication cost with others down to nearly zero. Those savings can help build a better quality of life (生活质量) in many other areas, like food, transportation, and education. Therefore, the smartphone is a positive tool for people to communicate with each other.</w:t>
      </w:r>
    </w:p>
    <w:p w14:paraId="0721FBD3">
      <w:pPr>
        <w:pStyle w:val="43"/>
        <w:spacing w:line="288" w:lineRule="auto"/>
        <w:ind w:left="0"/>
        <w:rPr>
          <w:rFonts w:ascii="Arial" w:hAnsi="Arial" w:cs="Arial"/>
          <w:color w:val="000000" w:themeColor="text1"/>
          <w:sz w:val="20"/>
          <w:szCs w:val="20"/>
          <w14:textFill>
            <w14:solidFill>
              <w14:schemeClr w14:val="tx1"/>
            </w14:solidFill>
          </w14:textFill>
        </w:rPr>
      </w:pPr>
    </w:p>
    <w:p w14:paraId="16F5462F">
      <w:pPr>
        <w:spacing w:line="288" w:lineRule="auto"/>
        <w:rPr>
          <w:rFonts w:ascii="Arial" w:hAnsi="Arial" w:cs="Arial"/>
          <w:color w:val="333333"/>
          <w:sz w:val="20"/>
          <w:szCs w:val="20"/>
        </w:rPr>
      </w:pPr>
    </w:p>
    <w:sectPr>
      <w:footerReference r:id="rId3" w:type="default"/>
      <w:footerReference r:id="rId4"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PingFang SC">
    <w:altName w:val="宋体"/>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7"/>
      </w:rPr>
      <w:id w:val="-75817519"/>
      <w:docPartObj>
        <w:docPartGallery w:val="autotext"/>
      </w:docPartObj>
    </w:sdtPr>
    <w:sdtEndPr>
      <w:rPr>
        <w:rStyle w:val="27"/>
      </w:rPr>
    </w:sdtEndPr>
    <w:sdtContent>
      <w:p w14:paraId="7F542EAB">
        <w:pPr>
          <w:pStyle w:val="15"/>
          <w:framePr w:wrap="auto" w:vAnchor="text" w:hAnchor="margin" w:xAlign="right" w:y="1"/>
          <w:rPr>
            <w:rStyle w:val="27"/>
          </w:rPr>
        </w:pPr>
        <w:r>
          <w:rPr>
            <w:rStyle w:val="27"/>
          </w:rPr>
          <w:fldChar w:fldCharType="begin"/>
        </w:r>
        <w:r>
          <w:rPr>
            <w:rStyle w:val="27"/>
          </w:rPr>
          <w:instrText xml:space="preserve"> PAGE </w:instrText>
        </w:r>
        <w:r>
          <w:rPr>
            <w:rStyle w:val="27"/>
          </w:rPr>
          <w:fldChar w:fldCharType="separate"/>
        </w:r>
        <w:r>
          <w:rPr>
            <w:rStyle w:val="27"/>
          </w:rPr>
          <w:t>1</w:t>
        </w:r>
        <w:r>
          <w:rPr>
            <w:rStyle w:val="27"/>
          </w:rPr>
          <w:fldChar w:fldCharType="end"/>
        </w:r>
      </w:p>
    </w:sdtContent>
  </w:sdt>
  <w:p w14:paraId="07A27AF8">
    <w:pPr>
      <w:pStyle w:val="1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7"/>
      </w:rPr>
      <w:id w:val="-344710775"/>
      <w:docPartObj>
        <w:docPartGallery w:val="autotext"/>
      </w:docPartObj>
    </w:sdtPr>
    <w:sdtEndPr>
      <w:rPr>
        <w:rStyle w:val="27"/>
      </w:rPr>
    </w:sdtEndPr>
    <w:sdtContent>
      <w:p w14:paraId="6114159E">
        <w:pPr>
          <w:pStyle w:val="15"/>
          <w:framePr w:wrap="auto" w:vAnchor="text" w:hAnchor="margin" w:xAlign="right" w:y="1"/>
          <w:rPr>
            <w:rStyle w:val="27"/>
          </w:rPr>
        </w:pPr>
        <w:r>
          <w:rPr>
            <w:rStyle w:val="27"/>
          </w:rPr>
          <w:fldChar w:fldCharType="begin"/>
        </w:r>
        <w:r>
          <w:rPr>
            <w:rStyle w:val="27"/>
          </w:rPr>
          <w:instrText xml:space="preserve"> PAGE </w:instrText>
        </w:r>
        <w:r>
          <w:rPr>
            <w:rStyle w:val="27"/>
          </w:rPr>
          <w:fldChar w:fldCharType="end"/>
        </w:r>
      </w:p>
    </w:sdtContent>
  </w:sdt>
  <w:p w14:paraId="48362AC8">
    <w:pPr>
      <w:pStyle w:val="1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37774"/>
    <w:multiLevelType w:val="multilevel"/>
    <w:tmpl w:val="30B37774"/>
    <w:lvl w:ilvl="0" w:tentative="0">
      <w:start w:val="1"/>
      <w:numFmt w:val="decimal"/>
      <w:lvlText w:val="%1."/>
      <w:lvlJc w:val="left"/>
      <w:pPr>
        <w:ind w:left="440" w:hanging="440"/>
      </w:pPr>
    </w:lvl>
    <w:lvl w:ilvl="1" w:tentative="0">
      <w:start w:val="1"/>
      <w:numFmt w:val="decimal"/>
      <w:lvlText w:val="（%2）"/>
      <w:lvlJc w:val="left"/>
      <w:pPr>
        <w:ind w:left="1160" w:hanging="720"/>
      </w:pPr>
      <w:rPr>
        <w:rFonts w:hint="default"/>
        <w:b/>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8081ADC"/>
    <w:multiLevelType w:val="multilevel"/>
    <w:tmpl w:val="48081AD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562F0EF1"/>
    <w:multiLevelType w:val="multilevel"/>
    <w:tmpl w:val="562F0EF1"/>
    <w:lvl w:ilvl="0" w:tentative="0">
      <w:start w:val="1"/>
      <w:numFmt w:val="japaneseCounting"/>
      <w:lvlText w:val="%1．"/>
      <w:lvlJc w:val="left"/>
      <w:pPr>
        <w:ind w:left="960" w:hanging="9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38B"/>
    <w:rsid w:val="00014810"/>
    <w:rsid w:val="00034675"/>
    <w:rsid w:val="00045FA9"/>
    <w:rsid w:val="00061C75"/>
    <w:rsid w:val="000659E7"/>
    <w:rsid w:val="000A5D3F"/>
    <w:rsid w:val="000B29B0"/>
    <w:rsid w:val="000C4529"/>
    <w:rsid w:val="000E30D5"/>
    <w:rsid w:val="000F2C89"/>
    <w:rsid w:val="00113290"/>
    <w:rsid w:val="00114A7F"/>
    <w:rsid w:val="001158CA"/>
    <w:rsid w:val="001256FC"/>
    <w:rsid w:val="00154A5B"/>
    <w:rsid w:val="00156480"/>
    <w:rsid w:val="001804F7"/>
    <w:rsid w:val="001B0871"/>
    <w:rsid w:val="001B2953"/>
    <w:rsid w:val="001B5DBC"/>
    <w:rsid w:val="001D6D4E"/>
    <w:rsid w:val="001E15B6"/>
    <w:rsid w:val="00204B4C"/>
    <w:rsid w:val="00224884"/>
    <w:rsid w:val="00244774"/>
    <w:rsid w:val="00281E00"/>
    <w:rsid w:val="002F3402"/>
    <w:rsid w:val="002F3F03"/>
    <w:rsid w:val="00301EF5"/>
    <w:rsid w:val="00303B42"/>
    <w:rsid w:val="003162AF"/>
    <w:rsid w:val="00327E6D"/>
    <w:rsid w:val="00333B2D"/>
    <w:rsid w:val="0034023D"/>
    <w:rsid w:val="003B5B80"/>
    <w:rsid w:val="003C43D3"/>
    <w:rsid w:val="003D6B0A"/>
    <w:rsid w:val="003F3B7F"/>
    <w:rsid w:val="004167A7"/>
    <w:rsid w:val="00462D4A"/>
    <w:rsid w:val="004655DA"/>
    <w:rsid w:val="004718F1"/>
    <w:rsid w:val="004819AE"/>
    <w:rsid w:val="00491562"/>
    <w:rsid w:val="00492650"/>
    <w:rsid w:val="00493DFC"/>
    <w:rsid w:val="004E0273"/>
    <w:rsid w:val="004E27E0"/>
    <w:rsid w:val="004F3D5B"/>
    <w:rsid w:val="00510C48"/>
    <w:rsid w:val="00532006"/>
    <w:rsid w:val="00572FAA"/>
    <w:rsid w:val="0058539C"/>
    <w:rsid w:val="0059752C"/>
    <w:rsid w:val="005A32F1"/>
    <w:rsid w:val="005A701E"/>
    <w:rsid w:val="005E3583"/>
    <w:rsid w:val="005F7953"/>
    <w:rsid w:val="0060434F"/>
    <w:rsid w:val="0061605C"/>
    <w:rsid w:val="006466CA"/>
    <w:rsid w:val="00682946"/>
    <w:rsid w:val="006913E4"/>
    <w:rsid w:val="006C4D84"/>
    <w:rsid w:val="006E67DE"/>
    <w:rsid w:val="006F7BDF"/>
    <w:rsid w:val="007247CF"/>
    <w:rsid w:val="007422E2"/>
    <w:rsid w:val="00794AE8"/>
    <w:rsid w:val="007D62A0"/>
    <w:rsid w:val="007E58D1"/>
    <w:rsid w:val="007F1B8F"/>
    <w:rsid w:val="0082168A"/>
    <w:rsid w:val="008229BB"/>
    <w:rsid w:val="00842EDD"/>
    <w:rsid w:val="008435D4"/>
    <w:rsid w:val="0084735F"/>
    <w:rsid w:val="008935FF"/>
    <w:rsid w:val="008C774A"/>
    <w:rsid w:val="008D5194"/>
    <w:rsid w:val="008E79D1"/>
    <w:rsid w:val="00927DD5"/>
    <w:rsid w:val="00960208"/>
    <w:rsid w:val="00982D50"/>
    <w:rsid w:val="0098313B"/>
    <w:rsid w:val="009C1B06"/>
    <w:rsid w:val="009C30D1"/>
    <w:rsid w:val="00A0239E"/>
    <w:rsid w:val="00A176E9"/>
    <w:rsid w:val="00A25D26"/>
    <w:rsid w:val="00A324B2"/>
    <w:rsid w:val="00A339EF"/>
    <w:rsid w:val="00A42E60"/>
    <w:rsid w:val="00A45096"/>
    <w:rsid w:val="00A544ED"/>
    <w:rsid w:val="00A63CBF"/>
    <w:rsid w:val="00A651D5"/>
    <w:rsid w:val="00A73084"/>
    <w:rsid w:val="00A75974"/>
    <w:rsid w:val="00AB6A64"/>
    <w:rsid w:val="00AC093D"/>
    <w:rsid w:val="00AE3CCD"/>
    <w:rsid w:val="00B53264"/>
    <w:rsid w:val="00BB4D29"/>
    <w:rsid w:val="00BD28CD"/>
    <w:rsid w:val="00BD2E3B"/>
    <w:rsid w:val="00BE01BF"/>
    <w:rsid w:val="00BF02CA"/>
    <w:rsid w:val="00BF345B"/>
    <w:rsid w:val="00BF694D"/>
    <w:rsid w:val="00C003C8"/>
    <w:rsid w:val="00C42CFE"/>
    <w:rsid w:val="00C431E2"/>
    <w:rsid w:val="00C64193"/>
    <w:rsid w:val="00C7250E"/>
    <w:rsid w:val="00CB0779"/>
    <w:rsid w:val="00CB3804"/>
    <w:rsid w:val="00CC5096"/>
    <w:rsid w:val="00D15CE0"/>
    <w:rsid w:val="00D3138B"/>
    <w:rsid w:val="00D41199"/>
    <w:rsid w:val="00D45CC6"/>
    <w:rsid w:val="00D5112C"/>
    <w:rsid w:val="00D53C00"/>
    <w:rsid w:val="00D84D98"/>
    <w:rsid w:val="00D870DB"/>
    <w:rsid w:val="00D918D8"/>
    <w:rsid w:val="00D9197B"/>
    <w:rsid w:val="00D956AE"/>
    <w:rsid w:val="00DB5C9D"/>
    <w:rsid w:val="00DE415B"/>
    <w:rsid w:val="00E21D30"/>
    <w:rsid w:val="00E37119"/>
    <w:rsid w:val="00E4040C"/>
    <w:rsid w:val="00E72F2C"/>
    <w:rsid w:val="00EB4209"/>
    <w:rsid w:val="00EC7B4F"/>
    <w:rsid w:val="00ED14DC"/>
    <w:rsid w:val="00ED2885"/>
    <w:rsid w:val="00ED72B4"/>
    <w:rsid w:val="00EE1CFB"/>
    <w:rsid w:val="00F03DA1"/>
    <w:rsid w:val="00F11692"/>
    <w:rsid w:val="00F2768C"/>
    <w:rsid w:val="00F41E05"/>
    <w:rsid w:val="00F81500"/>
    <w:rsid w:val="00F83020"/>
    <w:rsid w:val="00F86904"/>
    <w:rsid w:val="00F8700D"/>
    <w:rsid w:val="00F920D4"/>
    <w:rsid w:val="00FB1633"/>
    <w:rsid w:val="00FB5F5F"/>
    <w:rsid w:val="00FC769D"/>
    <w:rsid w:val="00FC7E0B"/>
    <w:rsid w:val="00FD613C"/>
    <w:rsid w:val="00FE233E"/>
    <w:rsid w:val="1FD30565"/>
    <w:rsid w:val="31981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2"/>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3"/>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5">
    <w:name w:val="Default Paragraph Font"/>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ind w:left="1260"/>
      <w:jc w:val="left"/>
    </w:pPr>
    <w:rPr>
      <w:rFonts w:eastAsiaTheme="minorHAnsi"/>
      <w:sz w:val="20"/>
      <w:szCs w:val="20"/>
    </w:rPr>
  </w:style>
  <w:style w:type="paragraph" w:styleId="12">
    <w:name w:val="toc 5"/>
    <w:basedOn w:val="1"/>
    <w:next w:val="1"/>
    <w:autoRedefine/>
    <w:unhideWhenUsed/>
    <w:qFormat/>
    <w:uiPriority w:val="39"/>
    <w:pPr>
      <w:ind w:left="840"/>
      <w:jc w:val="left"/>
    </w:pPr>
    <w:rPr>
      <w:rFonts w:eastAsiaTheme="minorHAnsi"/>
      <w:sz w:val="20"/>
      <w:szCs w:val="20"/>
    </w:rPr>
  </w:style>
  <w:style w:type="paragraph" w:styleId="13">
    <w:name w:val="toc 3"/>
    <w:basedOn w:val="1"/>
    <w:next w:val="1"/>
    <w:autoRedefine/>
    <w:unhideWhenUsed/>
    <w:uiPriority w:val="39"/>
    <w:pPr>
      <w:ind w:left="420"/>
      <w:jc w:val="left"/>
    </w:pPr>
    <w:rPr>
      <w:rFonts w:eastAsiaTheme="minorHAnsi"/>
      <w:sz w:val="20"/>
      <w:szCs w:val="20"/>
    </w:rPr>
  </w:style>
  <w:style w:type="paragraph" w:styleId="14">
    <w:name w:val="toc 8"/>
    <w:basedOn w:val="1"/>
    <w:next w:val="1"/>
    <w:autoRedefine/>
    <w:unhideWhenUsed/>
    <w:uiPriority w:val="39"/>
    <w:pPr>
      <w:ind w:left="1470"/>
      <w:jc w:val="left"/>
    </w:pPr>
    <w:rPr>
      <w:rFonts w:eastAsiaTheme="minorHAnsi"/>
      <w:sz w:val="20"/>
      <w:szCs w:val="20"/>
    </w:rPr>
  </w:style>
  <w:style w:type="paragraph" w:styleId="15">
    <w:name w:val="footer"/>
    <w:basedOn w:val="1"/>
    <w:link w:val="53"/>
    <w:unhideWhenUsed/>
    <w:qFormat/>
    <w:uiPriority w:val="99"/>
    <w:pPr>
      <w:tabs>
        <w:tab w:val="center" w:pos="4153"/>
        <w:tab w:val="right" w:pos="8306"/>
      </w:tabs>
      <w:snapToGrid w:val="0"/>
      <w:jc w:val="left"/>
    </w:pPr>
    <w:rPr>
      <w:sz w:val="18"/>
      <w:szCs w:val="18"/>
    </w:rPr>
  </w:style>
  <w:style w:type="paragraph" w:styleId="16">
    <w:name w:val="toc 1"/>
    <w:basedOn w:val="1"/>
    <w:next w:val="1"/>
    <w:autoRedefine/>
    <w:unhideWhenUsed/>
    <w:qFormat/>
    <w:uiPriority w:val="39"/>
    <w:pPr>
      <w:spacing w:before="240" w:after="120"/>
      <w:jc w:val="left"/>
    </w:pPr>
    <w:rPr>
      <w:rFonts w:eastAsiaTheme="minorHAnsi"/>
      <w:b/>
      <w:bCs/>
      <w:sz w:val="20"/>
      <w:szCs w:val="20"/>
    </w:rPr>
  </w:style>
  <w:style w:type="paragraph" w:styleId="17">
    <w:name w:val="toc 4"/>
    <w:basedOn w:val="1"/>
    <w:next w:val="1"/>
    <w:autoRedefine/>
    <w:unhideWhenUsed/>
    <w:qFormat/>
    <w:uiPriority w:val="39"/>
    <w:pPr>
      <w:ind w:left="630"/>
      <w:jc w:val="left"/>
    </w:pPr>
    <w:rPr>
      <w:rFonts w:eastAsiaTheme="minorHAnsi"/>
      <w:sz w:val="20"/>
      <w:szCs w:val="20"/>
    </w:rPr>
  </w:style>
  <w:style w:type="paragraph" w:styleId="18">
    <w:name w:val="Subtitle"/>
    <w:basedOn w:val="1"/>
    <w:next w:val="1"/>
    <w:link w:val="4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oc 6"/>
    <w:basedOn w:val="1"/>
    <w:next w:val="1"/>
    <w:autoRedefine/>
    <w:unhideWhenUsed/>
    <w:qFormat/>
    <w:uiPriority w:val="39"/>
    <w:pPr>
      <w:ind w:left="1050"/>
      <w:jc w:val="left"/>
    </w:pPr>
    <w:rPr>
      <w:rFonts w:eastAsiaTheme="minorHAnsi"/>
      <w:sz w:val="20"/>
      <w:szCs w:val="20"/>
    </w:rPr>
  </w:style>
  <w:style w:type="paragraph" w:styleId="20">
    <w:name w:val="toc 2"/>
    <w:basedOn w:val="1"/>
    <w:next w:val="1"/>
    <w:autoRedefine/>
    <w:unhideWhenUsed/>
    <w:uiPriority w:val="39"/>
    <w:pPr>
      <w:spacing w:before="120"/>
      <w:ind w:left="210"/>
      <w:jc w:val="left"/>
    </w:pPr>
    <w:rPr>
      <w:rFonts w:eastAsiaTheme="minorHAnsi"/>
      <w:i/>
      <w:iCs/>
      <w:sz w:val="20"/>
      <w:szCs w:val="20"/>
    </w:rPr>
  </w:style>
  <w:style w:type="paragraph" w:styleId="21">
    <w:name w:val="toc 9"/>
    <w:basedOn w:val="1"/>
    <w:next w:val="1"/>
    <w:autoRedefine/>
    <w:unhideWhenUsed/>
    <w:uiPriority w:val="39"/>
    <w:pPr>
      <w:ind w:left="1680"/>
      <w:jc w:val="left"/>
    </w:pPr>
    <w:rPr>
      <w:rFonts w:eastAsiaTheme="minorHAnsi"/>
      <w:sz w:val="20"/>
      <w:szCs w:val="20"/>
    </w:rPr>
  </w:style>
  <w:style w:type="paragraph" w:styleId="22">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paragraph" w:styleId="23">
    <w:name w:val="Title"/>
    <w:basedOn w:val="1"/>
    <w:next w:val="1"/>
    <w:link w:val="3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6">
    <w:name w:val="Strong"/>
    <w:basedOn w:val="25"/>
    <w:qFormat/>
    <w:uiPriority w:val="22"/>
    <w:rPr>
      <w:b/>
      <w:bCs/>
    </w:rPr>
  </w:style>
  <w:style w:type="character" w:styleId="27">
    <w:name w:val="page number"/>
    <w:basedOn w:val="25"/>
    <w:semiHidden/>
    <w:unhideWhenUsed/>
    <w:qFormat/>
    <w:uiPriority w:val="99"/>
  </w:style>
  <w:style w:type="character" w:styleId="28">
    <w:name w:val="Emphasis"/>
    <w:basedOn w:val="25"/>
    <w:qFormat/>
    <w:uiPriority w:val="20"/>
    <w:rPr>
      <w:i/>
      <w:iCs/>
    </w:rPr>
  </w:style>
  <w:style w:type="character" w:styleId="29">
    <w:name w:val="Hyperlink"/>
    <w:basedOn w:val="25"/>
    <w:unhideWhenUsed/>
    <w:uiPriority w:val="99"/>
    <w:rPr>
      <w:color w:val="0000FF"/>
      <w:u w:val="single"/>
    </w:rPr>
  </w:style>
  <w:style w:type="character" w:customStyle="1" w:styleId="30">
    <w:name w:val="标题 1 字符"/>
    <w:basedOn w:val="25"/>
    <w:link w:val="2"/>
    <w:uiPriority w:val="9"/>
    <w:rPr>
      <w:rFonts w:asciiTheme="majorHAnsi" w:hAnsiTheme="majorHAnsi" w:eastAsiaTheme="majorEastAsia" w:cstheme="majorBidi"/>
      <w:color w:val="104862" w:themeColor="accent1" w:themeShade="BF"/>
      <w:sz w:val="48"/>
      <w:szCs w:val="48"/>
    </w:rPr>
  </w:style>
  <w:style w:type="character" w:customStyle="1" w:styleId="31">
    <w:name w:val="标题 2 字符"/>
    <w:basedOn w:val="25"/>
    <w:link w:val="3"/>
    <w:qFormat/>
    <w:uiPriority w:val="9"/>
    <w:rPr>
      <w:rFonts w:asciiTheme="majorHAnsi" w:hAnsiTheme="majorHAnsi" w:eastAsiaTheme="majorEastAsia" w:cstheme="majorBidi"/>
      <w:color w:val="104862" w:themeColor="accent1" w:themeShade="BF"/>
      <w:sz w:val="40"/>
      <w:szCs w:val="40"/>
    </w:rPr>
  </w:style>
  <w:style w:type="character" w:customStyle="1" w:styleId="32">
    <w:name w:val="标题 3 字符"/>
    <w:basedOn w:val="25"/>
    <w:link w:val="4"/>
    <w:qFormat/>
    <w:uiPriority w:val="9"/>
    <w:rPr>
      <w:rFonts w:asciiTheme="majorHAnsi" w:hAnsiTheme="majorHAnsi" w:eastAsiaTheme="majorEastAsia" w:cstheme="majorBidi"/>
      <w:color w:val="104862" w:themeColor="accent1" w:themeShade="BF"/>
      <w:sz w:val="32"/>
      <w:szCs w:val="32"/>
    </w:rPr>
  </w:style>
  <w:style w:type="character" w:customStyle="1" w:styleId="33">
    <w:name w:val="标题 4 字符"/>
    <w:basedOn w:val="25"/>
    <w:link w:val="5"/>
    <w:qFormat/>
    <w:uiPriority w:val="9"/>
    <w:rPr>
      <w:rFonts w:cstheme="majorBidi"/>
      <w:color w:val="104862" w:themeColor="accent1" w:themeShade="BF"/>
      <w:sz w:val="28"/>
      <w:szCs w:val="28"/>
    </w:rPr>
  </w:style>
  <w:style w:type="character" w:customStyle="1" w:styleId="34">
    <w:name w:val="标题 5 字符"/>
    <w:basedOn w:val="25"/>
    <w:link w:val="6"/>
    <w:semiHidden/>
    <w:qFormat/>
    <w:uiPriority w:val="9"/>
    <w:rPr>
      <w:rFonts w:cstheme="majorBidi"/>
      <w:color w:val="104862" w:themeColor="accent1" w:themeShade="BF"/>
      <w:sz w:val="24"/>
    </w:rPr>
  </w:style>
  <w:style w:type="character" w:customStyle="1" w:styleId="35">
    <w:name w:val="标题 6 字符"/>
    <w:basedOn w:val="25"/>
    <w:link w:val="7"/>
    <w:semiHidden/>
    <w:qFormat/>
    <w:uiPriority w:val="9"/>
    <w:rPr>
      <w:rFonts w:cstheme="majorBidi"/>
      <w:b/>
      <w:bCs/>
      <w:color w:val="104862" w:themeColor="accent1" w:themeShade="BF"/>
    </w:rPr>
  </w:style>
  <w:style w:type="character" w:customStyle="1" w:styleId="36">
    <w:name w:val="标题 7 字符"/>
    <w:basedOn w:val="2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7">
    <w:name w:val="标题 8 字符"/>
    <w:basedOn w:val="2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8">
    <w:name w:val="标题 9 字符"/>
    <w:basedOn w:val="2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字符"/>
    <w:basedOn w:val="25"/>
    <w:link w:val="23"/>
    <w:uiPriority w:val="10"/>
    <w:rPr>
      <w:rFonts w:asciiTheme="majorHAnsi" w:hAnsiTheme="majorHAnsi" w:eastAsiaTheme="majorEastAsia" w:cstheme="majorBidi"/>
      <w:spacing w:val="-10"/>
      <w:kern w:val="28"/>
      <w:sz w:val="56"/>
      <w:szCs w:val="56"/>
    </w:rPr>
  </w:style>
  <w:style w:type="character" w:customStyle="1" w:styleId="40">
    <w:name w:val="副标题 字符"/>
    <w:basedOn w:val="25"/>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引用 字符"/>
    <w:basedOn w:val="25"/>
    <w:link w:val="41"/>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25"/>
    <w:qFormat/>
    <w:uiPriority w:val="21"/>
    <w:rPr>
      <w:i/>
      <w:iCs/>
      <w:color w:val="104862" w:themeColor="accent1" w:themeShade="BF"/>
    </w:rPr>
  </w:style>
  <w:style w:type="paragraph" w:styleId="45">
    <w:name w:val="Intense Quote"/>
    <w:basedOn w:val="1"/>
    <w:next w:val="1"/>
    <w:link w:val="4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6">
    <w:name w:val="明显引用 字符"/>
    <w:basedOn w:val="25"/>
    <w:link w:val="45"/>
    <w:qFormat/>
    <w:uiPriority w:val="30"/>
    <w:rPr>
      <w:i/>
      <w:iCs/>
      <w:color w:val="104862" w:themeColor="accent1" w:themeShade="BF"/>
    </w:rPr>
  </w:style>
  <w:style w:type="character" w:customStyle="1" w:styleId="47">
    <w:name w:val="Intense Reference"/>
    <w:basedOn w:val="25"/>
    <w:qFormat/>
    <w:uiPriority w:val="32"/>
    <w:rPr>
      <w:b/>
      <w:bCs/>
      <w:smallCaps/>
      <w:color w:val="104862" w:themeColor="accent1" w:themeShade="BF"/>
      <w:spacing w:val="5"/>
    </w:rPr>
  </w:style>
  <w:style w:type="paragraph" w:customStyle="1" w:styleId="48">
    <w:name w:val="otl-paragraph"/>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49">
    <w:name w:val="ds-markdown-paragraph"/>
    <w:basedOn w:val="1"/>
    <w:uiPriority w:val="0"/>
    <w:pPr>
      <w:widowControl/>
      <w:spacing w:before="100" w:beforeAutospacing="1" w:after="100" w:afterAutospacing="1"/>
      <w:jc w:val="left"/>
    </w:pPr>
    <w:rPr>
      <w:rFonts w:ascii="宋体" w:hAnsi="宋体" w:eastAsia="宋体" w:cs="宋体"/>
      <w:kern w:val="0"/>
      <w:sz w:val="24"/>
    </w:rPr>
  </w:style>
  <w:style w:type="character" w:customStyle="1" w:styleId="50">
    <w:name w:val="wx_english_text_left"/>
    <w:basedOn w:val="25"/>
    <w:uiPriority w:val="0"/>
  </w:style>
  <w:style w:type="character" w:customStyle="1" w:styleId="51">
    <w:name w:val="wx_text_underline"/>
    <w:basedOn w:val="25"/>
    <w:qFormat/>
    <w:uiPriority w:val="0"/>
  </w:style>
  <w:style w:type="paragraph" w:customStyle="1" w:styleId="52">
    <w:name w:val="TOC Heading"/>
    <w:basedOn w:val="2"/>
    <w:next w:val="1"/>
    <w:unhideWhenUsed/>
    <w:qFormat/>
    <w:uiPriority w:val="39"/>
    <w:pPr>
      <w:widowControl/>
      <w:spacing w:after="0" w:line="276" w:lineRule="auto"/>
      <w:jc w:val="left"/>
      <w:outlineLvl w:val="9"/>
    </w:pPr>
    <w:rPr>
      <w:b/>
      <w:bCs/>
      <w:kern w:val="0"/>
      <w:sz w:val="28"/>
      <w:szCs w:val="28"/>
    </w:rPr>
  </w:style>
  <w:style w:type="character" w:customStyle="1" w:styleId="53">
    <w:name w:val="页脚 字符"/>
    <w:basedOn w:val="25"/>
    <w:link w:val="15"/>
    <w:qFormat/>
    <w:uiPriority w:val="99"/>
    <w:rPr>
      <w:sz w:val="18"/>
      <w:szCs w:val="18"/>
    </w:rPr>
  </w:style>
  <w:style w:type="character" w:customStyle="1" w:styleId="54">
    <w:name w:val="Unresolved Mention"/>
    <w:basedOn w:val="25"/>
    <w:semiHidden/>
    <w:unhideWhenUsed/>
    <w:uiPriority w:val="99"/>
    <w:rPr>
      <w:color w:val="605E5C"/>
      <w:shd w:val="clear" w:color="auto" w:fill="E1DFDD"/>
    </w:rPr>
  </w:style>
  <w:style w:type="character" w:customStyle="1" w:styleId="55">
    <w:name w:val="color_font"/>
    <w:basedOn w:val="25"/>
    <w:qFormat/>
    <w:uiPriority w:val="0"/>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E6173-7E56-FE45-ADC3-9B4C56828ED8}">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12558</Words>
  <Characters>38654</Characters>
  <Lines>589</Lines>
  <Paragraphs>165</Paragraphs>
  <TotalTime>203</TotalTime>
  <ScaleCrop>false</ScaleCrop>
  <LinksUpToDate>false</LinksUpToDate>
  <CharactersWithSpaces>43448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2025-10-25T08:55:00Z</dcterms:created>
  <dc:creator>Admin</dc:creator>
  <cp:lastModifiedBy>马不扬鞭自奋蹄</cp:lastModifiedBy>
  <dcterms:modified xsi:type="dcterms:W3CDTF">2025-12-15T08:05:07Z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eyJoZGlkIjoiNzE4Y2M5M2Y2NDM0YzRjODk0MWZhYjE0YzE1M2FlMjkiLCJ1c2VySWQiOiIyNDQ5Mzg5NjIifQ==</vt:lpwstr>
  </property>
  <property fmtid="{D5CDD505-2E9C-101B-9397-08002B2CF9AE}" pid="3" name="KSOProductBuildVer">
    <vt:lpwstr>2052-12.1.0.24034</vt:lpwstr>
  </property>
  <property fmtid="{D5CDD505-2E9C-101B-9397-08002B2CF9AE}" pid="4" name="ICV">
    <vt:lpwstr>14D4F8AFFA47472CAC5DB49530140E91_13</vt:lpwstr>
  </property>
</Properties>
</file>