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68"/>
        <w:gridCol w:w="4968"/>
      </w:tblGrid>
      <w:tr>
        <w:tc>
          <w:tcPr>
            <w:tcW w:type="dxa" w:w="3168"/>
            <w:shd w:fill="1E3A8A"/>
            <w:tcMar>
              <w:top w:w="60" w:type="dxa"/>
              <w:bottom w:w="60" w:type="dxa"/>
              <w:left w:w="100" w:type="dxa"/>
              <w:right w:w="100" w:type="dxa"/>
            </w:tcMar>
          </w:tcPr>
          <w:p>
            <w:r>
              <w:rPr>
                <w:rFonts w:ascii="Calibri" w:hAnsi="Calibri"/>
                <w:b/>
                <w:color w:val="FFFFFF"/>
                <w:sz w:val="18"/>
              </w:rPr>
              <w:t>EVALUACIÓN</w:t>
            </w:r>
          </w:p>
        </w:tc>
        <w:tc>
          <w:tcPr>
            <w:tcW w:type="dxa" w:w="6912"/>
            <w:shd w:fill="F8FAFC"/>
            <w:tcMar>
              <w:top w:w="60" w:type="dxa"/>
              <w:bottom w:w="60" w:type="dxa"/>
              <w:left w:w="100" w:type="dxa"/>
              <w:right w:w="100" w:type="dxa"/>
            </w:tcMar>
          </w:tcPr>
          <w:p>
            <w:r>
              <w:rPr>
                <w:rFonts w:ascii="Calibri" w:hAnsi="Calibri"/>
                <w:b/>
                <w:color w:val="1E293B"/>
                <w:sz w:val="18"/>
              </w:rPr>
              <w:t>Evaluación Nº4 (35%) — Proyecto Integrador</w:t>
            </w:r>
          </w:p>
        </w:tc>
      </w:tr>
      <w:tr>
        <w:tc>
          <w:tcPr>
            <w:tcW w:type="dxa" w:w="3168"/>
            <w:shd w:fill="1E3A8A"/>
            <w:tcMar>
              <w:top w:w="60" w:type="dxa"/>
              <w:bottom w:w="60" w:type="dxa"/>
              <w:left w:w="100" w:type="dxa"/>
              <w:right w:w="100" w:type="dxa"/>
            </w:tcMar>
          </w:tcPr>
          <w:p>
            <w:r>
              <w:rPr>
                <w:rFonts w:ascii="Calibri" w:hAnsi="Calibri"/>
                <w:b/>
                <w:color w:val="FFFFFF"/>
                <w:sz w:val="18"/>
              </w:rPr>
              <w:t>ÁREA ACADÉMICA</w:t>
            </w:r>
          </w:p>
        </w:tc>
        <w:tc>
          <w:tcPr>
            <w:tcW w:type="dxa" w:w="6912"/>
            <w:shd w:fill="FFFFFF"/>
            <w:tcMar>
              <w:top w:w="60" w:type="dxa"/>
              <w:bottom w:w="60" w:type="dxa"/>
              <w:left w:w="100" w:type="dxa"/>
              <w:right w:w="100" w:type="dxa"/>
            </w:tcMar>
          </w:tcPr>
          <w:p>
            <w:r>
              <w:rPr>
                <w:rFonts w:ascii="Calibri" w:hAnsi="Calibri"/>
                <w:b w:val="0"/>
                <w:color w:val="1E293B"/>
                <w:sz w:val="18"/>
              </w:rPr>
              <w:t>Informática, Ciberseguridad y Telecomunicaciones</w:t>
            </w:r>
          </w:p>
        </w:tc>
      </w:tr>
      <w:tr>
        <w:tc>
          <w:tcPr>
            <w:tcW w:type="dxa" w:w="3168"/>
            <w:shd w:fill="1E3A8A"/>
            <w:tcMar>
              <w:top w:w="60" w:type="dxa"/>
              <w:bottom w:w="60" w:type="dxa"/>
              <w:left w:w="100" w:type="dxa"/>
              <w:right w:w="100" w:type="dxa"/>
            </w:tcMar>
          </w:tcPr>
          <w:p>
            <w:r>
              <w:rPr>
                <w:rFonts w:ascii="Calibri" w:hAnsi="Calibri"/>
                <w:b/>
                <w:color w:val="FFFFFF"/>
                <w:sz w:val="18"/>
              </w:rPr>
              <w:t>CARRERA</w:t>
            </w:r>
          </w:p>
        </w:tc>
        <w:tc>
          <w:tcPr>
            <w:tcW w:type="dxa" w:w="6912"/>
            <w:shd w:fill="F8FAFC"/>
            <w:tcMar>
              <w:top w:w="60" w:type="dxa"/>
              <w:bottom w:w="60" w:type="dxa"/>
              <w:left w:w="100" w:type="dxa"/>
              <w:right w:w="100" w:type="dxa"/>
            </w:tcMar>
          </w:tcPr>
          <w:p>
            <w:r>
              <w:rPr>
                <w:rFonts w:ascii="Calibri" w:hAnsi="Calibri"/>
                <w:b w:val="0"/>
                <w:color w:val="1E293B"/>
                <w:sz w:val="18"/>
              </w:rPr>
              <w:t>Ingeniería Informática</w:t>
            </w:r>
          </w:p>
        </w:tc>
      </w:tr>
      <w:tr>
        <w:tc>
          <w:tcPr>
            <w:tcW w:type="dxa" w:w="3168"/>
            <w:shd w:fill="1E3A8A"/>
            <w:tcMar>
              <w:top w:w="60" w:type="dxa"/>
              <w:bottom w:w="60" w:type="dxa"/>
              <w:left w:w="100" w:type="dxa"/>
              <w:right w:w="100" w:type="dxa"/>
            </w:tcMar>
          </w:tcPr>
          <w:p>
            <w:r>
              <w:rPr>
                <w:rFonts w:ascii="Calibri" w:hAnsi="Calibri"/>
                <w:b/>
                <w:color w:val="FFFFFF"/>
                <w:sz w:val="18"/>
              </w:rPr>
              <w:t>ASIGNATURA</w:t>
            </w:r>
          </w:p>
        </w:tc>
        <w:tc>
          <w:tcPr>
            <w:tcW w:type="dxa" w:w="6912"/>
            <w:shd w:fill="FFFFFF"/>
            <w:tcMar>
              <w:top w:w="60" w:type="dxa"/>
              <w:bottom w:w="60" w:type="dxa"/>
              <w:left w:w="100" w:type="dxa"/>
              <w:right w:w="100" w:type="dxa"/>
            </w:tcMar>
          </w:tcPr>
          <w:p>
            <w:r>
              <w:rPr>
                <w:rFonts w:ascii="Calibri" w:hAnsi="Calibri"/>
                <w:b w:val="0"/>
                <w:color w:val="1E293B"/>
                <w:sz w:val="18"/>
              </w:rPr>
              <w:t>Gestión de Seguridad de la Información (TI3V62)</w:t>
            </w:r>
          </w:p>
        </w:tc>
      </w:tr>
      <w:tr>
        <w:tc>
          <w:tcPr>
            <w:tcW w:type="dxa" w:w="3168"/>
            <w:shd w:fill="1E3A8A"/>
            <w:tcMar>
              <w:top w:w="60" w:type="dxa"/>
              <w:bottom w:w="60" w:type="dxa"/>
              <w:left w:w="100" w:type="dxa"/>
              <w:right w:w="100" w:type="dxa"/>
            </w:tcMar>
          </w:tcPr>
          <w:p>
            <w:r>
              <w:rPr>
                <w:rFonts w:ascii="Calibri" w:hAnsi="Calibri"/>
                <w:b/>
                <w:color w:val="FFFFFF"/>
                <w:sz w:val="18"/>
              </w:rPr>
              <w:t>SEDE</w:t>
            </w:r>
          </w:p>
        </w:tc>
        <w:tc>
          <w:tcPr>
            <w:tcW w:type="dxa" w:w="6912"/>
            <w:shd w:fill="F8FAFC"/>
            <w:tcMar>
              <w:top w:w="60" w:type="dxa"/>
              <w:bottom w:w="60" w:type="dxa"/>
              <w:left w:w="100" w:type="dxa"/>
              <w:right w:w="100" w:type="dxa"/>
            </w:tcMar>
          </w:tcPr>
          <w:p>
            <w:r>
              <w:rPr>
                <w:rFonts w:ascii="Calibri" w:hAnsi="Calibri"/>
                <w:b w:val="0"/>
                <w:color w:val="1E293B"/>
                <w:sz w:val="18"/>
              </w:rPr>
              <w:t>Puente Alto</w:t>
            </w:r>
          </w:p>
        </w:tc>
      </w:tr>
      <w:tr>
        <w:tc>
          <w:tcPr>
            <w:tcW w:type="dxa" w:w="3168"/>
            <w:shd w:fill="1E3A8A"/>
            <w:tcMar>
              <w:top w:w="60" w:type="dxa"/>
              <w:bottom w:w="60" w:type="dxa"/>
              <w:left w:w="100" w:type="dxa"/>
              <w:right w:w="100" w:type="dxa"/>
            </w:tcMar>
          </w:tcPr>
          <w:p>
            <w:r>
              <w:rPr>
                <w:rFonts w:ascii="Calibri" w:hAnsi="Calibri"/>
                <w:b/>
                <w:color w:val="FFFFFF"/>
                <w:sz w:val="18"/>
              </w:rPr>
              <w:t>UNIDAD DE APRENDIZAJE</w:t>
            </w:r>
          </w:p>
        </w:tc>
        <w:tc>
          <w:tcPr>
            <w:tcW w:type="dxa" w:w="6912"/>
            <w:shd w:fill="FFFFFF"/>
            <w:tcMar>
              <w:top w:w="60" w:type="dxa"/>
              <w:bottom w:w="60" w:type="dxa"/>
              <w:left w:w="100" w:type="dxa"/>
              <w:right w:w="100" w:type="dxa"/>
            </w:tcMar>
          </w:tcPr>
          <w:p>
            <w:r>
              <w:rPr>
                <w:rFonts w:ascii="Calibri" w:hAnsi="Calibri"/>
                <w:b w:val="0"/>
                <w:color w:val="1E293B"/>
                <w:sz w:val="18"/>
              </w:rPr>
              <w:t>Unidad integradora para evaluar la competencia profesional.</w:t>
            </w:r>
          </w:p>
        </w:tc>
      </w:tr>
      <w:tr>
        <w:tc>
          <w:tcPr>
            <w:tcW w:type="dxa" w:w="3168"/>
            <w:shd w:fill="1E3A8A"/>
            <w:tcMar>
              <w:top w:w="60" w:type="dxa"/>
              <w:bottom w:w="60" w:type="dxa"/>
              <w:left w:w="100" w:type="dxa"/>
              <w:right w:w="100" w:type="dxa"/>
            </w:tcMar>
          </w:tcPr>
          <w:p>
            <w:r>
              <w:rPr>
                <w:rFonts w:ascii="Calibri" w:hAnsi="Calibri"/>
                <w:b/>
                <w:color w:val="FFFFFF"/>
                <w:sz w:val="18"/>
              </w:rPr>
              <w:t>CRITERIOS A EVALUAR</w:t>
            </w:r>
          </w:p>
        </w:tc>
        <w:tc>
          <w:tcPr>
            <w:tcW w:type="dxa" w:w="6912"/>
            <w:shd w:fill="F8FAFC"/>
            <w:tcMar>
              <w:top w:w="60" w:type="dxa"/>
              <w:bottom w:w="60" w:type="dxa"/>
              <w:left w:w="100" w:type="dxa"/>
              <w:right w:w="100" w:type="dxa"/>
            </w:tcMar>
          </w:tcPr>
          <w:p>
            <w:r>
              <w:rPr>
                <w:rFonts w:ascii="Calibri" w:hAnsi="Calibri"/>
                <w:b w:val="0"/>
                <w:color w:val="1E293B"/>
                <w:sz w:val="18"/>
              </w:rPr>
              <w:t>4.1.1, 4.1.2, 4.1.3, 4.1.4, 4.1.5, 4.1.6 (100% Cobertura)</w:t>
            </w:r>
          </w:p>
        </w:tc>
      </w:tr>
      <w:tr>
        <w:tc>
          <w:tcPr>
            <w:tcW w:type="dxa" w:w="3168"/>
            <w:shd w:fill="1E3A8A"/>
            <w:tcMar>
              <w:top w:w="60" w:type="dxa"/>
              <w:bottom w:w="60" w:type="dxa"/>
              <w:left w:w="100" w:type="dxa"/>
              <w:right w:w="100" w:type="dxa"/>
            </w:tcMar>
          </w:tcPr>
          <w:p>
            <w:r>
              <w:rPr>
                <w:rFonts w:ascii="Calibri" w:hAnsi="Calibri"/>
                <w:b/>
                <w:color w:val="FFFFFF"/>
                <w:sz w:val="18"/>
              </w:rPr>
              <w:t>ESTUDIANTE / AUTOR</w:t>
            </w:r>
          </w:p>
        </w:tc>
        <w:tc>
          <w:tcPr>
            <w:tcW w:type="dxa" w:w="6912"/>
            <w:shd w:fill="FFFFFF"/>
            <w:tcMar>
              <w:top w:w="60" w:type="dxa"/>
              <w:bottom w:w="60" w:type="dxa"/>
              <w:left w:w="100" w:type="dxa"/>
              <w:right w:w="100" w:type="dxa"/>
            </w:tcMar>
          </w:tcPr>
          <w:p>
            <w:r>
              <w:rPr>
                <w:rFonts w:ascii="Calibri" w:hAnsi="Calibri"/>
                <w:b/>
                <w:color w:val="1E293B"/>
                <w:sz w:val="18"/>
              </w:rPr>
              <w:t>Edgard — Ingeniería Informática | Fecha: 05-10-2026</w:t>
            </w:r>
          </w:p>
        </w:tc>
      </w:tr>
    </w:tbl>
    <w:p>
      <w:pPr>
        <w:spacing w:after="240"/>
      </w:pPr>
    </w:p>
    <w:p>
      <w:pPr>
        <w:spacing w:after="280"/>
        <w:jc w:val="center"/>
      </w:pPr>
      <w:r>
        <w:rPr>
          <w:b/>
          <w:color w:val="1E3A8A"/>
          <w:sz w:val="36"/>
        </w:rPr>
        <w:t>INFORME TÉCNICO PROYECTO INTEGRADOR</w:t>
        <w:br/>
      </w:r>
      <w:r>
        <w:rPr>
          <w:b/>
          <w:color w:val="475569"/>
          <w:sz w:val="26"/>
        </w:rPr>
        <w:t>Hostify Lite: Implementación de una Solución Cloud Computing Segura y de Alta Disponibilidad para la Gestión Hostelera</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200" w:type="dxa"/>
              <w:right w:w="200" w:type="dxa"/>
            </w:tcMar>
            <w:tcBorders>
              <w:top w:val="none"/>
              <w:left w:val="single" w:sz="24" w:space="0" w:color="2563EB"/>
              <w:bottom w:val="none"/>
              <w:right w:val="none"/>
            </w:tcBorders>
          </w:tcPr>
          <w:p>
            <w:pPr>
              <w:spacing w:before="40" w:after="40"/>
            </w:pPr>
            <w:r>
              <w:rPr>
                <w:rFonts w:ascii="Calibri" w:hAnsi="Calibri"/>
                <w:b/>
                <w:color w:val="1E3A8A"/>
                <w:sz w:val="19"/>
              </w:rPr>
              <w:t>📌 MARCO DE COMPETENCIAS Y FORMACIÓN DE ROLES DEL PROYECTO</w:t>
              <w:br/>
            </w:r>
            <w:r>
              <w:rPr>
                <w:rFonts w:ascii="Calibri" w:hAnsi="Calibri"/>
                <w:color w:val="334155"/>
                <w:sz w:val="18"/>
              </w:rPr>
              <w:t>Aprendizaje Esperado:</w:t>
              <w:br/>
              <w:t>Implementa una solución de software de Cloud Computing, para mejorar la disponibilidad de acceso, considerando diferentes niveles de seguridad de infraestructura, redes de datos y servicios.</w:t>
              <w:br/>
              <w:br/>
              <w:t>Roles del Equipo de Trabajo:</w:t>
              <w:br/>
              <w:t>• Arquitecto de Solución: Diseño de la arquitectura de defensa en profundidad y selección IaaS en Azure.</w:t>
              <w:br/>
              <w:t>• Desarrollador de Software: Implementación de Hostify Lite en Python/Flask y control de acceso RBAC.</w:t>
              <w:br/>
              <w:t>• Especialista en Redes y Seguridad: Configuración de Azure NSG, Firewall UFW, Fail2ban y Hardening.</w:t>
              <w:br/>
              <w:t>• Encargado de Documentación y Pruebas: Batería de pruebas unitarias, pruebas de caída y redacción del informe.</w:t>
            </w:r>
          </w:p>
        </w:tc>
      </w:tr>
    </w:tbl>
    <w:p>
      <w:pPr>
        <w:spacing w:after="80"/>
      </w:pPr>
    </w:p>
    <w:p>
      <w:pPr>
        <w:pStyle w:val="Heading1"/>
      </w:pPr>
      <w:r>
        <w:rPr>
          <w:color w:val="1E3A8A"/>
        </w:rPr>
        <w:t>1. Descripción de la Solución (Criterios 4.1.1 y 4.1.2)</w:t>
      </w:r>
    </w:p>
    <w:p>
      <w:pPr>
        <w:pStyle w:val="Heading2"/>
      </w:pPr>
      <w:r>
        <w:t>1.1 Problemática y Justificación en Ingeniería de Software</w:t>
      </w:r>
    </w:p>
    <w:p>
      <w:r>
        <w:t>En la industria de hospedaje turístico independiente —particularmente en hostales y hoteles boutique—, la gestión cotidiana de reservas, registro de pasajeros e inventario de habitaciones se realiza predominantemente a través de métodos manuales o herramientas ofimáticas compartidas (ej. hojas de cálculo en la nube sin cifrado ni controles de acceso granulares). Según reportes del Cloud Security Alliance (CSA) y ENISA, este patrón operativo genera tres vulnerabilidades críticas de negocio:</w:t>
      </w:r>
    </w:p>
    <w:p>
      <w:r>
        <w:rPr>
          <w:b/>
        </w:rPr>
        <w:t xml:space="preserve">1. Exposición y Riesgo de Fuga de Datos Personales (PII): </w:t>
      </w:r>
      <w:r>
        <w:t>Nombres completos, números de teléfono, correos electrónicos y fechas de estancia se mantienen desprotegidos, contraviniendo la Ley Chilena Nº 19.628 sobre Protección de la Vida Privada y normativas internacionales de protección de datos.</w:t>
        <w:br/>
      </w:r>
      <w:r>
        <w:rPr>
          <w:b/>
        </w:rPr>
        <w:t xml:space="preserve">2. Indisponibilidad Operativa y Sobreventa (Overbooking): </w:t>
      </w:r>
      <w:r>
        <w:t>La ausencia de un sistema centralizado con respaldo automático y alta disponibilidad provoca bloqueos en los turnos de recepción durante horas punta de check-in / check-out ante caídas de servicio o fallos de conexión.</w:t>
        <w:br/>
      </w:r>
      <w:r>
        <w:rPr>
          <w:b/>
        </w:rPr>
        <w:t xml:space="preserve">3. Falta de Separación de Funciones y Trazabilidad (ISO 27001): </w:t>
      </w:r>
      <w:r>
        <w:t>El personal administrativo y los recepcionistas suelen compartir cuentas con privilegios equivalentes, impidiendo deslindar responsabilidades frente a cobros indebidos, cancelaciones maliciosas o modificaciones arbitrarias de tarifas.</w:t>
      </w:r>
    </w:p>
    <w:p>
      <w:pPr>
        <w:pStyle w:val="Heading2"/>
      </w:pPr>
      <w:r>
        <w:t>1.2 La Solución Propuesta: Hostify Lite</w:t>
      </w:r>
    </w:p>
    <w:p>
      <w:r>
        <w:t>Para responder a esta problemática sin incurrir en la complejidad innecesaria de suites comerciales pesadas, se diseñó e implementó Hostify Lite: una aplicación web ágil, modular y altamente segura, desarrollada específicamente para cubrir las operaciones esenciales del hostal cumpliendo al 100% con los requisitos de la evaluación:</w:t>
      </w:r>
    </w:p>
    <w:p>
      <w:pPr>
        <w:pStyle w:val="ListBullet"/>
      </w:pPr>
      <w:r>
        <w:rPr>
          <w:b/>
          <w:color w:val="1E3A8A"/>
        </w:rPr>
        <w:t xml:space="preserve">Control de Habitaciones: </w:t>
      </w:r>
      <w:r>
        <w:t>Catálogo de números, categorías (Sencilla, Doble, Suite), tarifas por noche y actualización en tiempo real de estados de servicio (DISPONIBLE, OCUPADA, LIMPIEZA, MANTENIMIENTO).</w:t>
      </w:r>
    </w:p>
    <w:p>
      <w:pPr>
        <w:pStyle w:val="ListBullet"/>
      </w:pPr>
      <w:r>
        <w:rPr>
          <w:b/>
          <w:color w:val="1E3A8A"/>
        </w:rPr>
        <w:t xml:space="preserve">Directorio Protegido de Huéspedes: </w:t>
      </w:r>
      <w:r>
        <w:t>Registro con validación de sintaxis, saneamiento contra inyecciones y almacenamiento seguro.</w:t>
      </w:r>
    </w:p>
    <w:p>
      <w:pPr>
        <w:pStyle w:val="ListBullet"/>
      </w:pPr>
      <w:r>
        <w:rPr>
          <w:b/>
          <w:color w:val="1E3A8A"/>
        </w:rPr>
        <w:t xml:space="preserve">Gestión de Reservas: </w:t>
      </w:r>
      <w:r>
        <w:t>Asignación dinámica de habitaciones, control estricto de fechas de entrada y salida, y ciclo de vida de la reserva (PENDIENTE, CONFIRMADA, CANCELADA, COMPLETADA).</w:t>
      </w:r>
    </w:p>
    <w:p>
      <w:pPr>
        <w:pStyle w:val="ListBullet"/>
      </w:pPr>
      <w:r>
        <w:rPr>
          <w:b/>
          <w:color w:val="1E3A8A"/>
        </w:rPr>
        <w:t xml:space="preserve">Dashboard de Mando Operacional: </w:t>
      </w:r>
      <w:r>
        <w:t>Métricas de ocupación, reservas recientes e indicadores clave para la toma de decisiones del personal de turno.</w:t>
      </w:r>
    </w:p>
    <w:p>
      <w:pPr>
        <w:pStyle w:val="ListBullet"/>
      </w:pPr>
      <w:r>
        <w:rPr>
          <w:b/>
          <w:color w:val="1E3A8A"/>
        </w:rPr>
        <w:t xml:space="preserve">Control de Acceso Basado en Roles (RBAC): </w:t>
      </w:r>
      <w:r>
        <w:t>Separación tajante de funciones entre el rol de Encargado de Recepción y el Administrador General.</w:t>
      </w:r>
    </w:p>
    <w:p>
      <w:pPr>
        <w:pStyle w:val="ListBullet"/>
      </w:pPr>
      <w:r>
        <w:rPr>
          <w:b/>
          <w:color w:val="1E3A8A"/>
        </w:rPr>
        <w:t xml:space="preserve">Trazabilidad y Auditoría Forense: </w:t>
      </w:r>
      <w:r>
        <w:t>Bitácora inmutable en base de datos y log estructurado en disco que registra cada inicio de sesión, cambio de habitación e intento de acceso no autorizado (ISO 27001 Control A.12.4).</w:t>
      </w:r>
    </w:p>
    <w:p>
      <w:pPr>
        <w:pStyle w:val="Heading2"/>
      </w:pPr>
      <w:r>
        <w:t>1.3 Modelo de Responsabilidad Compartida (Cloud Security Alliance / Azure)</w:t>
      </w:r>
    </w:p>
    <w:p>
      <w:r>
        <w:t>Hostify Lite se despliega bajo el modelo IaaS (Infraestructura como Servicio) sobre Microsoft Azure. A continuación se detalla la delimitación de responsabilidades entre el proveedor cloud y el equipo de ingeniería:</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120" w:type="dxa"/>
              <w:bottom w:w="120" w:type="dxa"/>
              <w:left w:w="150" w:type="dxa"/>
              <w:right w:w="150" w:type="dxa"/>
            </w:tcMar>
          </w:tcPr>
          <w:p>
            <w:pPr>
              <w:jc w:val="center"/>
            </w:pPr>
            <w:r>
              <w:rPr>
                <w:rFonts w:ascii="Calibri" w:hAnsi="Calibri"/>
                <w:b/>
                <w:color w:val="FFFFFF"/>
                <w:sz w:val="19"/>
              </w:rPr>
              <w:t>Capa de Infraestructura</w:t>
            </w:r>
          </w:p>
        </w:tc>
        <w:tc>
          <w:tcPr>
            <w:tcW w:type="dxa" w:w="3312"/>
            <w:shd w:fill="1E3A8A"/>
            <w:tcMar>
              <w:top w:w="120" w:type="dxa"/>
              <w:bottom w:w="120" w:type="dxa"/>
              <w:left w:w="150" w:type="dxa"/>
              <w:right w:w="150" w:type="dxa"/>
            </w:tcMar>
          </w:tcPr>
          <w:p>
            <w:pPr>
              <w:jc w:val="center"/>
            </w:pPr>
            <w:r>
              <w:rPr>
                <w:rFonts w:ascii="Calibri" w:hAnsi="Calibri"/>
                <w:b/>
                <w:color w:val="FFFFFF"/>
                <w:sz w:val="19"/>
              </w:rPr>
              <w:t>Responsable</w:t>
            </w:r>
          </w:p>
        </w:tc>
        <w:tc>
          <w:tcPr>
            <w:tcW w:type="dxa" w:w="3312"/>
            <w:shd w:fill="1E3A8A"/>
            <w:tcMar>
              <w:top w:w="120" w:type="dxa"/>
              <w:bottom w:w="120" w:type="dxa"/>
              <w:left w:w="150" w:type="dxa"/>
              <w:right w:w="150" w:type="dxa"/>
            </w:tcMar>
          </w:tcPr>
          <w:p>
            <w:pPr>
              <w:jc w:val="center"/>
            </w:pPr>
            <w:r>
              <w:rPr>
                <w:rFonts w:ascii="Calibri" w:hAnsi="Calibri"/>
                <w:b/>
                <w:color w:val="FFFFFF"/>
                <w:sz w:val="19"/>
              </w:rPr>
              <w:t>Medidas Aplicadas en el Proyecto Hostify Lite</w:t>
            </w:r>
          </w:p>
        </w:tc>
      </w:tr>
      <w:tr>
        <w:tc>
          <w:tcPr>
            <w:tcW w:type="dxa" w:w="3312"/>
            <w:shd w:fill="FFFFFF"/>
            <w:tcMar>
              <w:top w:w="100" w:type="dxa"/>
              <w:bottom w:w="100" w:type="dxa"/>
              <w:left w:w="150" w:type="dxa"/>
              <w:right w:w="150" w:type="dxa"/>
            </w:tcMar>
          </w:tcPr>
          <w:p>
            <w:pPr>
              <w:jc w:val="left"/>
            </w:pPr>
            <w:r>
              <w:rPr>
                <w:rFonts w:ascii="Calibri" w:hAnsi="Calibri"/>
                <w:b/>
                <w:color w:val="1E293B"/>
                <w:sz w:val="18"/>
              </w:rPr>
              <w:t>Seguridad Física del Datacenter</w:t>
            </w:r>
          </w:p>
        </w:tc>
        <w:tc>
          <w:tcPr>
            <w:tcW w:type="dxa" w:w="3312"/>
            <w:shd w:fill="FFFFFF"/>
            <w:tcMar>
              <w:top w:w="100" w:type="dxa"/>
              <w:bottom w:w="100" w:type="dxa"/>
              <w:left w:w="150" w:type="dxa"/>
              <w:right w:w="150" w:type="dxa"/>
            </w:tcMar>
          </w:tcPr>
          <w:p>
            <w:pPr>
              <w:jc w:val="left"/>
            </w:pPr>
            <w:r>
              <w:rPr>
                <w:rFonts w:ascii="Calibri" w:hAnsi="Calibri"/>
                <w:b w:val="0"/>
                <w:color w:val="1E293B"/>
                <w:sz w:val="18"/>
              </w:rPr>
              <w:t>Microsoft Azure</w:t>
            </w:r>
          </w:p>
        </w:tc>
        <w:tc>
          <w:tcPr>
            <w:tcW w:type="dxa" w:w="3312"/>
            <w:shd w:fill="FFFFFF"/>
            <w:tcMar>
              <w:top w:w="100" w:type="dxa"/>
              <w:bottom w:w="100" w:type="dxa"/>
              <w:left w:w="150" w:type="dxa"/>
              <w:right w:w="150" w:type="dxa"/>
            </w:tcMar>
          </w:tcPr>
          <w:p>
            <w:pPr>
              <w:jc w:val="left"/>
            </w:pPr>
            <w:r>
              <w:rPr>
                <w:rFonts w:ascii="Calibri" w:hAnsi="Calibri"/>
                <w:b w:val="0"/>
                <w:color w:val="1E293B"/>
                <w:sz w:val="18"/>
              </w:rPr>
              <w:t>Protección perimetral de instalaciones, suministro eléctrico redundante y climatización en región North Central US.</w:t>
            </w:r>
          </w:p>
        </w:tc>
      </w:tr>
      <w:tr>
        <w:tc>
          <w:tcPr>
            <w:tcW w:type="dxa" w:w="3312"/>
            <w:shd w:fill="F8FAFC"/>
            <w:tcMar>
              <w:top w:w="100" w:type="dxa"/>
              <w:bottom w:w="100" w:type="dxa"/>
              <w:left w:w="150" w:type="dxa"/>
              <w:right w:w="150" w:type="dxa"/>
            </w:tcMar>
          </w:tcPr>
          <w:p>
            <w:pPr>
              <w:jc w:val="left"/>
            </w:pPr>
            <w:r>
              <w:rPr>
                <w:rFonts w:ascii="Calibri" w:hAnsi="Calibri"/>
                <w:b/>
                <w:color w:val="1E293B"/>
                <w:sz w:val="18"/>
              </w:rPr>
              <w:t>Hardware, Virtualización y Trusted Launch</w:t>
            </w:r>
          </w:p>
        </w:tc>
        <w:tc>
          <w:tcPr>
            <w:tcW w:type="dxa" w:w="3312"/>
            <w:shd w:fill="F8FAFC"/>
            <w:tcMar>
              <w:top w:w="100" w:type="dxa"/>
              <w:bottom w:w="100" w:type="dxa"/>
              <w:left w:w="150" w:type="dxa"/>
              <w:right w:w="150" w:type="dxa"/>
            </w:tcMar>
          </w:tcPr>
          <w:p>
            <w:pPr>
              <w:jc w:val="left"/>
            </w:pPr>
            <w:r>
              <w:rPr>
                <w:rFonts w:ascii="Calibri" w:hAnsi="Calibri"/>
                <w:b w:val="0"/>
                <w:color w:val="1E293B"/>
                <w:sz w:val="18"/>
              </w:rPr>
              <w:t>Microsoft Azure</w:t>
            </w:r>
          </w:p>
        </w:tc>
        <w:tc>
          <w:tcPr>
            <w:tcW w:type="dxa" w:w="3312"/>
            <w:shd w:fill="F8FAFC"/>
            <w:tcMar>
              <w:top w:w="100" w:type="dxa"/>
              <w:bottom w:w="100" w:type="dxa"/>
              <w:left w:w="150" w:type="dxa"/>
              <w:right w:w="150" w:type="dxa"/>
            </w:tcMar>
          </w:tcPr>
          <w:p>
            <w:pPr>
              <w:jc w:val="left"/>
            </w:pPr>
            <w:r>
              <w:rPr>
                <w:rFonts w:ascii="Calibri" w:hAnsi="Calibri"/>
                <w:b w:val="0"/>
                <w:color w:val="1E293B"/>
                <w:sz w:val="18"/>
              </w:rPr>
              <w:t>Aislamiento hipervisor Hyper-V, arranque seguro (Secure Boot) y módulo de plataforma segura virtual (vTPM) habilitados.</w:t>
            </w:r>
          </w:p>
        </w:tc>
      </w:tr>
      <w:tr>
        <w:tc>
          <w:tcPr>
            <w:tcW w:type="dxa" w:w="3312"/>
            <w:shd w:fill="FFFFFF"/>
            <w:tcMar>
              <w:top w:w="100" w:type="dxa"/>
              <w:bottom w:w="100" w:type="dxa"/>
              <w:left w:w="150" w:type="dxa"/>
              <w:right w:w="150" w:type="dxa"/>
            </w:tcMar>
          </w:tcPr>
          <w:p>
            <w:pPr>
              <w:jc w:val="left"/>
            </w:pPr>
            <w:r>
              <w:rPr>
                <w:rFonts w:ascii="Calibri" w:hAnsi="Calibri"/>
                <w:b/>
                <w:color w:val="1E293B"/>
                <w:sz w:val="18"/>
              </w:rPr>
              <w:t>Perímetro de Red Cloud</w:t>
            </w:r>
          </w:p>
        </w:tc>
        <w:tc>
          <w:tcPr>
            <w:tcW w:type="dxa" w:w="3312"/>
            <w:shd w:fill="FFFFFF"/>
            <w:tcMar>
              <w:top w:w="100" w:type="dxa"/>
              <w:bottom w:w="100" w:type="dxa"/>
              <w:left w:w="150" w:type="dxa"/>
              <w:right w:w="150" w:type="dxa"/>
            </w:tcMar>
          </w:tcPr>
          <w:p>
            <w:pPr>
              <w:jc w:val="left"/>
            </w:pPr>
            <w:r>
              <w:rPr>
                <w:rFonts w:ascii="Calibri" w:hAnsi="Calibri"/>
                <w:b w:val="0"/>
                <w:color w:val="1E293B"/>
                <w:sz w:val="18"/>
              </w:rPr>
              <w:t>Compartida (Azure / Cliente)</w:t>
            </w:r>
          </w:p>
        </w:tc>
        <w:tc>
          <w:tcPr>
            <w:tcW w:type="dxa" w:w="3312"/>
            <w:shd w:fill="FFFFFF"/>
            <w:tcMar>
              <w:top w:w="100" w:type="dxa"/>
              <w:bottom w:w="100" w:type="dxa"/>
              <w:left w:w="150" w:type="dxa"/>
              <w:right w:w="150" w:type="dxa"/>
            </w:tcMar>
          </w:tcPr>
          <w:p>
            <w:pPr>
              <w:jc w:val="left"/>
            </w:pPr>
            <w:r>
              <w:rPr>
                <w:rFonts w:ascii="Calibri" w:hAnsi="Calibri"/>
                <w:b w:val="0"/>
                <w:color w:val="1E293B"/>
                <w:sz w:val="18"/>
              </w:rPr>
              <w:t>Azure Virtual Network y Network Security Group (NSG) configurado con denegación por defecto y bloqueo de puertos de bases de datos.</w:t>
            </w:r>
          </w:p>
        </w:tc>
      </w:tr>
      <w:tr>
        <w:tc>
          <w:tcPr>
            <w:tcW w:type="dxa" w:w="3312"/>
            <w:shd w:fill="F8FAFC"/>
            <w:tcMar>
              <w:top w:w="100" w:type="dxa"/>
              <w:bottom w:w="100" w:type="dxa"/>
              <w:left w:w="150" w:type="dxa"/>
              <w:right w:w="150" w:type="dxa"/>
            </w:tcMar>
          </w:tcPr>
          <w:p>
            <w:pPr>
              <w:jc w:val="left"/>
            </w:pPr>
            <w:r>
              <w:rPr>
                <w:rFonts w:ascii="Calibri" w:hAnsi="Calibri"/>
                <w:b/>
                <w:color w:val="1E293B"/>
                <w:sz w:val="18"/>
              </w:rPr>
              <w:t>Sistema Operativo del Servidor (Guest OS)</w:t>
            </w:r>
          </w:p>
        </w:tc>
        <w:tc>
          <w:tcPr>
            <w:tcW w:type="dxa" w:w="3312"/>
            <w:shd w:fill="F8FAFC"/>
            <w:tcMar>
              <w:top w:w="100" w:type="dxa"/>
              <w:bottom w:w="100" w:type="dxa"/>
              <w:left w:w="150" w:type="dxa"/>
              <w:right w:w="150" w:type="dxa"/>
            </w:tcMar>
          </w:tcPr>
          <w:p>
            <w:pPr>
              <w:jc w:val="left"/>
            </w:pPr>
            <w:r>
              <w:rPr>
                <w:rFonts w:ascii="Calibri" w:hAnsi="Calibri"/>
                <w:b w:val="0"/>
                <w:color w:val="1E293B"/>
                <w:sz w:val="18"/>
              </w:rPr>
              <w:t>Cliente (Equipo de Proyecto)</w:t>
            </w:r>
          </w:p>
        </w:tc>
        <w:tc>
          <w:tcPr>
            <w:tcW w:type="dxa" w:w="3312"/>
            <w:shd w:fill="F8FAFC"/>
            <w:tcMar>
              <w:top w:w="100" w:type="dxa"/>
              <w:bottom w:w="100" w:type="dxa"/>
              <w:left w:w="150" w:type="dxa"/>
              <w:right w:w="150" w:type="dxa"/>
            </w:tcMar>
          </w:tcPr>
          <w:p>
            <w:pPr>
              <w:jc w:val="left"/>
            </w:pPr>
            <w:r>
              <w:rPr>
                <w:rFonts w:ascii="Calibri" w:hAnsi="Calibri"/>
                <w:b w:val="0"/>
                <w:color w:val="1E293B"/>
                <w:sz w:val="18"/>
              </w:rPr>
              <w:t>Ubuntu 22.04 LTS endurecido: Firewall UFW, Fail2ban contra fuerza bruta SSH, llaves RSA exclusivas y parámetros de kernel sysctl.</w:t>
            </w:r>
          </w:p>
        </w:tc>
      </w:tr>
      <w:tr>
        <w:tc>
          <w:tcPr>
            <w:tcW w:type="dxa" w:w="3312"/>
            <w:shd w:fill="FFFFFF"/>
            <w:tcMar>
              <w:top w:w="100" w:type="dxa"/>
              <w:bottom w:w="100" w:type="dxa"/>
              <w:left w:w="150" w:type="dxa"/>
              <w:right w:w="150" w:type="dxa"/>
            </w:tcMar>
          </w:tcPr>
          <w:p>
            <w:pPr>
              <w:jc w:val="left"/>
            </w:pPr>
            <w:r>
              <w:rPr>
                <w:rFonts w:ascii="Calibri" w:hAnsi="Calibri"/>
                <w:b/>
                <w:color w:val="1E293B"/>
                <w:sz w:val="18"/>
              </w:rPr>
              <w:t>Gestión de Identidades y Accesos (IAM)</w:t>
            </w:r>
          </w:p>
        </w:tc>
        <w:tc>
          <w:tcPr>
            <w:tcW w:type="dxa" w:w="3312"/>
            <w:shd w:fill="FFFFFF"/>
            <w:tcMar>
              <w:top w:w="100" w:type="dxa"/>
              <w:bottom w:w="100" w:type="dxa"/>
              <w:left w:w="150" w:type="dxa"/>
              <w:right w:w="150" w:type="dxa"/>
            </w:tcMar>
          </w:tcPr>
          <w:p>
            <w:pPr>
              <w:jc w:val="left"/>
            </w:pPr>
            <w:r>
              <w:rPr>
                <w:rFonts w:ascii="Calibri" w:hAnsi="Calibri"/>
                <w:b w:val="0"/>
                <w:color w:val="1E293B"/>
                <w:sz w:val="18"/>
              </w:rPr>
              <w:t>Cliente (Equipo de Proyecto)</w:t>
            </w:r>
          </w:p>
        </w:tc>
        <w:tc>
          <w:tcPr>
            <w:tcW w:type="dxa" w:w="3312"/>
            <w:shd w:fill="FFFFFF"/>
            <w:tcMar>
              <w:top w:w="100" w:type="dxa"/>
              <w:bottom w:w="100" w:type="dxa"/>
              <w:left w:w="150" w:type="dxa"/>
              <w:right w:w="150" w:type="dxa"/>
            </w:tcMar>
          </w:tcPr>
          <w:p>
            <w:pPr>
              <w:jc w:val="left"/>
            </w:pPr>
            <w:r>
              <w:rPr>
                <w:rFonts w:ascii="Calibri" w:hAnsi="Calibri"/>
                <w:b w:val="0"/>
                <w:color w:val="1E293B"/>
                <w:sz w:val="18"/>
              </w:rPr>
              <w:t>Azure RBAC con principio de menor privilegio (sin uso de cuenta raíz/Owner para operación) e identidades de servicio aisladas.</w:t>
            </w:r>
          </w:p>
        </w:tc>
      </w:tr>
      <w:tr>
        <w:tc>
          <w:tcPr>
            <w:tcW w:type="dxa" w:w="3312"/>
            <w:shd w:fill="F8FAFC"/>
            <w:tcMar>
              <w:top w:w="100" w:type="dxa"/>
              <w:bottom w:w="100" w:type="dxa"/>
              <w:left w:w="150" w:type="dxa"/>
              <w:right w:w="150" w:type="dxa"/>
            </w:tcMar>
          </w:tcPr>
          <w:p>
            <w:pPr>
              <w:jc w:val="left"/>
            </w:pPr>
            <w:r>
              <w:rPr>
                <w:rFonts w:ascii="Calibri" w:hAnsi="Calibri"/>
                <w:b/>
                <w:color w:val="1E293B"/>
                <w:sz w:val="18"/>
              </w:rPr>
              <w:t>Aplicación Web y Datos del Hostal</w:t>
            </w:r>
          </w:p>
        </w:tc>
        <w:tc>
          <w:tcPr>
            <w:tcW w:type="dxa" w:w="3312"/>
            <w:shd w:fill="F8FAFC"/>
            <w:tcMar>
              <w:top w:w="100" w:type="dxa"/>
              <w:bottom w:w="100" w:type="dxa"/>
              <w:left w:w="150" w:type="dxa"/>
              <w:right w:w="150" w:type="dxa"/>
            </w:tcMar>
          </w:tcPr>
          <w:p>
            <w:pPr>
              <w:jc w:val="left"/>
            </w:pPr>
            <w:r>
              <w:rPr>
                <w:rFonts w:ascii="Calibri" w:hAnsi="Calibri"/>
                <w:b w:val="0"/>
                <w:color w:val="1E293B"/>
                <w:sz w:val="18"/>
              </w:rPr>
              <w:t>Cliente (Equipo de Proyecto)</w:t>
            </w:r>
          </w:p>
        </w:tc>
        <w:tc>
          <w:tcPr>
            <w:tcW w:type="dxa" w:w="3312"/>
            <w:shd w:fill="F8FAFC"/>
            <w:tcMar>
              <w:top w:w="100" w:type="dxa"/>
              <w:bottom w:w="100" w:type="dxa"/>
              <w:left w:w="150" w:type="dxa"/>
              <w:right w:w="150" w:type="dxa"/>
            </w:tcMar>
          </w:tcPr>
          <w:p>
            <w:pPr>
              <w:jc w:val="left"/>
            </w:pPr>
            <w:r>
              <w:rPr>
                <w:rFonts w:ascii="Calibri" w:hAnsi="Calibri"/>
                <w:b w:val="0"/>
                <w:color w:val="1E293B"/>
                <w:sz w:val="18"/>
              </w:rPr>
              <w:t>Hostify Lite en Python/Flask con RBAC, cookies HttpOnly, contraseñas con hash PBKDF2/SHA-256 y respaldos diarios con checksum SHA-256.</w:t>
            </w:r>
          </w:p>
        </w:tc>
      </w:tr>
    </w:tbl>
    <w:p>
      <w:pPr>
        <w:spacing w:after="240"/>
      </w:pPr>
    </w:p>
    <w:p>
      <w:pPr>
        <w:pStyle w:val="Heading1"/>
      </w:pPr>
      <w:r>
        <w:rPr>
          <w:color w:val="1E3A8A"/>
        </w:rPr>
        <w:t>2. Arquitectura de Seguridad y Componentes (Criterios 4.1.2 y 4.1.4)</w:t>
      </w:r>
    </w:p>
    <w:p>
      <w:r>
        <w:t>La solución aplica el principio de Defensa en Profundidad (Defense-in-Depth), organizando las medidas de protección en cinco anillos concéntricos donde la vulneración de una capa no compromete la totalidad del sistema:</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200" w:type="dxa"/>
              <w:right w:w="200" w:type="dxa"/>
            </w:tcMar>
            <w:tcBorders>
              <w:top w:val="none"/>
              <w:left w:val="single" w:sz="24" w:space="0" w:color="2563EB"/>
              <w:bottom w:val="none"/>
              <w:right w:val="none"/>
            </w:tcBorders>
          </w:tcPr>
          <w:p>
            <w:pPr>
              <w:spacing w:before="40" w:after="40"/>
            </w:pPr>
            <w:r>
              <w:rPr>
                <w:rFonts w:ascii="Calibri" w:hAnsi="Calibri"/>
                <w:b/>
                <w:color w:val="1E3A8A"/>
                <w:sz w:val="19"/>
              </w:rPr>
              <w:t>📌 DIAGRAMA CONCEPTUAL DE DEFENSA EN PROFUNDIDAD (5 CAPAS)</w:t>
              <w:br/>
            </w:r>
            <w:r>
              <w:rPr>
                <w:rFonts w:ascii="Calibri" w:hAnsi="Calibri"/>
                <w:color w:val="334155"/>
                <w:sz w:val="18"/>
              </w:rPr>
              <w:t>ANILLO 1: Perímetro Cloud (Azure NSG: Reglas Allow HTTP 80 y SSH 22; Deny DBs 3306/5432 y DenyAllInbound)</w:t>
              <w:br/>
              <w:t xml:space="preserve">    ↓</w:t>
              <w:br/>
              <w:t>ANILLO 2: Sistema Operativo y Red Host (Ubuntu 22.04 LTS: UFW Default Deny, Fail2ban, SSH RSA hardened)</w:t>
              <w:br/>
              <w:t xml:space="preserve">    ↓</w:t>
              <w:br/>
              <w:t>ANILLO 3: Proxy Inverso &amp; Mitigación DoS (Nginx: Rate limiting 10 req/s, ocultación server_tokens, cabeceras X-Frame-Options/CSP)</w:t>
              <w:br/>
              <w:t xml:space="preserve">    ↓</w:t>
              <w:br/>
              <w:t>ANILLO 4: Aplicación Web Hostify (Gunicorn 3 workers en 127.0.0.1:8000 bajo 'appuser' no-root, Systemd auto-restart &lt;5s, RBAC)</w:t>
              <w:br/>
              <w:t xml:space="preserve">    ↓</w:t>
              <w:br/>
              <w:t>ANILLO 5: Almacenamiento y Disponibilidad (SQLite local chmod 600, sin sockets TCP, backup diario automatizado con SHA-256)</w:t>
            </w:r>
          </w:p>
        </w:tc>
      </w:tr>
    </w:tbl>
    <w:p>
      <w:pPr>
        <w:spacing w:after="80"/>
      </w:pPr>
    </w:p>
    <w:p>
      <w:pPr>
        <w:pStyle w:val="Heading2"/>
      </w:pPr>
      <w:r>
        <w:t>2.1 Descripción de Componentes Técnicos</w:t>
      </w:r>
    </w:p>
    <w:p>
      <w:r>
        <w:rPr>
          <w:b/>
          <w:color w:val="1E293B"/>
        </w:rPr>
        <w:t xml:space="preserve">1. Perímetro Cloud (Azure NSG 'vm-database-azure-nsg'): </w:t>
      </w:r>
      <w:r>
        <w:t>Filtra el tráfico a nivel de la infraestructura de red de Azure antes de que cualquier paquete alcance la interfaz virtual 'vm-database-azure624'. Bloquea escaneos masivos e intentos de conexión externa a puertos de base de datos.</w:t>
      </w:r>
    </w:p>
    <w:p>
      <w:r>
        <w:rPr>
          <w:b/>
          <w:color w:val="1E293B"/>
        </w:rPr>
        <w:t xml:space="preserve">2. Cortafuegos y Prevención en Host (UFW y Fail2ban): </w:t>
      </w:r>
      <w:r>
        <w:t>UFW establece una política por defecto de denegación entrante en el sistema operativo. Fail2ban vigila continuamente '/var/log/auth.log' e inserta reglas dinámicas de baneo por 24 horas tras 3 intentos fallidos de autenticación SSH.</w:t>
      </w:r>
    </w:p>
    <w:p>
      <w:r>
        <w:rPr>
          <w:b/>
          <w:color w:val="1E293B"/>
        </w:rPr>
        <w:t xml:space="preserve">3. Proxy Inverso y Escudo Web (Nginx 1.18): </w:t>
      </w:r>
      <w:r>
        <w:t>Actúa como terminador de conexiones públicas en el puerto 80. Absorbe ráfagas de tráfico malicioso mediante limitación de tasa (10 req/s), previene ataques de Clickjacking inyectando 'X-Frame-Options: SAMEORIGIN' y bloquea ataques de MIME Sniffing mediante 'X-Content-Type-Options: nosniff'.</w:t>
      </w:r>
    </w:p>
    <w:p>
      <w:r>
        <w:rPr>
          <w:b/>
          <w:color w:val="1E293B"/>
        </w:rPr>
        <w:t xml:space="preserve">4. Servidor WSGI y Aislamiento de Proceso (Gunicorn + Systemd): </w:t>
      </w:r>
      <w:r>
        <w:t>Gunicorn coordina 3 procesos trabajadores de Python enlazados estrictamente a la interfaz local (127.0.0.1:8000). Se ejecuta bajo el usuario del sistema 'appuser' sin consola interactiva (/usr/sbin/nologin). El demonio Systemd supervisa la salud del proceso y lo reinicia automáticamente en menos de 5 segundos ante caídas críticas (Restart=always).</w:t>
      </w:r>
    </w:p>
    <w:p>
      <w:r>
        <w:rPr>
          <w:b/>
          <w:color w:val="1E293B"/>
        </w:rPr>
        <w:t xml:space="preserve">5. Capa de Datos y Respaldo Criptográfico (SQLite + Crontab): </w:t>
      </w:r>
      <w:r>
        <w:t>Los datos de huéspedes y reservas residen en '/opt/security-portal/data/portal_security.db' con permisos de lectura/escritura 'chmod 600' exclusivos para 'appuser'. Al no exponer socket TCP de red, es invulnerable a escaneos remotos. Cada madrugada a las 02:00 AM, un cronjob empaqueta los datos, genera una firma hash SHA-256 para verificación de integridad (anti-tampering) y aplica retención rotativa de 7 días.</w:t>
      </w:r>
    </w:p>
    <w:p>
      <w:pPr>
        <w:spacing w:after="240"/>
      </w:pPr>
    </w:p>
    <w:p>
      <w:pPr>
        <w:pStyle w:val="Heading1"/>
      </w:pPr>
      <w:r>
        <w:rPr>
          <w:color w:val="1E3A8A"/>
        </w:rPr>
        <w:t>3. Matriz de Gestión de Riesgos (Criterios 4.1.3 y 4.1.6)</w:t>
      </w:r>
    </w:p>
    <w:p>
      <w:r>
        <w:t>La evaluación y tratamiento de riesgos se realizó conforme a los lineamientos metodológicos de ISO/IEC 27005 y NIST SP 800-30 Rev. 1. A continuación se presenta la matriz detallada con la asignación de controles del Anexo A de ISO/IEC 27001, NIST SP 800-53 y Cloud Security Alliance (CSA CCM v4):</w:t>
      </w:r>
    </w:p>
    <w:tbl>
      <w:tblPr>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1E3A8A"/>
            <w:tcMar>
              <w:top w:w="120" w:type="dxa"/>
              <w:bottom w:w="120" w:type="dxa"/>
              <w:left w:w="150" w:type="dxa"/>
              <w:right w:w="150" w:type="dxa"/>
            </w:tcMar>
          </w:tcPr>
          <w:p>
            <w:pPr>
              <w:jc w:val="center"/>
            </w:pPr>
            <w:r>
              <w:rPr>
                <w:rFonts w:ascii="Calibri" w:hAnsi="Calibri"/>
                <w:b/>
                <w:color w:val="FFFFFF"/>
                <w:sz w:val="19"/>
              </w:rPr>
              <w:t>ID</w:t>
            </w:r>
          </w:p>
        </w:tc>
        <w:tc>
          <w:tcPr>
            <w:tcW w:type="dxa" w:w="1104"/>
            <w:shd w:fill="1E3A8A"/>
            <w:tcMar>
              <w:top w:w="120" w:type="dxa"/>
              <w:bottom w:w="120" w:type="dxa"/>
              <w:left w:w="150" w:type="dxa"/>
              <w:right w:w="150" w:type="dxa"/>
            </w:tcMar>
          </w:tcPr>
          <w:p>
            <w:pPr>
              <w:jc w:val="center"/>
            </w:pPr>
            <w:r>
              <w:rPr>
                <w:rFonts w:ascii="Calibri" w:hAnsi="Calibri"/>
                <w:b/>
                <w:color w:val="FFFFFF"/>
                <w:sz w:val="19"/>
              </w:rPr>
              <w:t>Amenaza / Escenario</w:t>
            </w:r>
          </w:p>
        </w:tc>
        <w:tc>
          <w:tcPr>
            <w:tcW w:type="dxa" w:w="1104"/>
            <w:shd w:fill="1E3A8A"/>
            <w:tcMar>
              <w:top w:w="120" w:type="dxa"/>
              <w:bottom w:w="120" w:type="dxa"/>
              <w:left w:w="150" w:type="dxa"/>
              <w:right w:w="150" w:type="dxa"/>
            </w:tcMar>
          </w:tcPr>
          <w:p>
            <w:pPr>
              <w:jc w:val="center"/>
            </w:pPr>
            <w:r>
              <w:rPr>
                <w:rFonts w:ascii="Calibri" w:hAnsi="Calibri"/>
                <w:b/>
                <w:color w:val="FFFFFF"/>
                <w:sz w:val="19"/>
              </w:rPr>
              <w:t>Activo</w:t>
            </w:r>
          </w:p>
        </w:tc>
        <w:tc>
          <w:tcPr>
            <w:tcW w:type="dxa" w:w="1104"/>
            <w:shd w:fill="1E3A8A"/>
            <w:tcMar>
              <w:top w:w="120" w:type="dxa"/>
              <w:bottom w:w="120" w:type="dxa"/>
              <w:left w:w="150" w:type="dxa"/>
              <w:right w:w="150" w:type="dxa"/>
            </w:tcMar>
          </w:tcPr>
          <w:p>
            <w:pPr>
              <w:jc w:val="center"/>
            </w:pPr>
            <w:r>
              <w:rPr>
                <w:rFonts w:ascii="Calibri" w:hAnsi="Calibri"/>
                <w:b/>
                <w:color w:val="FFFFFF"/>
                <w:sz w:val="19"/>
              </w:rPr>
              <w:t>P</w:t>
            </w:r>
          </w:p>
        </w:tc>
        <w:tc>
          <w:tcPr>
            <w:tcW w:type="dxa" w:w="1104"/>
            <w:shd w:fill="1E3A8A"/>
            <w:tcMar>
              <w:top w:w="120" w:type="dxa"/>
              <w:bottom w:w="120" w:type="dxa"/>
              <w:left w:w="150" w:type="dxa"/>
              <w:right w:w="150" w:type="dxa"/>
            </w:tcMar>
          </w:tcPr>
          <w:p>
            <w:pPr>
              <w:jc w:val="center"/>
            </w:pPr>
            <w:r>
              <w:rPr>
                <w:rFonts w:ascii="Calibri" w:hAnsi="Calibri"/>
                <w:b/>
                <w:color w:val="FFFFFF"/>
                <w:sz w:val="19"/>
              </w:rPr>
              <w:t>I</w:t>
            </w:r>
          </w:p>
        </w:tc>
        <w:tc>
          <w:tcPr>
            <w:tcW w:type="dxa" w:w="1104"/>
            <w:shd w:fill="1E3A8A"/>
            <w:tcMar>
              <w:top w:w="120" w:type="dxa"/>
              <w:bottom w:w="120" w:type="dxa"/>
              <w:left w:w="150" w:type="dxa"/>
              <w:right w:w="150" w:type="dxa"/>
            </w:tcMar>
          </w:tcPr>
          <w:p>
            <w:pPr>
              <w:jc w:val="center"/>
            </w:pPr>
            <w:r>
              <w:rPr>
                <w:rFonts w:ascii="Calibri" w:hAnsi="Calibri"/>
                <w:b/>
                <w:color w:val="FFFFFF"/>
                <w:sz w:val="19"/>
              </w:rPr>
              <w:t>NR Inicial</w:t>
            </w:r>
          </w:p>
        </w:tc>
        <w:tc>
          <w:tcPr>
            <w:tcW w:type="dxa" w:w="1104"/>
            <w:shd w:fill="1E3A8A"/>
            <w:tcMar>
              <w:top w:w="120" w:type="dxa"/>
              <w:bottom w:w="120" w:type="dxa"/>
              <w:left w:w="150" w:type="dxa"/>
              <w:right w:w="150" w:type="dxa"/>
            </w:tcMar>
          </w:tcPr>
          <w:p>
            <w:pPr>
              <w:jc w:val="center"/>
            </w:pPr>
            <w:r>
              <w:rPr>
                <w:rFonts w:ascii="Calibri" w:hAnsi="Calibri"/>
                <w:b/>
                <w:color w:val="FFFFFF"/>
                <w:sz w:val="19"/>
              </w:rPr>
              <w:t>Controles Normativos (ISO / NIST / CSA)</w:t>
            </w:r>
          </w:p>
        </w:tc>
        <w:tc>
          <w:tcPr>
            <w:tcW w:type="dxa" w:w="1104"/>
            <w:shd w:fill="1E3A8A"/>
            <w:tcMar>
              <w:top w:w="120" w:type="dxa"/>
              <w:bottom w:w="120" w:type="dxa"/>
              <w:left w:w="150" w:type="dxa"/>
              <w:right w:w="150" w:type="dxa"/>
            </w:tcMar>
          </w:tcPr>
          <w:p>
            <w:pPr>
              <w:jc w:val="center"/>
            </w:pPr>
            <w:r>
              <w:rPr>
                <w:rFonts w:ascii="Calibri" w:hAnsi="Calibri"/>
                <w:b/>
                <w:color w:val="FFFFFF"/>
                <w:sz w:val="19"/>
              </w:rPr>
              <w:t>Medida Técnica Implementada</w:t>
            </w:r>
          </w:p>
        </w:tc>
        <w:tc>
          <w:tcPr>
            <w:tcW w:type="dxa" w:w="1104"/>
            <w:shd w:fill="1E3A8A"/>
            <w:tcMar>
              <w:top w:w="120" w:type="dxa"/>
              <w:bottom w:w="120" w:type="dxa"/>
              <w:left w:w="150" w:type="dxa"/>
              <w:right w:w="150" w:type="dxa"/>
            </w:tcMar>
          </w:tcPr>
          <w:p>
            <w:pPr>
              <w:jc w:val="center"/>
            </w:pPr>
            <w:r>
              <w:rPr>
                <w:rFonts w:ascii="Calibri" w:hAnsi="Calibri"/>
                <w:b/>
                <w:color w:val="FFFFFF"/>
                <w:sz w:val="19"/>
              </w:rPr>
              <w:t>NR Final</w:t>
            </w:r>
          </w:p>
        </w:tc>
      </w:tr>
      <w:tr>
        <w:tc>
          <w:tcPr>
            <w:tcW w:type="dxa" w:w="1104"/>
            <w:shd w:fill="FFFFFF"/>
            <w:tcMar>
              <w:top w:w="100" w:type="dxa"/>
              <w:bottom w:w="100" w:type="dxa"/>
              <w:left w:w="150" w:type="dxa"/>
              <w:right w:w="150" w:type="dxa"/>
            </w:tcMar>
          </w:tcPr>
          <w:p>
            <w:pPr>
              <w:jc w:val="left"/>
            </w:pPr>
            <w:r>
              <w:rPr>
                <w:rFonts w:ascii="Calibri" w:hAnsi="Calibri"/>
                <w:b/>
                <w:color w:val="1E293B"/>
                <w:sz w:val="18"/>
              </w:rPr>
              <w:t>R-01</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Compromiso de cuenta raíz / propietario en Azure por uso en operación diaria.</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Suscripción Cloud</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3</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5</w:t>
            </w:r>
          </w:p>
        </w:tc>
        <w:tc>
          <w:tcPr>
            <w:tcW w:type="dxa" w:w="1104"/>
            <w:shd w:fill="FFFFFF"/>
            <w:tcMar>
              <w:top w:w="100" w:type="dxa"/>
              <w:bottom w:w="100" w:type="dxa"/>
              <w:left w:w="150" w:type="dxa"/>
              <w:right w:w="150" w:type="dxa"/>
            </w:tcMar>
          </w:tcPr>
          <w:p>
            <w:pPr>
              <w:jc w:val="left"/>
            </w:pPr>
            <w:r>
              <w:rPr>
                <w:rFonts w:ascii="Calibri" w:hAnsi="Calibri"/>
                <w:b/>
                <w:color w:val="1E293B"/>
                <w:sz w:val="18"/>
              </w:rPr>
              <w:t>15 (Alto)</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ISO A.9.2.3</w:t>
              <w:br/>
              <w:t>NIST AC-2, AC-6</w:t>
              <w:br/>
              <w:t>CSA IAM-01</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Restricción de cuenta Owner exclusiva para contingencias. Roles delegados en Entra ID (Virtual Machine Contributor, Reader).</w:t>
            </w:r>
          </w:p>
        </w:tc>
        <w:tc>
          <w:tcPr>
            <w:tcW w:type="dxa" w:w="1104"/>
            <w:shd w:fill="FFFFFF"/>
            <w:tcMar>
              <w:top w:w="100" w:type="dxa"/>
              <w:bottom w:w="100" w:type="dxa"/>
              <w:left w:w="150" w:type="dxa"/>
              <w:right w:w="150" w:type="dxa"/>
            </w:tcMar>
          </w:tcPr>
          <w:p>
            <w:pPr>
              <w:jc w:val="left"/>
            </w:pPr>
            <w:r>
              <w:rPr>
                <w:rFonts w:ascii="Calibri" w:hAnsi="Calibri"/>
                <w:b/>
                <w:color w:val="1E293B"/>
                <w:sz w:val="18"/>
              </w:rPr>
              <w:t>4 (Bajo)</w:t>
            </w:r>
          </w:p>
        </w:tc>
      </w:tr>
      <w:tr>
        <w:tc>
          <w:tcPr>
            <w:tcW w:type="dxa" w:w="1104"/>
            <w:shd w:fill="F8FAFC"/>
            <w:tcMar>
              <w:top w:w="100" w:type="dxa"/>
              <w:bottom w:w="100" w:type="dxa"/>
              <w:left w:w="150" w:type="dxa"/>
              <w:right w:w="150" w:type="dxa"/>
            </w:tcMar>
          </w:tcPr>
          <w:p>
            <w:pPr>
              <w:jc w:val="left"/>
            </w:pPr>
            <w:r>
              <w:rPr>
                <w:rFonts w:ascii="Calibri" w:hAnsi="Calibri"/>
                <w:b/>
                <w:color w:val="1E293B"/>
                <w:sz w:val="18"/>
              </w:rPr>
              <w:t>R-02</w:t>
            </w:r>
          </w:p>
        </w:tc>
        <w:tc>
          <w:tcPr>
            <w:tcW w:type="dxa" w:w="1104"/>
            <w:shd w:fill="F8FAFC"/>
            <w:tcMar>
              <w:top w:w="100" w:type="dxa"/>
              <w:bottom w:w="100" w:type="dxa"/>
              <w:left w:w="150" w:type="dxa"/>
              <w:right w:w="150" w:type="dxa"/>
            </w:tcMar>
          </w:tcPr>
          <w:p>
            <w:pPr>
              <w:jc w:val="left"/>
            </w:pPr>
            <w:r>
              <w:rPr>
                <w:rFonts w:ascii="Calibri" w:hAnsi="Calibri"/>
                <w:b w:val="0"/>
                <w:color w:val="1E293B"/>
                <w:sz w:val="18"/>
              </w:rPr>
              <w:t>Ataque de fuerza bruta masivo contra el puerto de gestión SSH (22).</w:t>
            </w:r>
          </w:p>
        </w:tc>
        <w:tc>
          <w:tcPr>
            <w:tcW w:type="dxa" w:w="1104"/>
            <w:shd w:fill="F8FAFC"/>
            <w:tcMar>
              <w:top w:w="100" w:type="dxa"/>
              <w:bottom w:w="100" w:type="dxa"/>
              <w:left w:w="150" w:type="dxa"/>
              <w:right w:w="150" w:type="dxa"/>
            </w:tcMar>
          </w:tcPr>
          <w:p>
            <w:pPr>
              <w:jc w:val="left"/>
            </w:pPr>
            <w:r>
              <w:rPr>
                <w:rFonts w:ascii="Calibri" w:hAnsi="Calibri"/>
                <w:b w:val="0"/>
                <w:color w:val="1E293B"/>
                <w:sz w:val="18"/>
              </w:rPr>
              <w:t>Servidor Host Ubuntu</w:t>
            </w:r>
          </w:p>
        </w:tc>
        <w:tc>
          <w:tcPr>
            <w:tcW w:type="dxa" w:w="1104"/>
            <w:shd w:fill="F8FAFC"/>
            <w:tcMar>
              <w:top w:w="100" w:type="dxa"/>
              <w:bottom w:w="100" w:type="dxa"/>
              <w:left w:w="150" w:type="dxa"/>
              <w:right w:w="150" w:type="dxa"/>
            </w:tcMar>
          </w:tcPr>
          <w:p>
            <w:pPr>
              <w:jc w:val="left"/>
            </w:pPr>
            <w:r>
              <w:rPr>
                <w:rFonts w:ascii="Calibri" w:hAnsi="Calibri"/>
                <w:b w:val="0"/>
                <w:color w:val="1E293B"/>
                <w:sz w:val="18"/>
              </w:rPr>
              <w:t>5</w:t>
            </w:r>
          </w:p>
        </w:tc>
        <w:tc>
          <w:tcPr>
            <w:tcW w:type="dxa" w:w="1104"/>
            <w:shd w:fill="F8FAFC"/>
            <w:tcMar>
              <w:top w:w="100" w:type="dxa"/>
              <w:bottom w:w="100" w:type="dxa"/>
              <w:left w:w="150" w:type="dxa"/>
              <w:right w:w="150" w:type="dxa"/>
            </w:tcMar>
          </w:tcPr>
          <w:p>
            <w:pPr>
              <w:jc w:val="left"/>
            </w:pPr>
            <w:r>
              <w:rPr>
                <w:rFonts w:ascii="Calibri" w:hAnsi="Calibri"/>
                <w:b w:val="0"/>
                <w:color w:val="1E293B"/>
                <w:sz w:val="18"/>
              </w:rPr>
              <w:t>4</w:t>
            </w:r>
          </w:p>
        </w:tc>
        <w:tc>
          <w:tcPr>
            <w:tcW w:type="dxa" w:w="1104"/>
            <w:shd w:fill="F8FAFC"/>
            <w:tcMar>
              <w:top w:w="100" w:type="dxa"/>
              <w:bottom w:w="100" w:type="dxa"/>
              <w:left w:w="150" w:type="dxa"/>
              <w:right w:w="150" w:type="dxa"/>
            </w:tcMar>
          </w:tcPr>
          <w:p>
            <w:pPr>
              <w:jc w:val="left"/>
            </w:pPr>
            <w:r>
              <w:rPr>
                <w:rFonts w:ascii="Calibri" w:hAnsi="Calibri"/>
                <w:b/>
                <w:color w:val="1E293B"/>
                <w:sz w:val="18"/>
              </w:rPr>
              <w:t>20 (Crítico)</w:t>
            </w:r>
          </w:p>
        </w:tc>
        <w:tc>
          <w:tcPr>
            <w:tcW w:type="dxa" w:w="1104"/>
            <w:shd w:fill="F8FAFC"/>
            <w:tcMar>
              <w:top w:w="100" w:type="dxa"/>
              <w:bottom w:w="100" w:type="dxa"/>
              <w:left w:w="150" w:type="dxa"/>
              <w:right w:w="150" w:type="dxa"/>
            </w:tcMar>
          </w:tcPr>
          <w:p>
            <w:pPr>
              <w:jc w:val="left"/>
            </w:pPr>
            <w:r>
              <w:rPr>
                <w:rFonts w:ascii="Calibri" w:hAnsi="Calibri"/>
                <w:b w:val="0"/>
                <w:color w:val="1E293B"/>
                <w:sz w:val="18"/>
              </w:rPr>
              <w:t>ISO A.9.4.2</w:t>
              <w:br/>
              <w:t>NIST AC-7</w:t>
              <w:br/>
              <w:t>CSA IAM-09</w:t>
            </w:r>
          </w:p>
        </w:tc>
        <w:tc>
          <w:tcPr>
            <w:tcW w:type="dxa" w:w="1104"/>
            <w:shd w:fill="F8FAFC"/>
            <w:tcMar>
              <w:top w:w="100" w:type="dxa"/>
              <w:bottom w:w="100" w:type="dxa"/>
              <w:left w:w="150" w:type="dxa"/>
              <w:right w:w="150" w:type="dxa"/>
            </w:tcMar>
          </w:tcPr>
          <w:p>
            <w:pPr>
              <w:jc w:val="left"/>
            </w:pPr>
            <w:r>
              <w:rPr>
                <w:rFonts w:ascii="Calibri" w:hAnsi="Calibri"/>
                <w:b w:val="0"/>
                <w:color w:val="1E293B"/>
                <w:sz w:val="18"/>
              </w:rPr>
              <w:t>Deshabilitación de contraseñas (PasswordAuthentication no), llaves RSA exclusivas y jaula Fail2ban (bloqueo por 24h tras 3 fallos).</w:t>
            </w:r>
          </w:p>
        </w:tc>
        <w:tc>
          <w:tcPr>
            <w:tcW w:type="dxa" w:w="1104"/>
            <w:shd w:fill="F8FAFC"/>
            <w:tcMar>
              <w:top w:w="100" w:type="dxa"/>
              <w:bottom w:w="100" w:type="dxa"/>
              <w:left w:w="150" w:type="dxa"/>
              <w:right w:w="150" w:type="dxa"/>
            </w:tcMar>
          </w:tcPr>
          <w:p>
            <w:pPr>
              <w:jc w:val="left"/>
            </w:pPr>
            <w:r>
              <w:rPr>
                <w:rFonts w:ascii="Calibri" w:hAnsi="Calibri"/>
                <w:b/>
                <w:color w:val="1E293B"/>
                <w:sz w:val="18"/>
              </w:rPr>
              <w:t>3 (Bajo)</w:t>
            </w:r>
          </w:p>
        </w:tc>
      </w:tr>
      <w:tr>
        <w:tc>
          <w:tcPr>
            <w:tcW w:type="dxa" w:w="1104"/>
            <w:shd w:fill="FFFFFF"/>
            <w:tcMar>
              <w:top w:w="100" w:type="dxa"/>
              <w:bottom w:w="100" w:type="dxa"/>
              <w:left w:w="150" w:type="dxa"/>
              <w:right w:w="150" w:type="dxa"/>
            </w:tcMar>
          </w:tcPr>
          <w:p>
            <w:pPr>
              <w:jc w:val="left"/>
            </w:pPr>
            <w:r>
              <w:rPr>
                <w:rFonts w:ascii="Calibri" w:hAnsi="Calibri"/>
                <w:b/>
                <w:color w:val="1E293B"/>
                <w:sz w:val="18"/>
              </w:rPr>
              <w:t>R-03</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Caída del sistema durante turnos de recepción por fallo o saturación DoS.</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Disponibilidad Hostify</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4</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4</w:t>
            </w:r>
          </w:p>
        </w:tc>
        <w:tc>
          <w:tcPr>
            <w:tcW w:type="dxa" w:w="1104"/>
            <w:shd w:fill="FFFFFF"/>
            <w:tcMar>
              <w:top w:w="100" w:type="dxa"/>
              <w:bottom w:w="100" w:type="dxa"/>
              <w:left w:w="150" w:type="dxa"/>
              <w:right w:w="150" w:type="dxa"/>
            </w:tcMar>
          </w:tcPr>
          <w:p>
            <w:pPr>
              <w:jc w:val="left"/>
            </w:pPr>
            <w:r>
              <w:rPr>
                <w:rFonts w:ascii="Calibri" w:hAnsi="Calibri"/>
                <w:b/>
                <w:color w:val="1E293B"/>
                <w:sz w:val="18"/>
              </w:rPr>
              <w:t>16 (Crítico)</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ISO A.12.1.3</w:t>
              <w:br/>
              <w:t>NIST CP-2, CP-10</w:t>
              <w:br/>
              <w:t>CSA BCR-02</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Auto-reinicio autónomo en Systemd (Restart=always, &lt;5s) y Rate Limiting en Nginx (10 req/s con burst) contra saturación.</w:t>
            </w:r>
          </w:p>
        </w:tc>
        <w:tc>
          <w:tcPr>
            <w:tcW w:type="dxa" w:w="1104"/>
            <w:shd w:fill="FFFFFF"/>
            <w:tcMar>
              <w:top w:w="100" w:type="dxa"/>
              <w:bottom w:w="100" w:type="dxa"/>
              <w:left w:w="150" w:type="dxa"/>
              <w:right w:w="150" w:type="dxa"/>
            </w:tcMar>
          </w:tcPr>
          <w:p>
            <w:pPr>
              <w:jc w:val="left"/>
            </w:pPr>
            <w:r>
              <w:rPr>
                <w:rFonts w:ascii="Calibri" w:hAnsi="Calibri"/>
                <w:b/>
                <w:color w:val="1E293B"/>
                <w:sz w:val="18"/>
              </w:rPr>
              <w:t>2 (Bajo)</w:t>
            </w:r>
          </w:p>
        </w:tc>
      </w:tr>
      <w:tr>
        <w:tc>
          <w:tcPr>
            <w:tcW w:type="dxa" w:w="1104"/>
            <w:shd w:fill="F8FAFC"/>
            <w:tcMar>
              <w:top w:w="100" w:type="dxa"/>
              <w:bottom w:w="100" w:type="dxa"/>
              <w:left w:w="150" w:type="dxa"/>
              <w:right w:w="150" w:type="dxa"/>
            </w:tcMar>
          </w:tcPr>
          <w:p>
            <w:pPr>
              <w:jc w:val="left"/>
            </w:pPr>
            <w:r>
              <w:rPr>
                <w:rFonts w:ascii="Calibri" w:hAnsi="Calibri"/>
                <w:b/>
                <w:color w:val="1E293B"/>
                <w:sz w:val="18"/>
              </w:rPr>
              <w:t>R-04</w:t>
            </w:r>
          </w:p>
        </w:tc>
        <w:tc>
          <w:tcPr>
            <w:tcW w:type="dxa" w:w="1104"/>
            <w:shd w:fill="F8FAFC"/>
            <w:tcMar>
              <w:top w:w="100" w:type="dxa"/>
              <w:bottom w:w="100" w:type="dxa"/>
              <w:left w:w="150" w:type="dxa"/>
              <w:right w:w="150" w:type="dxa"/>
            </w:tcMar>
          </w:tcPr>
          <w:p>
            <w:pPr>
              <w:jc w:val="left"/>
            </w:pPr>
            <w:r>
              <w:rPr>
                <w:rFonts w:ascii="Calibri" w:hAnsi="Calibri"/>
                <w:b w:val="0"/>
                <w:color w:val="1E293B"/>
                <w:sz w:val="18"/>
              </w:rPr>
              <w:t>Pérdida o corrupción de la base de datos de reservas y huéspedes por desastre o ransomware.</w:t>
            </w:r>
          </w:p>
        </w:tc>
        <w:tc>
          <w:tcPr>
            <w:tcW w:type="dxa" w:w="1104"/>
            <w:shd w:fill="F8FAFC"/>
            <w:tcMar>
              <w:top w:w="100" w:type="dxa"/>
              <w:bottom w:w="100" w:type="dxa"/>
              <w:left w:w="150" w:type="dxa"/>
              <w:right w:w="150" w:type="dxa"/>
            </w:tcMar>
          </w:tcPr>
          <w:p>
            <w:pPr>
              <w:jc w:val="left"/>
            </w:pPr>
            <w:r>
              <w:rPr>
                <w:rFonts w:ascii="Calibri" w:hAnsi="Calibri"/>
                <w:b w:val="0"/>
                <w:color w:val="1E293B"/>
                <w:sz w:val="18"/>
              </w:rPr>
              <w:t>Base de Datos Hostify</w:t>
            </w:r>
          </w:p>
        </w:tc>
        <w:tc>
          <w:tcPr>
            <w:tcW w:type="dxa" w:w="1104"/>
            <w:shd w:fill="F8FAFC"/>
            <w:tcMar>
              <w:top w:w="100" w:type="dxa"/>
              <w:bottom w:w="100" w:type="dxa"/>
              <w:left w:w="150" w:type="dxa"/>
              <w:right w:w="150" w:type="dxa"/>
            </w:tcMar>
          </w:tcPr>
          <w:p>
            <w:pPr>
              <w:jc w:val="left"/>
            </w:pPr>
            <w:r>
              <w:rPr>
                <w:rFonts w:ascii="Calibri" w:hAnsi="Calibri"/>
                <w:b w:val="0"/>
                <w:color w:val="1E293B"/>
                <w:sz w:val="18"/>
              </w:rPr>
              <w:t>3</w:t>
            </w:r>
          </w:p>
        </w:tc>
        <w:tc>
          <w:tcPr>
            <w:tcW w:type="dxa" w:w="1104"/>
            <w:shd w:fill="F8FAFC"/>
            <w:tcMar>
              <w:top w:w="100" w:type="dxa"/>
              <w:bottom w:w="100" w:type="dxa"/>
              <w:left w:w="150" w:type="dxa"/>
              <w:right w:w="150" w:type="dxa"/>
            </w:tcMar>
          </w:tcPr>
          <w:p>
            <w:pPr>
              <w:jc w:val="left"/>
            </w:pPr>
            <w:r>
              <w:rPr>
                <w:rFonts w:ascii="Calibri" w:hAnsi="Calibri"/>
                <w:b w:val="0"/>
                <w:color w:val="1E293B"/>
                <w:sz w:val="18"/>
              </w:rPr>
              <w:t>5</w:t>
            </w:r>
          </w:p>
        </w:tc>
        <w:tc>
          <w:tcPr>
            <w:tcW w:type="dxa" w:w="1104"/>
            <w:shd w:fill="F8FAFC"/>
            <w:tcMar>
              <w:top w:w="100" w:type="dxa"/>
              <w:bottom w:w="100" w:type="dxa"/>
              <w:left w:w="150" w:type="dxa"/>
              <w:right w:w="150" w:type="dxa"/>
            </w:tcMar>
          </w:tcPr>
          <w:p>
            <w:pPr>
              <w:jc w:val="left"/>
            </w:pPr>
            <w:r>
              <w:rPr>
                <w:rFonts w:ascii="Calibri" w:hAnsi="Calibri"/>
                <w:b/>
                <w:color w:val="1E293B"/>
                <w:sz w:val="18"/>
              </w:rPr>
              <w:t>15 (Alto)</w:t>
            </w:r>
          </w:p>
        </w:tc>
        <w:tc>
          <w:tcPr>
            <w:tcW w:type="dxa" w:w="1104"/>
            <w:shd w:fill="F8FAFC"/>
            <w:tcMar>
              <w:top w:w="100" w:type="dxa"/>
              <w:bottom w:w="100" w:type="dxa"/>
              <w:left w:w="150" w:type="dxa"/>
              <w:right w:w="150" w:type="dxa"/>
            </w:tcMar>
          </w:tcPr>
          <w:p>
            <w:pPr>
              <w:jc w:val="left"/>
            </w:pPr>
            <w:r>
              <w:rPr>
                <w:rFonts w:ascii="Calibri" w:hAnsi="Calibri"/>
                <w:b w:val="0"/>
                <w:color w:val="1E293B"/>
                <w:sz w:val="18"/>
              </w:rPr>
              <w:t>ISO A.12.3.1</w:t>
              <w:br/>
              <w:t>NIST CP-9</w:t>
              <w:br/>
              <w:t>CSA DSP-05</w:t>
            </w:r>
          </w:p>
        </w:tc>
        <w:tc>
          <w:tcPr>
            <w:tcW w:type="dxa" w:w="1104"/>
            <w:shd w:fill="F8FAFC"/>
            <w:tcMar>
              <w:top w:w="100" w:type="dxa"/>
              <w:bottom w:w="100" w:type="dxa"/>
              <w:left w:w="150" w:type="dxa"/>
              <w:right w:w="150" w:type="dxa"/>
            </w:tcMar>
          </w:tcPr>
          <w:p>
            <w:pPr>
              <w:jc w:val="left"/>
            </w:pPr>
            <w:r>
              <w:rPr>
                <w:rFonts w:ascii="Calibri" w:hAnsi="Calibri"/>
                <w:b w:val="0"/>
                <w:color w:val="1E293B"/>
                <w:sz w:val="18"/>
              </w:rPr>
              <w:t>Respaldo automatizado diario en crontab (02:00 AM), verificación criptográfica con hash SHA-256 y rotación a 7 días.</w:t>
            </w:r>
          </w:p>
        </w:tc>
        <w:tc>
          <w:tcPr>
            <w:tcW w:type="dxa" w:w="1104"/>
            <w:shd w:fill="F8FAFC"/>
            <w:tcMar>
              <w:top w:w="100" w:type="dxa"/>
              <w:bottom w:w="100" w:type="dxa"/>
              <w:left w:w="150" w:type="dxa"/>
              <w:right w:w="150" w:type="dxa"/>
            </w:tcMar>
          </w:tcPr>
          <w:p>
            <w:pPr>
              <w:jc w:val="left"/>
            </w:pPr>
            <w:r>
              <w:rPr>
                <w:rFonts w:ascii="Calibri" w:hAnsi="Calibri"/>
                <w:b/>
                <w:color w:val="1E293B"/>
                <w:sz w:val="18"/>
              </w:rPr>
              <w:t>2 (Bajo)</w:t>
            </w:r>
          </w:p>
        </w:tc>
      </w:tr>
      <w:tr>
        <w:tc>
          <w:tcPr>
            <w:tcW w:type="dxa" w:w="1104"/>
            <w:shd w:fill="FFFFFF"/>
            <w:tcMar>
              <w:top w:w="100" w:type="dxa"/>
              <w:bottom w:w="100" w:type="dxa"/>
              <w:left w:w="150" w:type="dxa"/>
              <w:right w:w="150" w:type="dxa"/>
            </w:tcMar>
          </w:tcPr>
          <w:p>
            <w:pPr>
              <w:jc w:val="left"/>
            </w:pPr>
            <w:r>
              <w:rPr>
                <w:rFonts w:ascii="Calibri" w:hAnsi="Calibri"/>
                <w:b/>
                <w:color w:val="1E293B"/>
                <w:sz w:val="18"/>
              </w:rPr>
              <w:t>R-05</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Acceso no autorizado o escalada de privilegios a la gestión de usuarios por recepcionistas.</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Confidencialidad / IAM</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4</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4</w:t>
            </w:r>
          </w:p>
        </w:tc>
        <w:tc>
          <w:tcPr>
            <w:tcW w:type="dxa" w:w="1104"/>
            <w:shd w:fill="FFFFFF"/>
            <w:tcMar>
              <w:top w:w="100" w:type="dxa"/>
              <w:bottom w:w="100" w:type="dxa"/>
              <w:left w:w="150" w:type="dxa"/>
              <w:right w:w="150" w:type="dxa"/>
            </w:tcMar>
          </w:tcPr>
          <w:p>
            <w:pPr>
              <w:jc w:val="left"/>
            </w:pPr>
            <w:r>
              <w:rPr>
                <w:rFonts w:ascii="Calibri" w:hAnsi="Calibri"/>
                <w:b/>
                <w:color w:val="1E293B"/>
                <w:sz w:val="18"/>
              </w:rPr>
              <w:t>16 (Crítico)</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ISO A.9.4.1</w:t>
              <w:br/>
              <w:t>NIST AC-3</w:t>
              <w:br/>
              <w:t>CSA IAM-05</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Decoradores RBAC en Flask (@role_required('admin')). Registro automático de UNAUTHORIZED_ACCESS_ATTEMPT en auditoría.</w:t>
            </w:r>
          </w:p>
        </w:tc>
        <w:tc>
          <w:tcPr>
            <w:tcW w:type="dxa" w:w="1104"/>
            <w:shd w:fill="FFFFFF"/>
            <w:tcMar>
              <w:top w:w="100" w:type="dxa"/>
              <w:bottom w:w="100" w:type="dxa"/>
              <w:left w:w="150" w:type="dxa"/>
              <w:right w:w="150" w:type="dxa"/>
            </w:tcMar>
          </w:tcPr>
          <w:p>
            <w:pPr>
              <w:jc w:val="left"/>
            </w:pPr>
            <w:r>
              <w:rPr>
                <w:rFonts w:ascii="Calibri" w:hAnsi="Calibri"/>
                <w:b/>
                <w:color w:val="1E293B"/>
                <w:sz w:val="18"/>
              </w:rPr>
              <w:t>2 (Bajo)</w:t>
            </w:r>
          </w:p>
        </w:tc>
      </w:tr>
      <w:tr>
        <w:tc>
          <w:tcPr>
            <w:tcW w:type="dxa" w:w="1104"/>
            <w:shd w:fill="F8FAFC"/>
            <w:tcMar>
              <w:top w:w="100" w:type="dxa"/>
              <w:bottom w:w="100" w:type="dxa"/>
              <w:left w:w="150" w:type="dxa"/>
              <w:right w:w="150" w:type="dxa"/>
            </w:tcMar>
          </w:tcPr>
          <w:p>
            <w:pPr>
              <w:jc w:val="left"/>
            </w:pPr>
            <w:r>
              <w:rPr>
                <w:rFonts w:ascii="Calibri" w:hAnsi="Calibri"/>
                <w:b/>
                <w:color w:val="1E293B"/>
                <w:sz w:val="18"/>
              </w:rPr>
              <w:t>R-06</w:t>
            </w:r>
          </w:p>
        </w:tc>
        <w:tc>
          <w:tcPr>
            <w:tcW w:type="dxa" w:w="1104"/>
            <w:shd w:fill="F8FAFC"/>
            <w:tcMar>
              <w:top w:w="100" w:type="dxa"/>
              <w:bottom w:w="100" w:type="dxa"/>
              <w:left w:w="150" w:type="dxa"/>
              <w:right w:w="150" w:type="dxa"/>
            </w:tcMar>
          </w:tcPr>
          <w:p>
            <w:pPr>
              <w:jc w:val="left"/>
            </w:pPr>
            <w:r>
              <w:rPr>
                <w:rFonts w:ascii="Calibri" w:hAnsi="Calibri"/>
                <w:b w:val="0"/>
                <w:color w:val="1E293B"/>
                <w:sz w:val="18"/>
              </w:rPr>
              <w:t>Exposición perimetral indebida y filtración de datos personales de huéspedes (PII / Ley 19.628).</w:t>
            </w:r>
          </w:p>
        </w:tc>
        <w:tc>
          <w:tcPr>
            <w:tcW w:type="dxa" w:w="1104"/>
            <w:shd w:fill="F8FAFC"/>
            <w:tcMar>
              <w:top w:w="100" w:type="dxa"/>
              <w:bottom w:w="100" w:type="dxa"/>
              <w:left w:w="150" w:type="dxa"/>
              <w:right w:w="150" w:type="dxa"/>
            </w:tcMar>
          </w:tcPr>
          <w:p>
            <w:pPr>
              <w:jc w:val="left"/>
            </w:pPr>
            <w:r>
              <w:rPr>
                <w:rFonts w:ascii="Calibri" w:hAnsi="Calibri"/>
                <w:b w:val="0"/>
                <w:color w:val="1E293B"/>
                <w:sz w:val="18"/>
              </w:rPr>
              <w:t>Privacidad Huéspedes</w:t>
            </w:r>
          </w:p>
        </w:tc>
        <w:tc>
          <w:tcPr>
            <w:tcW w:type="dxa" w:w="1104"/>
            <w:shd w:fill="F8FAFC"/>
            <w:tcMar>
              <w:top w:w="100" w:type="dxa"/>
              <w:bottom w:w="100" w:type="dxa"/>
              <w:left w:w="150" w:type="dxa"/>
              <w:right w:w="150" w:type="dxa"/>
            </w:tcMar>
          </w:tcPr>
          <w:p>
            <w:pPr>
              <w:jc w:val="left"/>
            </w:pPr>
            <w:r>
              <w:rPr>
                <w:rFonts w:ascii="Calibri" w:hAnsi="Calibri"/>
                <w:b w:val="0"/>
                <w:color w:val="1E293B"/>
                <w:sz w:val="18"/>
              </w:rPr>
              <w:t>4</w:t>
            </w:r>
          </w:p>
        </w:tc>
        <w:tc>
          <w:tcPr>
            <w:tcW w:type="dxa" w:w="1104"/>
            <w:shd w:fill="F8FAFC"/>
            <w:tcMar>
              <w:top w:w="100" w:type="dxa"/>
              <w:bottom w:w="100" w:type="dxa"/>
              <w:left w:w="150" w:type="dxa"/>
              <w:right w:w="150" w:type="dxa"/>
            </w:tcMar>
          </w:tcPr>
          <w:p>
            <w:pPr>
              <w:jc w:val="left"/>
            </w:pPr>
            <w:r>
              <w:rPr>
                <w:rFonts w:ascii="Calibri" w:hAnsi="Calibri"/>
                <w:b w:val="0"/>
                <w:color w:val="1E293B"/>
                <w:sz w:val="18"/>
              </w:rPr>
              <w:t>5</w:t>
            </w:r>
          </w:p>
        </w:tc>
        <w:tc>
          <w:tcPr>
            <w:tcW w:type="dxa" w:w="1104"/>
            <w:shd w:fill="F8FAFC"/>
            <w:tcMar>
              <w:top w:w="100" w:type="dxa"/>
              <w:bottom w:w="100" w:type="dxa"/>
              <w:left w:w="150" w:type="dxa"/>
              <w:right w:w="150" w:type="dxa"/>
            </w:tcMar>
          </w:tcPr>
          <w:p>
            <w:pPr>
              <w:jc w:val="left"/>
            </w:pPr>
            <w:r>
              <w:rPr>
                <w:rFonts w:ascii="Calibri" w:hAnsi="Calibri"/>
                <w:b/>
                <w:color w:val="1E293B"/>
                <w:sz w:val="18"/>
              </w:rPr>
              <w:t>20 (Crítico)</w:t>
            </w:r>
          </w:p>
        </w:tc>
        <w:tc>
          <w:tcPr>
            <w:tcW w:type="dxa" w:w="1104"/>
            <w:shd w:fill="F8FAFC"/>
            <w:tcMar>
              <w:top w:w="100" w:type="dxa"/>
              <w:bottom w:w="100" w:type="dxa"/>
              <w:left w:w="150" w:type="dxa"/>
              <w:right w:w="150" w:type="dxa"/>
            </w:tcMar>
          </w:tcPr>
          <w:p>
            <w:pPr>
              <w:jc w:val="left"/>
            </w:pPr>
            <w:r>
              <w:rPr>
                <w:rFonts w:ascii="Calibri" w:hAnsi="Calibri"/>
                <w:b w:val="0"/>
                <w:color w:val="1E293B"/>
                <w:sz w:val="18"/>
              </w:rPr>
              <w:t>ISO A.13.1.1</w:t>
              <w:br/>
              <w:t>NIST SC-7</w:t>
              <w:br/>
              <w:t>CSA IVS-06</w:t>
            </w:r>
          </w:p>
        </w:tc>
        <w:tc>
          <w:tcPr>
            <w:tcW w:type="dxa" w:w="1104"/>
            <w:shd w:fill="F8FAFC"/>
            <w:tcMar>
              <w:top w:w="100" w:type="dxa"/>
              <w:bottom w:w="100" w:type="dxa"/>
              <w:left w:w="150" w:type="dxa"/>
              <w:right w:w="150" w:type="dxa"/>
            </w:tcMar>
          </w:tcPr>
          <w:p>
            <w:pPr>
              <w:jc w:val="left"/>
            </w:pPr>
            <w:r>
              <w:rPr>
                <w:rFonts w:ascii="Calibri" w:hAnsi="Calibri"/>
                <w:b w:val="0"/>
                <w:color w:val="1E293B"/>
                <w:sz w:val="18"/>
              </w:rPr>
              <w:t>Base de datos SQLite local sin socket de red TCP expuesto, permisos chmod 600 y bloqueo explícito en NSG y UFW.</w:t>
            </w:r>
          </w:p>
        </w:tc>
        <w:tc>
          <w:tcPr>
            <w:tcW w:type="dxa" w:w="1104"/>
            <w:shd w:fill="F8FAFC"/>
            <w:tcMar>
              <w:top w:w="100" w:type="dxa"/>
              <w:bottom w:w="100" w:type="dxa"/>
              <w:left w:w="150" w:type="dxa"/>
              <w:right w:w="150" w:type="dxa"/>
            </w:tcMar>
          </w:tcPr>
          <w:p>
            <w:pPr>
              <w:jc w:val="left"/>
            </w:pPr>
            <w:r>
              <w:rPr>
                <w:rFonts w:ascii="Calibri" w:hAnsi="Calibri"/>
                <w:b/>
                <w:color w:val="1E293B"/>
                <w:sz w:val="18"/>
              </w:rPr>
              <w:t>3 (Bajo)</w:t>
            </w:r>
          </w:p>
        </w:tc>
      </w:tr>
      <w:tr>
        <w:tc>
          <w:tcPr>
            <w:tcW w:type="dxa" w:w="1104"/>
            <w:shd w:fill="FFFFFF"/>
            <w:tcMar>
              <w:top w:w="100" w:type="dxa"/>
              <w:bottom w:w="100" w:type="dxa"/>
              <w:left w:w="150" w:type="dxa"/>
              <w:right w:w="150" w:type="dxa"/>
            </w:tcMar>
          </w:tcPr>
          <w:p>
            <w:pPr>
              <w:jc w:val="left"/>
            </w:pPr>
            <w:r>
              <w:rPr>
                <w:rFonts w:ascii="Calibri" w:hAnsi="Calibri"/>
                <w:b/>
                <w:color w:val="1E293B"/>
                <w:sz w:val="18"/>
              </w:rPr>
              <w:t>R-07</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Ataques web por cabeceras inseguras (Clickjacking, MIME Sniffing, XSS en reservas).</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Integridad de Interfaz</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3</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3</w:t>
            </w:r>
          </w:p>
        </w:tc>
        <w:tc>
          <w:tcPr>
            <w:tcW w:type="dxa" w:w="1104"/>
            <w:shd w:fill="FFFFFF"/>
            <w:tcMar>
              <w:top w:w="100" w:type="dxa"/>
              <w:bottom w:w="100" w:type="dxa"/>
              <w:left w:w="150" w:type="dxa"/>
              <w:right w:w="150" w:type="dxa"/>
            </w:tcMar>
          </w:tcPr>
          <w:p>
            <w:pPr>
              <w:jc w:val="left"/>
            </w:pPr>
            <w:r>
              <w:rPr>
                <w:rFonts w:ascii="Calibri" w:hAnsi="Calibri"/>
                <w:b/>
                <w:color w:val="1E293B"/>
                <w:sz w:val="18"/>
              </w:rPr>
              <w:t>9 (Medio)</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ISO A.14.2.5</w:t>
              <w:br/>
              <w:t>NIST SI-10</w:t>
              <w:br/>
              <w:t>CSA AAC-03</w:t>
            </w:r>
          </w:p>
        </w:tc>
        <w:tc>
          <w:tcPr>
            <w:tcW w:type="dxa" w:w="1104"/>
            <w:shd w:fill="FFFFFF"/>
            <w:tcMar>
              <w:top w:w="100" w:type="dxa"/>
              <w:bottom w:w="100" w:type="dxa"/>
              <w:left w:w="150" w:type="dxa"/>
              <w:right w:w="150" w:type="dxa"/>
            </w:tcMar>
          </w:tcPr>
          <w:p>
            <w:pPr>
              <w:jc w:val="left"/>
            </w:pPr>
            <w:r>
              <w:rPr>
                <w:rFonts w:ascii="Calibri" w:hAnsi="Calibri"/>
                <w:b w:val="0"/>
                <w:color w:val="1E293B"/>
                <w:sz w:val="18"/>
              </w:rPr>
              <w:t>Inyección de cabeceras HTTP estrictas: X-Frame-Options: SAMEORIGIN, X-Content-Type-Options: nosniff, CSP y X-XSS-Protection.</w:t>
            </w:r>
          </w:p>
        </w:tc>
        <w:tc>
          <w:tcPr>
            <w:tcW w:type="dxa" w:w="1104"/>
            <w:shd w:fill="FFFFFF"/>
            <w:tcMar>
              <w:top w:w="100" w:type="dxa"/>
              <w:bottom w:w="100" w:type="dxa"/>
              <w:left w:w="150" w:type="dxa"/>
              <w:right w:w="150" w:type="dxa"/>
            </w:tcMar>
          </w:tcPr>
          <w:p>
            <w:pPr>
              <w:jc w:val="left"/>
            </w:pPr>
            <w:r>
              <w:rPr>
                <w:rFonts w:ascii="Calibri" w:hAnsi="Calibri"/>
                <w:b/>
                <w:color w:val="1E293B"/>
                <w:sz w:val="18"/>
              </w:rPr>
              <w:t>1 (Bajo)</w:t>
            </w:r>
          </w:p>
        </w:tc>
      </w:tr>
    </w:tbl>
    <w:p>
      <w:pPr>
        <w:spacing w:after="120"/>
      </w:pP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200" w:type="dxa"/>
              <w:right w:w="200" w:type="dxa"/>
            </w:tcMar>
            <w:tcBorders>
              <w:top w:val="none"/>
              <w:left w:val="single" w:sz="24" w:space="0" w:color="2563EB"/>
              <w:bottom w:val="none"/>
              <w:right w:val="none"/>
            </w:tcBorders>
          </w:tcPr>
          <w:p>
            <w:pPr>
              <w:spacing w:before="40" w:after="40"/>
            </w:pPr>
            <w:r>
              <w:rPr>
                <w:rFonts w:ascii="Calibri" w:hAnsi="Calibri"/>
                <w:b/>
                <w:color w:val="1E3A8A"/>
                <w:sz w:val="19"/>
              </w:rPr>
              <w:t>📌 EFECTIVIDAD DE LA MITIGACIÓN</w:t>
              <w:br/>
            </w:r>
            <w:r>
              <w:rPr>
                <w:rFonts w:ascii="Calibri" w:hAnsi="Calibri"/>
                <w:color w:val="334155"/>
                <w:sz w:val="18"/>
              </w:rPr>
              <w:t>Conclusión del Análisis de Riesgos:</w:t>
              <w:br/>
              <w:t>La implementación de los controles de seguridad redujo el 100% de los riesgos catalogados como Críticos (20/25) y Altos (15/25) a niveles de riesgo residual Aceptables (inferiores a 4/25), garantizando la continuidad operativa y el resguardo de la información del hostal.</w:t>
            </w:r>
          </w:p>
        </w:tc>
      </w:tr>
    </w:tbl>
    <w:p>
      <w:pPr>
        <w:spacing w:after="80"/>
      </w:pPr>
    </w:p>
    <w:p>
      <w:pPr>
        <w:pStyle w:val="Heading1"/>
      </w:pPr>
      <w:r>
        <w:rPr>
          <w:color w:val="1E3A8A"/>
        </w:rPr>
        <w:t>4. Configuración de IAM en Azure y Aplicación (Criterios 4.1.3 y 4.1.4)</w:t>
      </w:r>
    </w:p>
    <w:p>
      <w:pPr>
        <w:pStyle w:val="Heading2"/>
      </w:pPr>
      <w:r>
        <w:t>4.1 Política de No Uso de la Cuenta Raíz / Propietario en la Nube</w:t>
      </w:r>
    </w:p>
    <w:p>
      <w:r>
        <w:t>En consonancia con el control A.9.2.3 de ISO/IEC 27001 y NIST SP 800-53 (AC-6), la cuenta con privilegios de Owner en Microsoft Azure se reservó exclusivamente para la constitución inicial de la suscripción y contingencias mayores (Break-Glass). Para la gestión cotidiana de la máquina virtual 'vm-database-azure', se establecieron dos grupos de seguridad en Azure Entra ID:</w:t>
      </w:r>
    </w:p>
    <w:p>
      <w:pPr>
        <w:pStyle w:val="ListBullet"/>
      </w:pPr>
      <w:r>
        <w:rPr>
          <w:b/>
          <w:color w:val="1E3A8A"/>
        </w:rPr>
        <w:t xml:space="preserve">Grupo GRP-Hostify-DevOps (Operación Técnica): </w:t>
      </w:r>
      <w:r>
        <w:t>Asignado con los roles 'Virtual Machine Contributor' y 'Network Contributor' en el ámbito del Resource Group 'rg-crud-multicloud'. Permite iniciar, apagar y verificar métricas de la VM, sin facultades para otorgar permisos a otros usuarios ni ver facturación.</w:t>
      </w:r>
    </w:p>
    <w:p>
      <w:pPr>
        <w:pStyle w:val="ListBullet"/>
      </w:pPr>
      <w:r>
        <w:rPr>
          <w:b/>
          <w:color w:val="1E3A8A"/>
        </w:rPr>
        <w:t xml:space="preserve">Grupo GRP-Hostify-Auditors (Revisión y Auditoría Externa): </w:t>
      </w:r>
      <w:r>
        <w:t>Asignado con el rol 'Reader'. Faculta la inspección de configuraciones de red, NSG y telemetría sin posibilidad de alteración.</w:t>
      </w:r>
    </w:p>
    <w:p>
      <w:pPr>
        <w:pStyle w:val="ListBullet"/>
      </w:pPr>
      <w:r>
        <w:rPr>
          <w:b/>
          <w:color w:val="1E3A8A"/>
        </w:rPr>
        <w:t xml:space="preserve">Identidad Administrada del Sistema (Managed Identity): </w:t>
      </w:r>
      <w:r>
        <w:t>Habilitada en la VM mediante 'az vm identity assign', permitiendo que el servidor se autentique de forma transparente ante Azure Key Vault y Storage sin almacenar claves planas en disco (NIST IA-2).</w:t>
      </w:r>
    </w:p>
    <w:p>
      <w:pPr>
        <w:pStyle w:val="Heading2"/>
      </w:pPr>
      <w:r>
        <w:t>4.2 Control de Acceso Basado en Roles en Hostify Lite (App RBAC)</w:t>
      </w:r>
    </w:p>
    <w:p>
      <w:r>
        <w:t>A nivel de software, Hostify Lite establece una estricta Separación de Funciones (Separation of Duties) entre los dos roles del sistema hostelero:</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Mar>
              <w:top w:w="120" w:type="dxa"/>
              <w:bottom w:w="120" w:type="dxa"/>
              <w:left w:w="150" w:type="dxa"/>
              <w:right w:w="150" w:type="dxa"/>
            </w:tcMar>
          </w:tcPr>
          <w:p>
            <w:pPr>
              <w:jc w:val="center"/>
            </w:pPr>
            <w:r>
              <w:rPr>
                <w:rFonts w:ascii="Calibri" w:hAnsi="Calibri"/>
                <w:b/>
                <w:color w:val="FFFFFF"/>
                <w:sz w:val="19"/>
              </w:rPr>
              <w:t>Módulo / Funcionalidad</w:t>
            </w:r>
          </w:p>
        </w:tc>
        <w:tc>
          <w:tcPr>
            <w:tcW w:type="dxa" w:w="2484"/>
            <w:shd w:fill="1E3A8A"/>
            <w:tcMar>
              <w:top w:w="120" w:type="dxa"/>
              <w:bottom w:w="120" w:type="dxa"/>
              <w:left w:w="150" w:type="dxa"/>
              <w:right w:w="150" w:type="dxa"/>
            </w:tcMar>
          </w:tcPr>
          <w:p>
            <w:pPr>
              <w:jc w:val="center"/>
            </w:pPr>
            <w:r>
              <w:rPr>
                <w:rFonts w:ascii="Calibri" w:hAnsi="Calibri"/>
                <w:b/>
                <w:color w:val="FFFFFF"/>
                <w:sz w:val="19"/>
              </w:rPr>
              <w:t>Rol 'encargado' (Recepción)</w:t>
            </w:r>
          </w:p>
        </w:tc>
        <w:tc>
          <w:tcPr>
            <w:tcW w:type="dxa" w:w="2484"/>
            <w:shd w:fill="1E3A8A"/>
            <w:tcMar>
              <w:top w:w="120" w:type="dxa"/>
              <w:bottom w:w="120" w:type="dxa"/>
              <w:left w:w="150" w:type="dxa"/>
              <w:right w:w="150" w:type="dxa"/>
            </w:tcMar>
          </w:tcPr>
          <w:p>
            <w:pPr>
              <w:jc w:val="center"/>
            </w:pPr>
            <w:r>
              <w:rPr>
                <w:rFonts w:ascii="Calibri" w:hAnsi="Calibri"/>
                <w:b/>
                <w:color w:val="FFFFFF"/>
                <w:sz w:val="19"/>
              </w:rPr>
              <w:t>Rol 'admin' (Administración)</w:t>
            </w:r>
          </w:p>
        </w:tc>
        <w:tc>
          <w:tcPr>
            <w:tcW w:type="dxa" w:w="2484"/>
            <w:shd w:fill="1E3A8A"/>
            <w:tcMar>
              <w:top w:w="120" w:type="dxa"/>
              <w:bottom w:w="120" w:type="dxa"/>
              <w:left w:w="150" w:type="dxa"/>
              <w:right w:w="150" w:type="dxa"/>
            </w:tcMar>
          </w:tcPr>
          <w:p>
            <w:pPr>
              <w:jc w:val="center"/>
            </w:pPr>
            <w:r>
              <w:rPr>
                <w:rFonts w:ascii="Calibri" w:hAnsi="Calibri"/>
                <w:b/>
                <w:color w:val="FFFFFF"/>
                <w:sz w:val="19"/>
              </w:rPr>
              <w:t>Mecanismo de Seguridad Aplicado</w:t>
            </w:r>
          </w:p>
        </w:tc>
      </w:tr>
      <w:tr>
        <w:tc>
          <w:tcPr>
            <w:tcW w:type="dxa" w:w="2484"/>
            <w:shd w:fill="FFFFFF"/>
            <w:tcMar>
              <w:top w:w="100" w:type="dxa"/>
              <w:bottom w:w="100" w:type="dxa"/>
              <w:left w:w="150" w:type="dxa"/>
              <w:right w:w="150" w:type="dxa"/>
            </w:tcMar>
          </w:tcPr>
          <w:p>
            <w:pPr>
              <w:jc w:val="left"/>
            </w:pPr>
            <w:r>
              <w:rPr>
                <w:rFonts w:ascii="Calibri" w:hAnsi="Calibri"/>
                <w:b/>
                <w:color w:val="1E293B"/>
                <w:sz w:val="18"/>
              </w:rPr>
              <w:t>Autenticación y Dashboard de Ocupación</w:t>
            </w:r>
          </w:p>
        </w:tc>
        <w:tc>
          <w:tcPr>
            <w:tcW w:type="dxa" w:w="2484"/>
            <w:shd w:fill="FFFFFF"/>
            <w:tcMar>
              <w:top w:w="100" w:type="dxa"/>
              <w:bottom w:w="100" w:type="dxa"/>
              <w:left w:w="150" w:type="dxa"/>
              <w:right w:w="150" w:type="dxa"/>
            </w:tcMar>
          </w:tcPr>
          <w:p>
            <w:pPr>
              <w:jc w:val="center"/>
            </w:pPr>
            <w:r>
              <w:rPr>
                <w:rFonts w:ascii="Calibri" w:hAnsi="Calibri"/>
                <w:b w:val="0"/>
                <w:color w:val="1E293B"/>
                <w:sz w:val="18"/>
              </w:rPr>
              <w:t>PERMITIDO</w:t>
            </w:r>
          </w:p>
        </w:tc>
        <w:tc>
          <w:tcPr>
            <w:tcW w:type="dxa" w:w="2484"/>
            <w:shd w:fill="FFFFFF"/>
            <w:tcMar>
              <w:top w:w="100" w:type="dxa"/>
              <w:bottom w:w="100" w:type="dxa"/>
              <w:left w:w="150" w:type="dxa"/>
              <w:right w:w="150" w:type="dxa"/>
            </w:tcMar>
          </w:tcPr>
          <w:p>
            <w:pPr>
              <w:jc w:val="center"/>
            </w:pPr>
            <w:r>
              <w:rPr>
                <w:rFonts w:ascii="Calibri" w:hAnsi="Calibri"/>
                <w:b w:val="0"/>
                <w:color w:val="1E293B"/>
                <w:sz w:val="18"/>
              </w:rPr>
              <w:t>PERMITIDO</w:t>
            </w:r>
          </w:p>
        </w:tc>
        <w:tc>
          <w:tcPr>
            <w:tcW w:type="dxa" w:w="2484"/>
            <w:shd w:fill="FFFFFF"/>
            <w:tcMar>
              <w:top w:w="100" w:type="dxa"/>
              <w:bottom w:w="100" w:type="dxa"/>
              <w:left w:w="150" w:type="dxa"/>
              <w:right w:w="150" w:type="dxa"/>
            </w:tcMar>
          </w:tcPr>
          <w:p>
            <w:pPr>
              <w:jc w:val="left"/>
            </w:pPr>
            <w:r>
              <w:rPr>
                <w:rFonts w:ascii="Calibri" w:hAnsi="Calibri"/>
                <w:b w:val="0"/>
                <w:color w:val="1E293B"/>
                <w:sz w:val="18"/>
              </w:rPr>
              <w:t>Sesión segura con cookie HttpOnly y SameSite=Lax.</w:t>
            </w:r>
          </w:p>
        </w:tc>
      </w:tr>
      <w:tr>
        <w:tc>
          <w:tcPr>
            <w:tcW w:type="dxa" w:w="2484"/>
            <w:shd w:fill="F8FAFC"/>
            <w:tcMar>
              <w:top w:w="100" w:type="dxa"/>
              <w:bottom w:w="100" w:type="dxa"/>
              <w:left w:w="150" w:type="dxa"/>
              <w:right w:w="150" w:type="dxa"/>
            </w:tcMar>
          </w:tcPr>
          <w:p>
            <w:pPr>
              <w:jc w:val="left"/>
            </w:pPr>
            <w:r>
              <w:rPr>
                <w:rFonts w:ascii="Calibri" w:hAnsi="Calibri"/>
                <w:b/>
                <w:color w:val="1E293B"/>
                <w:sz w:val="18"/>
              </w:rPr>
              <w:t>Registro y Directorio de Huéspedes</w:t>
            </w:r>
          </w:p>
        </w:tc>
        <w:tc>
          <w:tcPr>
            <w:tcW w:type="dxa" w:w="2484"/>
            <w:shd w:fill="F8FAFC"/>
            <w:tcMar>
              <w:top w:w="100" w:type="dxa"/>
              <w:bottom w:w="100" w:type="dxa"/>
              <w:left w:w="150" w:type="dxa"/>
              <w:right w:w="150" w:type="dxa"/>
            </w:tcMar>
          </w:tcPr>
          <w:p>
            <w:pPr>
              <w:jc w:val="center"/>
            </w:pPr>
            <w:r>
              <w:rPr>
                <w:rFonts w:ascii="Calibri" w:hAnsi="Calibri"/>
                <w:b w:val="0"/>
                <w:color w:val="1E293B"/>
                <w:sz w:val="18"/>
              </w:rPr>
              <w:t>PERMITIDO</w:t>
            </w:r>
          </w:p>
        </w:tc>
        <w:tc>
          <w:tcPr>
            <w:tcW w:type="dxa" w:w="2484"/>
            <w:shd w:fill="F8FAFC"/>
            <w:tcMar>
              <w:top w:w="100" w:type="dxa"/>
              <w:bottom w:w="100" w:type="dxa"/>
              <w:left w:w="150" w:type="dxa"/>
              <w:right w:w="150" w:type="dxa"/>
            </w:tcMar>
          </w:tcPr>
          <w:p>
            <w:pPr>
              <w:jc w:val="center"/>
            </w:pPr>
            <w:r>
              <w:rPr>
                <w:rFonts w:ascii="Calibri" w:hAnsi="Calibri"/>
                <w:b w:val="0"/>
                <w:color w:val="1E293B"/>
                <w:sz w:val="18"/>
              </w:rPr>
              <w:t>PERMITIDO</w:t>
            </w:r>
          </w:p>
        </w:tc>
        <w:tc>
          <w:tcPr>
            <w:tcW w:type="dxa" w:w="2484"/>
            <w:shd w:fill="F8FAFC"/>
            <w:tcMar>
              <w:top w:w="100" w:type="dxa"/>
              <w:bottom w:w="100" w:type="dxa"/>
              <w:left w:w="150" w:type="dxa"/>
              <w:right w:w="150" w:type="dxa"/>
            </w:tcMar>
          </w:tcPr>
          <w:p>
            <w:pPr>
              <w:jc w:val="left"/>
            </w:pPr>
            <w:r>
              <w:rPr>
                <w:rFonts w:ascii="Calibri" w:hAnsi="Calibri"/>
                <w:b w:val="0"/>
                <w:color w:val="1E293B"/>
                <w:sz w:val="18"/>
              </w:rPr>
              <w:t>Validación estricta de formato y saneamiento de entradas.</w:t>
            </w:r>
          </w:p>
        </w:tc>
      </w:tr>
      <w:tr>
        <w:tc>
          <w:tcPr>
            <w:tcW w:type="dxa" w:w="2484"/>
            <w:shd w:fill="FFFFFF"/>
            <w:tcMar>
              <w:top w:w="100" w:type="dxa"/>
              <w:bottom w:w="100" w:type="dxa"/>
              <w:left w:w="150" w:type="dxa"/>
              <w:right w:w="150" w:type="dxa"/>
            </w:tcMar>
          </w:tcPr>
          <w:p>
            <w:pPr>
              <w:jc w:val="left"/>
            </w:pPr>
            <w:r>
              <w:rPr>
                <w:rFonts w:ascii="Calibri" w:hAnsi="Calibri"/>
                <w:b/>
                <w:color w:val="1E293B"/>
                <w:sz w:val="18"/>
              </w:rPr>
              <w:t>Creación y Asignación de Reservas</w:t>
            </w:r>
          </w:p>
        </w:tc>
        <w:tc>
          <w:tcPr>
            <w:tcW w:type="dxa" w:w="2484"/>
            <w:shd w:fill="FFFFFF"/>
            <w:tcMar>
              <w:top w:w="100" w:type="dxa"/>
              <w:bottom w:w="100" w:type="dxa"/>
              <w:left w:w="150" w:type="dxa"/>
              <w:right w:w="150" w:type="dxa"/>
            </w:tcMar>
          </w:tcPr>
          <w:p>
            <w:pPr>
              <w:jc w:val="center"/>
            </w:pPr>
            <w:r>
              <w:rPr>
                <w:rFonts w:ascii="Calibri" w:hAnsi="Calibri"/>
                <w:b w:val="0"/>
                <w:color w:val="1E293B"/>
                <w:sz w:val="18"/>
              </w:rPr>
              <w:t>PERMITIDO</w:t>
            </w:r>
          </w:p>
        </w:tc>
        <w:tc>
          <w:tcPr>
            <w:tcW w:type="dxa" w:w="2484"/>
            <w:shd w:fill="FFFFFF"/>
            <w:tcMar>
              <w:top w:w="100" w:type="dxa"/>
              <w:bottom w:w="100" w:type="dxa"/>
              <w:left w:w="150" w:type="dxa"/>
              <w:right w:w="150" w:type="dxa"/>
            </w:tcMar>
          </w:tcPr>
          <w:p>
            <w:pPr>
              <w:jc w:val="center"/>
            </w:pPr>
            <w:r>
              <w:rPr>
                <w:rFonts w:ascii="Calibri" w:hAnsi="Calibri"/>
                <w:b w:val="0"/>
                <w:color w:val="1E293B"/>
                <w:sz w:val="18"/>
              </w:rPr>
              <w:t>PERMITIDO</w:t>
            </w:r>
          </w:p>
        </w:tc>
        <w:tc>
          <w:tcPr>
            <w:tcW w:type="dxa" w:w="2484"/>
            <w:shd w:fill="FFFFFF"/>
            <w:tcMar>
              <w:top w:w="100" w:type="dxa"/>
              <w:bottom w:w="100" w:type="dxa"/>
              <w:left w:w="150" w:type="dxa"/>
              <w:right w:w="150" w:type="dxa"/>
            </w:tcMar>
          </w:tcPr>
          <w:p>
            <w:pPr>
              <w:jc w:val="left"/>
            </w:pPr>
            <w:r>
              <w:rPr>
                <w:rFonts w:ascii="Calibri" w:hAnsi="Calibri"/>
                <w:b w:val="0"/>
                <w:color w:val="1E293B"/>
                <w:sz w:val="18"/>
              </w:rPr>
              <w:t>Comprobación de habitaciones en estado DISPONIBLE.</w:t>
            </w:r>
          </w:p>
        </w:tc>
      </w:tr>
      <w:tr>
        <w:tc>
          <w:tcPr>
            <w:tcW w:type="dxa" w:w="2484"/>
            <w:shd w:fill="F8FAFC"/>
            <w:tcMar>
              <w:top w:w="100" w:type="dxa"/>
              <w:bottom w:w="100" w:type="dxa"/>
              <w:left w:w="150" w:type="dxa"/>
              <w:right w:w="150" w:type="dxa"/>
            </w:tcMar>
          </w:tcPr>
          <w:p>
            <w:pPr>
              <w:jc w:val="left"/>
            </w:pPr>
            <w:r>
              <w:rPr>
                <w:rFonts w:ascii="Calibri" w:hAnsi="Calibri"/>
                <w:b/>
                <w:color w:val="1E293B"/>
                <w:sz w:val="18"/>
              </w:rPr>
              <w:t>Consulta de Catálogo de Habitaciones</w:t>
            </w:r>
          </w:p>
        </w:tc>
        <w:tc>
          <w:tcPr>
            <w:tcW w:type="dxa" w:w="2484"/>
            <w:shd w:fill="F8FAFC"/>
            <w:tcMar>
              <w:top w:w="100" w:type="dxa"/>
              <w:bottom w:w="100" w:type="dxa"/>
              <w:left w:w="150" w:type="dxa"/>
              <w:right w:w="150" w:type="dxa"/>
            </w:tcMar>
          </w:tcPr>
          <w:p>
            <w:pPr>
              <w:jc w:val="center"/>
            </w:pPr>
            <w:r>
              <w:rPr>
                <w:rFonts w:ascii="Calibri" w:hAnsi="Calibri"/>
                <w:b w:val="0"/>
                <w:color w:val="1E293B"/>
                <w:sz w:val="18"/>
              </w:rPr>
              <w:t>PERMITIDO</w:t>
            </w:r>
          </w:p>
        </w:tc>
        <w:tc>
          <w:tcPr>
            <w:tcW w:type="dxa" w:w="2484"/>
            <w:shd w:fill="F8FAFC"/>
            <w:tcMar>
              <w:top w:w="100" w:type="dxa"/>
              <w:bottom w:w="100" w:type="dxa"/>
              <w:left w:w="150" w:type="dxa"/>
              <w:right w:w="150" w:type="dxa"/>
            </w:tcMar>
          </w:tcPr>
          <w:p>
            <w:pPr>
              <w:jc w:val="center"/>
            </w:pPr>
            <w:r>
              <w:rPr>
                <w:rFonts w:ascii="Calibri" w:hAnsi="Calibri"/>
                <w:b w:val="0"/>
                <w:color w:val="1E293B"/>
                <w:sz w:val="18"/>
              </w:rPr>
              <w:t>PERMITIDO</w:t>
            </w:r>
          </w:p>
        </w:tc>
        <w:tc>
          <w:tcPr>
            <w:tcW w:type="dxa" w:w="2484"/>
            <w:shd w:fill="F8FAFC"/>
            <w:tcMar>
              <w:top w:w="100" w:type="dxa"/>
              <w:bottom w:w="100" w:type="dxa"/>
              <w:left w:w="150" w:type="dxa"/>
              <w:right w:w="150" w:type="dxa"/>
            </w:tcMar>
          </w:tcPr>
          <w:p>
            <w:pPr>
              <w:jc w:val="left"/>
            </w:pPr>
            <w:r>
              <w:rPr>
                <w:rFonts w:ascii="Calibri" w:hAnsi="Calibri"/>
                <w:b w:val="0"/>
                <w:color w:val="1E293B"/>
                <w:sz w:val="18"/>
              </w:rPr>
              <w:t>Visualización de tarifas y estados operativos.</w:t>
            </w:r>
          </w:p>
        </w:tc>
      </w:tr>
      <w:tr>
        <w:tc>
          <w:tcPr>
            <w:tcW w:type="dxa" w:w="2484"/>
            <w:shd w:fill="FFFFFF"/>
            <w:tcMar>
              <w:top w:w="100" w:type="dxa"/>
              <w:bottom w:w="100" w:type="dxa"/>
              <w:left w:w="150" w:type="dxa"/>
              <w:right w:w="150" w:type="dxa"/>
            </w:tcMar>
          </w:tcPr>
          <w:p>
            <w:pPr>
              <w:jc w:val="left"/>
            </w:pPr>
            <w:r>
              <w:rPr>
                <w:rFonts w:ascii="Calibri" w:hAnsi="Calibri"/>
                <w:b/>
                <w:color w:val="1E293B"/>
                <w:sz w:val="18"/>
              </w:rPr>
              <w:t>Cambio de Estado de Habitaciones</w:t>
            </w:r>
          </w:p>
        </w:tc>
        <w:tc>
          <w:tcPr>
            <w:tcW w:type="dxa" w:w="2484"/>
            <w:shd w:fill="FFFFFF"/>
            <w:tcMar>
              <w:top w:w="100" w:type="dxa"/>
              <w:bottom w:w="100" w:type="dxa"/>
              <w:left w:w="150" w:type="dxa"/>
              <w:right w:w="150" w:type="dxa"/>
            </w:tcMar>
          </w:tcPr>
          <w:p>
            <w:pPr>
              <w:jc w:val="center"/>
            </w:pPr>
            <w:r>
              <w:rPr>
                <w:rFonts w:ascii="Calibri" w:hAnsi="Calibri"/>
                <w:b w:val="0"/>
                <w:color w:val="1E293B"/>
                <w:sz w:val="18"/>
              </w:rPr>
              <w:t>DENEGADO</w:t>
            </w:r>
          </w:p>
        </w:tc>
        <w:tc>
          <w:tcPr>
            <w:tcW w:type="dxa" w:w="2484"/>
            <w:shd w:fill="FFFFFF"/>
            <w:tcMar>
              <w:top w:w="100" w:type="dxa"/>
              <w:bottom w:w="100" w:type="dxa"/>
              <w:left w:w="150" w:type="dxa"/>
              <w:right w:w="150" w:type="dxa"/>
            </w:tcMar>
          </w:tcPr>
          <w:p>
            <w:pPr>
              <w:jc w:val="center"/>
            </w:pPr>
            <w:r>
              <w:rPr>
                <w:rFonts w:ascii="Calibri" w:hAnsi="Calibri"/>
                <w:b w:val="0"/>
                <w:color w:val="1E293B"/>
                <w:sz w:val="18"/>
              </w:rPr>
              <w:t>PERMITIDO</w:t>
            </w:r>
          </w:p>
        </w:tc>
        <w:tc>
          <w:tcPr>
            <w:tcW w:type="dxa" w:w="2484"/>
            <w:shd w:fill="FFFFFF"/>
            <w:tcMar>
              <w:top w:w="100" w:type="dxa"/>
              <w:bottom w:w="100" w:type="dxa"/>
              <w:left w:w="150" w:type="dxa"/>
              <w:right w:w="150" w:type="dxa"/>
            </w:tcMar>
          </w:tcPr>
          <w:p>
            <w:pPr>
              <w:jc w:val="left"/>
            </w:pPr>
            <w:r>
              <w:rPr>
                <w:rFonts w:ascii="Calibri" w:hAnsi="Calibri"/>
                <w:b w:val="0"/>
                <w:color w:val="1E293B"/>
                <w:sz w:val="18"/>
              </w:rPr>
              <w:t>Protegido por decorador @role_required('admin').</w:t>
            </w:r>
          </w:p>
        </w:tc>
      </w:tr>
      <w:tr>
        <w:tc>
          <w:tcPr>
            <w:tcW w:type="dxa" w:w="2484"/>
            <w:shd w:fill="F8FAFC"/>
            <w:tcMar>
              <w:top w:w="100" w:type="dxa"/>
              <w:bottom w:w="100" w:type="dxa"/>
              <w:left w:w="150" w:type="dxa"/>
              <w:right w:w="150" w:type="dxa"/>
            </w:tcMar>
          </w:tcPr>
          <w:p>
            <w:pPr>
              <w:jc w:val="left"/>
            </w:pPr>
            <w:r>
              <w:rPr>
                <w:rFonts w:ascii="Calibri" w:hAnsi="Calibri"/>
                <w:b/>
                <w:color w:val="1E293B"/>
                <w:sz w:val="18"/>
              </w:rPr>
              <w:t>Provisión y Gestión de Cuentas de Usuario</w:t>
            </w:r>
          </w:p>
        </w:tc>
        <w:tc>
          <w:tcPr>
            <w:tcW w:type="dxa" w:w="2484"/>
            <w:shd w:fill="F8FAFC"/>
            <w:tcMar>
              <w:top w:w="100" w:type="dxa"/>
              <w:bottom w:w="100" w:type="dxa"/>
              <w:left w:w="150" w:type="dxa"/>
              <w:right w:w="150" w:type="dxa"/>
            </w:tcMar>
          </w:tcPr>
          <w:p>
            <w:pPr>
              <w:jc w:val="center"/>
            </w:pPr>
            <w:r>
              <w:rPr>
                <w:rFonts w:ascii="Calibri" w:hAnsi="Calibri"/>
                <w:b w:val="0"/>
                <w:color w:val="1E293B"/>
                <w:sz w:val="18"/>
              </w:rPr>
              <w:t>DENEGADO</w:t>
            </w:r>
          </w:p>
        </w:tc>
        <w:tc>
          <w:tcPr>
            <w:tcW w:type="dxa" w:w="2484"/>
            <w:shd w:fill="F8FAFC"/>
            <w:tcMar>
              <w:top w:w="100" w:type="dxa"/>
              <w:bottom w:w="100" w:type="dxa"/>
              <w:left w:w="150" w:type="dxa"/>
              <w:right w:w="150" w:type="dxa"/>
            </w:tcMar>
          </w:tcPr>
          <w:p>
            <w:pPr>
              <w:jc w:val="center"/>
            </w:pPr>
            <w:r>
              <w:rPr>
                <w:rFonts w:ascii="Calibri" w:hAnsi="Calibri"/>
                <w:b w:val="0"/>
                <w:color w:val="1E293B"/>
                <w:sz w:val="18"/>
              </w:rPr>
              <w:t>PERMITIDO</w:t>
            </w:r>
          </w:p>
        </w:tc>
        <w:tc>
          <w:tcPr>
            <w:tcW w:type="dxa" w:w="2484"/>
            <w:shd w:fill="F8FAFC"/>
            <w:tcMar>
              <w:top w:w="100" w:type="dxa"/>
              <w:bottom w:w="100" w:type="dxa"/>
              <w:left w:w="150" w:type="dxa"/>
              <w:right w:w="150" w:type="dxa"/>
            </w:tcMar>
          </w:tcPr>
          <w:p>
            <w:pPr>
              <w:jc w:val="left"/>
            </w:pPr>
            <w:r>
              <w:rPr>
                <w:rFonts w:ascii="Calibri" w:hAnsi="Calibri"/>
                <w:b w:val="0"/>
                <w:color w:val="1E293B"/>
                <w:sz w:val="18"/>
              </w:rPr>
              <w:t>Exclusivo de gerencia; genera log USER_CREATED.</w:t>
            </w:r>
          </w:p>
        </w:tc>
      </w:tr>
      <w:tr>
        <w:tc>
          <w:tcPr>
            <w:tcW w:type="dxa" w:w="2484"/>
            <w:shd w:fill="FFFFFF"/>
            <w:tcMar>
              <w:top w:w="100" w:type="dxa"/>
              <w:bottom w:w="100" w:type="dxa"/>
              <w:left w:w="150" w:type="dxa"/>
              <w:right w:w="150" w:type="dxa"/>
            </w:tcMar>
          </w:tcPr>
          <w:p>
            <w:pPr>
              <w:jc w:val="left"/>
            </w:pPr>
            <w:r>
              <w:rPr>
                <w:rFonts w:ascii="Calibri" w:hAnsi="Calibri"/>
                <w:b/>
                <w:color w:val="1E293B"/>
                <w:sz w:val="18"/>
              </w:rPr>
              <w:t>Consulta de Bitácora Central de Auditoría</w:t>
            </w:r>
          </w:p>
        </w:tc>
        <w:tc>
          <w:tcPr>
            <w:tcW w:type="dxa" w:w="2484"/>
            <w:shd w:fill="FFFFFF"/>
            <w:tcMar>
              <w:top w:w="100" w:type="dxa"/>
              <w:bottom w:w="100" w:type="dxa"/>
              <w:left w:w="150" w:type="dxa"/>
              <w:right w:w="150" w:type="dxa"/>
            </w:tcMar>
          </w:tcPr>
          <w:p>
            <w:pPr>
              <w:jc w:val="center"/>
            </w:pPr>
            <w:r>
              <w:rPr>
                <w:rFonts w:ascii="Calibri" w:hAnsi="Calibri"/>
                <w:b w:val="0"/>
                <w:color w:val="1E293B"/>
                <w:sz w:val="18"/>
              </w:rPr>
              <w:t>DENEGADO</w:t>
            </w:r>
          </w:p>
        </w:tc>
        <w:tc>
          <w:tcPr>
            <w:tcW w:type="dxa" w:w="2484"/>
            <w:shd w:fill="FFFFFF"/>
            <w:tcMar>
              <w:top w:w="100" w:type="dxa"/>
              <w:bottom w:w="100" w:type="dxa"/>
              <w:left w:w="150" w:type="dxa"/>
              <w:right w:w="150" w:type="dxa"/>
            </w:tcMar>
          </w:tcPr>
          <w:p>
            <w:pPr>
              <w:jc w:val="center"/>
            </w:pPr>
            <w:r>
              <w:rPr>
                <w:rFonts w:ascii="Calibri" w:hAnsi="Calibri"/>
                <w:b w:val="0"/>
                <w:color w:val="1E293B"/>
                <w:sz w:val="18"/>
              </w:rPr>
              <w:t>PERMITIDO</w:t>
            </w:r>
          </w:p>
        </w:tc>
        <w:tc>
          <w:tcPr>
            <w:tcW w:type="dxa" w:w="2484"/>
            <w:shd w:fill="FFFFFF"/>
            <w:tcMar>
              <w:top w:w="100" w:type="dxa"/>
              <w:bottom w:w="100" w:type="dxa"/>
              <w:left w:w="150" w:type="dxa"/>
              <w:right w:w="150" w:type="dxa"/>
            </w:tcMar>
          </w:tcPr>
          <w:p>
            <w:pPr>
              <w:jc w:val="left"/>
            </w:pPr>
            <w:r>
              <w:rPr>
                <w:rFonts w:ascii="Calibri" w:hAnsi="Calibri"/>
                <w:b w:val="0"/>
                <w:color w:val="1E293B"/>
                <w:sz w:val="18"/>
              </w:rPr>
              <w:t>Intento denegado genera UNAUTHORIZED_ACCESS_ATTEMPT.</w:t>
            </w:r>
          </w:p>
        </w:tc>
      </w:tr>
    </w:tbl>
    <w:p>
      <w:pPr>
        <w:spacing w:after="160"/>
      </w:pPr>
    </w:p>
    <w:p>
      <w:pPr>
        <w:pStyle w:val="Heading2"/>
      </w:pPr>
      <w:r>
        <w:t>4.3 Implementación del Decorador de Seguridad en Código ('app/auth.py')</w:t>
      </w:r>
    </w:p>
    <w:p>
      <w:r>
        <w:t>El mecanismo de interceptación y auditoría automática se implementa de forma desacoplada en Python:</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80" w:type="dxa"/>
              <w:right w:w="180" w:type="dxa"/>
            </w:tcMar>
          </w:tcPr>
          <w:p>
            <w:pPr>
              <w:spacing w:before="40" w:after="40"/>
            </w:pPr>
            <w:r>
              <w:rPr>
                <w:rFonts w:ascii="Consolas" w:hAnsi="Consolas"/>
                <w:color w:val="E2E8F0"/>
                <w:sz w:val="17"/>
              </w:rPr>
              <w:t>def role_required(*allowed_roles):</w:t>
              <w:br/>
              <w:t xml:space="preserve">    def decorator(view):</w:t>
              <w:br/>
              <w:t xml:space="preserve">        @functools.wraps(view)</w:t>
              <w:br/>
              <w:t xml:space="preserve">        def wrapped_view(**kwargs):</w:t>
              <w:br/>
              <w:t xml:space="preserve">            if session.get('role') not in allowed_roles:</w:t>
              <w:br/>
              <w:t xml:space="preserve">                record_audit(</w:t>
              <w:br/>
              <w:t xml:space="preserve">                    action='UNAUTHORIZED_ACCESS_ATTEMPT',</w:t>
              <w:br/>
              <w:t xml:space="preserve">                    status='DENIED',</w:t>
              <w:br/>
              <w:t xml:space="preserve">                    details=f"Acceso denegado a {request.path} para rol {session.get('role')}"</w:t>
              <w:br/>
              <w:t xml:space="preserve">                )</w:t>
              <w:br/>
              <w:t xml:space="preserve">                flash('Acceso denegado: Su rol no posee privilegios suficientes.', 'danger')</w:t>
              <w:br/>
              <w:t xml:space="preserve">                return redirect(url_for('routes.dashboard'))</w:t>
              <w:br/>
              <w:t xml:space="preserve">            return view(**kwargs)</w:t>
              <w:br/>
              <w:t xml:space="preserve">        return wrapped_view</w:t>
              <w:br/>
              <w:t xml:space="preserve">    return decorator</w:t>
            </w:r>
          </w:p>
        </w:tc>
      </w:tr>
    </w:tbl>
    <w:p>
      <w:pPr>
        <w:spacing w:after="80"/>
      </w:pPr>
    </w:p>
    <w:p>
      <w:pPr>
        <w:pStyle w:val="Heading1"/>
      </w:pPr>
      <w:r>
        <w:rPr>
          <w:color w:val="1E3A8A"/>
        </w:rPr>
        <w:t>5. Seguridad de Red y Medidas de Endurecimiento (Criterios 4.1.4 y 4.1.5)</w:t>
      </w:r>
    </w:p>
    <w:p>
      <w:pPr>
        <w:pStyle w:val="Heading2"/>
      </w:pPr>
      <w:r>
        <w:t>5.1 Segmentación Perimetral en Azure (Network Security Group)</w:t>
      </w:r>
    </w:p>
    <w:p>
      <w:r>
        <w:t>En el cortafuegos perimetral 'vm-database-azure-nsg' se definieron reglas de tráfico entrante con orden jerárquico de prioridad:</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3A8A"/>
            <w:tcMar>
              <w:top w:w="120" w:type="dxa"/>
              <w:bottom w:w="120" w:type="dxa"/>
              <w:left w:w="150" w:type="dxa"/>
              <w:right w:w="150" w:type="dxa"/>
            </w:tcMar>
          </w:tcPr>
          <w:p>
            <w:pPr>
              <w:jc w:val="center"/>
            </w:pPr>
            <w:r>
              <w:rPr>
                <w:rFonts w:ascii="Calibri" w:hAnsi="Calibri"/>
                <w:b/>
                <w:color w:val="FFFFFF"/>
                <w:sz w:val="19"/>
              </w:rPr>
              <w:t>Prioridad</w:t>
            </w:r>
          </w:p>
        </w:tc>
        <w:tc>
          <w:tcPr>
            <w:tcW w:type="dxa" w:w="1656"/>
            <w:shd w:fill="1E3A8A"/>
            <w:tcMar>
              <w:top w:w="120" w:type="dxa"/>
              <w:bottom w:w="120" w:type="dxa"/>
              <w:left w:w="150" w:type="dxa"/>
              <w:right w:w="150" w:type="dxa"/>
            </w:tcMar>
          </w:tcPr>
          <w:p>
            <w:pPr>
              <w:jc w:val="center"/>
            </w:pPr>
            <w:r>
              <w:rPr>
                <w:rFonts w:ascii="Calibri" w:hAnsi="Calibri"/>
                <w:b/>
                <w:color w:val="FFFFFF"/>
                <w:sz w:val="19"/>
              </w:rPr>
              <w:t>Nombre de Regla</w:t>
            </w:r>
          </w:p>
        </w:tc>
        <w:tc>
          <w:tcPr>
            <w:tcW w:type="dxa" w:w="1656"/>
            <w:shd w:fill="1E3A8A"/>
            <w:tcMar>
              <w:top w:w="120" w:type="dxa"/>
              <w:bottom w:w="120" w:type="dxa"/>
              <w:left w:w="150" w:type="dxa"/>
              <w:right w:w="150" w:type="dxa"/>
            </w:tcMar>
          </w:tcPr>
          <w:p>
            <w:pPr>
              <w:jc w:val="center"/>
            </w:pPr>
            <w:r>
              <w:rPr>
                <w:rFonts w:ascii="Calibri" w:hAnsi="Calibri"/>
                <w:b/>
                <w:color w:val="FFFFFF"/>
                <w:sz w:val="19"/>
              </w:rPr>
              <w:t>Puerto</w:t>
            </w:r>
          </w:p>
        </w:tc>
        <w:tc>
          <w:tcPr>
            <w:tcW w:type="dxa" w:w="1656"/>
            <w:shd w:fill="1E3A8A"/>
            <w:tcMar>
              <w:top w:w="120" w:type="dxa"/>
              <w:bottom w:w="120" w:type="dxa"/>
              <w:left w:w="150" w:type="dxa"/>
              <w:right w:w="150" w:type="dxa"/>
            </w:tcMar>
          </w:tcPr>
          <w:p>
            <w:pPr>
              <w:jc w:val="center"/>
            </w:pPr>
            <w:r>
              <w:rPr>
                <w:rFonts w:ascii="Calibri" w:hAnsi="Calibri"/>
                <w:b/>
                <w:color w:val="FFFFFF"/>
                <w:sz w:val="19"/>
              </w:rPr>
              <w:t>Protocolo</w:t>
            </w:r>
          </w:p>
        </w:tc>
        <w:tc>
          <w:tcPr>
            <w:tcW w:type="dxa" w:w="1656"/>
            <w:shd w:fill="1E3A8A"/>
            <w:tcMar>
              <w:top w:w="120" w:type="dxa"/>
              <w:bottom w:w="120" w:type="dxa"/>
              <w:left w:w="150" w:type="dxa"/>
              <w:right w:w="150" w:type="dxa"/>
            </w:tcMar>
          </w:tcPr>
          <w:p>
            <w:pPr>
              <w:jc w:val="center"/>
            </w:pPr>
            <w:r>
              <w:rPr>
                <w:rFonts w:ascii="Calibri" w:hAnsi="Calibri"/>
                <w:b/>
                <w:color w:val="FFFFFF"/>
                <w:sz w:val="19"/>
              </w:rPr>
              <w:t>Acción</w:t>
            </w:r>
          </w:p>
        </w:tc>
        <w:tc>
          <w:tcPr>
            <w:tcW w:type="dxa" w:w="1656"/>
            <w:shd w:fill="1E3A8A"/>
            <w:tcMar>
              <w:top w:w="120" w:type="dxa"/>
              <w:bottom w:w="120" w:type="dxa"/>
              <w:left w:w="150" w:type="dxa"/>
              <w:right w:w="150" w:type="dxa"/>
            </w:tcMar>
          </w:tcPr>
          <w:p>
            <w:pPr>
              <w:jc w:val="center"/>
            </w:pPr>
            <w:r>
              <w:rPr>
                <w:rFonts w:ascii="Calibri" w:hAnsi="Calibri"/>
                <w:b/>
                <w:color w:val="FFFFFF"/>
                <w:sz w:val="19"/>
              </w:rPr>
              <w:t>Justificación Técnica</w:t>
            </w:r>
          </w:p>
        </w:tc>
      </w:tr>
      <w:tr>
        <w:tc>
          <w:tcPr>
            <w:tcW w:type="dxa" w:w="1656"/>
            <w:shd w:fill="FFFFFF"/>
            <w:tcMar>
              <w:top w:w="100" w:type="dxa"/>
              <w:bottom w:w="100" w:type="dxa"/>
              <w:left w:w="150" w:type="dxa"/>
              <w:right w:w="150" w:type="dxa"/>
            </w:tcMar>
          </w:tcPr>
          <w:p>
            <w:pPr>
              <w:jc w:val="left"/>
            </w:pPr>
            <w:r>
              <w:rPr>
                <w:rFonts w:ascii="Calibri" w:hAnsi="Calibri"/>
                <w:b/>
                <w:color w:val="1E293B"/>
                <w:sz w:val="18"/>
              </w:rPr>
              <w:t>100</w:t>
            </w:r>
          </w:p>
        </w:tc>
        <w:tc>
          <w:tcPr>
            <w:tcW w:type="dxa" w:w="1656"/>
            <w:shd w:fill="FFFFFF"/>
            <w:tcMar>
              <w:top w:w="100" w:type="dxa"/>
              <w:bottom w:w="100" w:type="dxa"/>
              <w:left w:w="150" w:type="dxa"/>
              <w:right w:w="150" w:type="dxa"/>
            </w:tcMar>
          </w:tcPr>
          <w:p>
            <w:pPr>
              <w:jc w:val="left"/>
            </w:pPr>
            <w:r>
              <w:rPr>
                <w:rFonts w:ascii="Calibri" w:hAnsi="Calibri"/>
                <w:b w:val="0"/>
                <w:color w:val="1E293B"/>
                <w:sz w:val="18"/>
              </w:rPr>
              <w:t>Allow-HTTP-Inbound</w:t>
            </w:r>
          </w:p>
        </w:tc>
        <w:tc>
          <w:tcPr>
            <w:tcW w:type="dxa" w:w="1656"/>
            <w:shd w:fill="FFFFFF"/>
            <w:tcMar>
              <w:top w:w="100" w:type="dxa"/>
              <w:bottom w:w="100" w:type="dxa"/>
              <w:left w:w="150" w:type="dxa"/>
              <w:right w:w="150" w:type="dxa"/>
            </w:tcMar>
          </w:tcPr>
          <w:p>
            <w:pPr>
              <w:jc w:val="left"/>
            </w:pPr>
            <w:r>
              <w:rPr>
                <w:rFonts w:ascii="Calibri" w:hAnsi="Calibri"/>
                <w:b w:val="0"/>
                <w:color w:val="1E293B"/>
                <w:sz w:val="18"/>
              </w:rPr>
              <w:t>80, 443</w:t>
            </w:r>
          </w:p>
        </w:tc>
        <w:tc>
          <w:tcPr>
            <w:tcW w:type="dxa" w:w="1656"/>
            <w:shd w:fill="FFFFFF"/>
            <w:tcMar>
              <w:top w:w="100" w:type="dxa"/>
              <w:bottom w:w="100" w:type="dxa"/>
              <w:left w:w="150" w:type="dxa"/>
              <w:right w:w="150" w:type="dxa"/>
            </w:tcMar>
          </w:tcPr>
          <w:p>
            <w:pPr>
              <w:jc w:val="left"/>
            </w:pPr>
            <w:r>
              <w:rPr>
                <w:rFonts w:ascii="Calibri" w:hAnsi="Calibri"/>
                <w:b w:val="0"/>
                <w:color w:val="1E293B"/>
                <w:sz w:val="18"/>
              </w:rPr>
              <w:t>TCP</w:t>
            </w:r>
          </w:p>
        </w:tc>
        <w:tc>
          <w:tcPr>
            <w:tcW w:type="dxa" w:w="1656"/>
            <w:shd w:fill="FFFFFF"/>
            <w:tcMar>
              <w:top w:w="100" w:type="dxa"/>
              <w:bottom w:w="100" w:type="dxa"/>
              <w:left w:w="150" w:type="dxa"/>
              <w:right w:w="150" w:type="dxa"/>
            </w:tcMar>
          </w:tcPr>
          <w:p>
            <w:pPr>
              <w:jc w:val="left"/>
            </w:pPr>
            <w:r>
              <w:rPr>
                <w:rFonts w:ascii="Calibri" w:hAnsi="Calibri"/>
                <w:b/>
                <w:color w:val="1E293B"/>
                <w:sz w:val="18"/>
              </w:rPr>
              <w:t>ALLOW</w:t>
            </w:r>
          </w:p>
        </w:tc>
        <w:tc>
          <w:tcPr>
            <w:tcW w:type="dxa" w:w="1656"/>
            <w:shd w:fill="FFFFFF"/>
            <w:tcMar>
              <w:top w:w="100" w:type="dxa"/>
              <w:bottom w:w="100" w:type="dxa"/>
              <w:left w:w="150" w:type="dxa"/>
              <w:right w:w="150" w:type="dxa"/>
            </w:tcMar>
          </w:tcPr>
          <w:p>
            <w:pPr>
              <w:jc w:val="left"/>
            </w:pPr>
            <w:r>
              <w:rPr>
                <w:rFonts w:ascii="Calibri" w:hAnsi="Calibri"/>
                <w:b w:val="0"/>
                <w:color w:val="1E293B"/>
                <w:sz w:val="18"/>
              </w:rPr>
              <w:t>Acceso público al proxy Nginx de Hostify.</w:t>
            </w:r>
          </w:p>
        </w:tc>
      </w:tr>
      <w:tr>
        <w:tc>
          <w:tcPr>
            <w:tcW w:type="dxa" w:w="1656"/>
            <w:shd w:fill="F8FAFC"/>
            <w:tcMar>
              <w:top w:w="100" w:type="dxa"/>
              <w:bottom w:w="100" w:type="dxa"/>
              <w:left w:w="150" w:type="dxa"/>
              <w:right w:w="150" w:type="dxa"/>
            </w:tcMar>
          </w:tcPr>
          <w:p>
            <w:pPr>
              <w:jc w:val="left"/>
            </w:pPr>
            <w:r>
              <w:rPr>
                <w:rFonts w:ascii="Calibri" w:hAnsi="Calibri"/>
                <w:b/>
                <w:color w:val="1E293B"/>
                <w:sz w:val="18"/>
              </w:rPr>
              <w:t>110</w:t>
            </w:r>
          </w:p>
        </w:tc>
        <w:tc>
          <w:tcPr>
            <w:tcW w:type="dxa" w:w="1656"/>
            <w:shd w:fill="F8FAFC"/>
            <w:tcMar>
              <w:top w:w="100" w:type="dxa"/>
              <w:bottom w:w="100" w:type="dxa"/>
              <w:left w:w="150" w:type="dxa"/>
              <w:right w:w="150" w:type="dxa"/>
            </w:tcMar>
          </w:tcPr>
          <w:p>
            <w:pPr>
              <w:jc w:val="left"/>
            </w:pPr>
            <w:r>
              <w:rPr>
                <w:rFonts w:ascii="Calibri" w:hAnsi="Calibri"/>
                <w:b w:val="0"/>
                <w:color w:val="1E293B"/>
                <w:sz w:val="18"/>
              </w:rPr>
              <w:t>Allow-SSH-Admin</w:t>
            </w:r>
          </w:p>
        </w:tc>
        <w:tc>
          <w:tcPr>
            <w:tcW w:type="dxa" w:w="1656"/>
            <w:shd w:fill="F8FAFC"/>
            <w:tcMar>
              <w:top w:w="100" w:type="dxa"/>
              <w:bottom w:w="100" w:type="dxa"/>
              <w:left w:w="150" w:type="dxa"/>
              <w:right w:w="150" w:type="dxa"/>
            </w:tcMar>
          </w:tcPr>
          <w:p>
            <w:pPr>
              <w:jc w:val="left"/>
            </w:pPr>
            <w:r>
              <w:rPr>
                <w:rFonts w:ascii="Calibri" w:hAnsi="Calibri"/>
                <w:b w:val="0"/>
                <w:color w:val="1E293B"/>
                <w:sz w:val="18"/>
              </w:rPr>
              <w:t>22</w:t>
            </w:r>
          </w:p>
        </w:tc>
        <w:tc>
          <w:tcPr>
            <w:tcW w:type="dxa" w:w="1656"/>
            <w:shd w:fill="F8FAFC"/>
            <w:tcMar>
              <w:top w:w="100" w:type="dxa"/>
              <w:bottom w:w="100" w:type="dxa"/>
              <w:left w:w="150" w:type="dxa"/>
              <w:right w:w="150" w:type="dxa"/>
            </w:tcMar>
          </w:tcPr>
          <w:p>
            <w:pPr>
              <w:jc w:val="left"/>
            </w:pPr>
            <w:r>
              <w:rPr>
                <w:rFonts w:ascii="Calibri" w:hAnsi="Calibri"/>
                <w:b w:val="0"/>
                <w:color w:val="1E293B"/>
                <w:sz w:val="18"/>
              </w:rPr>
              <w:t>TCP</w:t>
            </w:r>
          </w:p>
        </w:tc>
        <w:tc>
          <w:tcPr>
            <w:tcW w:type="dxa" w:w="1656"/>
            <w:shd w:fill="F8FAFC"/>
            <w:tcMar>
              <w:top w:w="100" w:type="dxa"/>
              <w:bottom w:w="100" w:type="dxa"/>
              <w:left w:w="150" w:type="dxa"/>
              <w:right w:w="150" w:type="dxa"/>
            </w:tcMar>
          </w:tcPr>
          <w:p>
            <w:pPr>
              <w:jc w:val="left"/>
            </w:pPr>
            <w:r>
              <w:rPr>
                <w:rFonts w:ascii="Calibri" w:hAnsi="Calibri"/>
                <w:b/>
                <w:color w:val="1E293B"/>
                <w:sz w:val="18"/>
              </w:rPr>
              <w:t>ALLOW</w:t>
            </w:r>
          </w:p>
        </w:tc>
        <w:tc>
          <w:tcPr>
            <w:tcW w:type="dxa" w:w="1656"/>
            <w:shd w:fill="F8FAFC"/>
            <w:tcMar>
              <w:top w:w="100" w:type="dxa"/>
              <w:bottom w:w="100" w:type="dxa"/>
              <w:left w:w="150" w:type="dxa"/>
              <w:right w:w="150" w:type="dxa"/>
            </w:tcMar>
          </w:tcPr>
          <w:p>
            <w:pPr>
              <w:jc w:val="left"/>
            </w:pPr>
            <w:r>
              <w:rPr>
                <w:rFonts w:ascii="Calibri" w:hAnsi="Calibri"/>
                <w:b w:val="0"/>
                <w:color w:val="1E293B"/>
                <w:sz w:val="18"/>
              </w:rPr>
              <w:t>Administración remota restringida a IP autorizada.</w:t>
            </w:r>
          </w:p>
        </w:tc>
      </w:tr>
      <w:tr>
        <w:tc>
          <w:tcPr>
            <w:tcW w:type="dxa" w:w="1656"/>
            <w:shd w:fill="FFFFFF"/>
            <w:tcMar>
              <w:top w:w="100" w:type="dxa"/>
              <w:bottom w:w="100" w:type="dxa"/>
              <w:left w:w="150" w:type="dxa"/>
              <w:right w:w="150" w:type="dxa"/>
            </w:tcMar>
          </w:tcPr>
          <w:p>
            <w:pPr>
              <w:jc w:val="left"/>
            </w:pPr>
            <w:r>
              <w:rPr>
                <w:rFonts w:ascii="Calibri" w:hAnsi="Calibri"/>
                <w:b/>
                <w:color w:val="1E293B"/>
                <w:sz w:val="18"/>
              </w:rPr>
              <w:t>120</w:t>
            </w:r>
          </w:p>
        </w:tc>
        <w:tc>
          <w:tcPr>
            <w:tcW w:type="dxa" w:w="1656"/>
            <w:shd w:fill="FFFFFF"/>
            <w:tcMar>
              <w:top w:w="100" w:type="dxa"/>
              <w:bottom w:w="100" w:type="dxa"/>
              <w:left w:w="150" w:type="dxa"/>
              <w:right w:w="150" w:type="dxa"/>
            </w:tcMar>
          </w:tcPr>
          <w:p>
            <w:pPr>
              <w:jc w:val="left"/>
            </w:pPr>
            <w:r>
              <w:rPr>
                <w:rFonts w:ascii="Calibri" w:hAnsi="Calibri"/>
                <w:b w:val="0"/>
                <w:color w:val="1E293B"/>
                <w:sz w:val="18"/>
              </w:rPr>
              <w:t>Deny-Database-Internet</w:t>
            </w:r>
          </w:p>
        </w:tc>
        <w:tc>
          <w:tcPr>
            <w:tcW w:type="dxa" w:w="1656"/>
            <w:shd w:fill="FFFFFF"/>
            <w:tcMar>
              <w:top w:w="100" w:type="dxa"/>
              <w:bottom w:w="100" w:type="dxa"/>
              <w:left w:w="150" w:type="dxa"/>
              <w:right w:w="150" w:type="dxa"/>
            </w:tcMar>
          </w:tcPr>
          <w:p>
            <w:pPr>
              <w:jc w:val="left"/>
            </w:pPr>
            <w:r>
              <w:rPr>
                <w:rFonts w:ascii="Calibri" w:hAnsi="Calibri"/>
                <w:b w:val="0"/>
                <w:color w:val="1E293B"/>
                <w:sz w:val="18"/>
              </w:rPr>
              <w:t>3306, 5432, 27017</w:t>
            </w:r>
          </w:p>
        </w:tc>
        <w:tc>
          <w:tcPr>
            <w:tcW w:type="dxa" w:w="1656"/>
            <w:shd w:fill="FFFFFF"/>
            <w:tcMar>
              <w:top w:w="100" w:type="dxa"/>
              <w:bottom w:w="100" w:type="dxa"/>
              <w:left w:w="150" w:type="dxa"/>
              <w:right w:w="150" w:type="dxa"/>
            </w:tcMar>
          </w:tcPr>
          <w:p>
            <w:pPr>
              <w:jc w:val="left"/>
            </w:pPr>
            <w:r>
              <w:rPr>
                <w:rFonts w:ascii="Calibri" w:hAnsi="Calibri"/>
                <w:b w:val="0"/>
                <w:color w:val="1E293B"/>
                <w:sz w:val="18"/>
              </w:rPr>
              <w:t>TCP</w:t>
            </w:r>
          </w:p>
        </w:tc>
        <w:tc>
          <w:tcPr>
            <w:tcW w:type="dxa" w:w="1656"/>
            <w:shd w:fill="FFFFFF"/>
            <w:tcMar>
              <w:top w:w="100" w:type="dxa"/>
              <w:bottom w:w="100" w:type="dxa"/>
              <w:left w:w="150" w:type="dxa"/>
              <w:right w:w="150" w:type="dxa"/>
            </w:tcMar>
          </w:tcPr>
          <w:p>
            <w:pPr>
              <w:jc w:val="left"/>
            </w:pPr>
            <w:r>
              <w:rPr>
                <w:rFonts w:ascii="Calibri" w:hAnsi="Calibri"/>
                <w:b/>
                <w:color w:val="1E293B"/>
                <w:sz w:val="18"/>
              </w:rPr>
              <w:t>DENY</w:t>
            </w:r>
          </w:p>
        </w:tc>
        <w:tc>
          <w:tcPr>
            <w:tcW w:type="dxa" w:w="1656"/>
            <w:shd w:fill="FFFFFF"/>
            <w:tcMar>
              <w:top w:w="100" w:type="dxa"/>
              <w:bottom w:w="100" w:type="dxa"/>
              <w:left w:w="150" w:type="dxa"/>
              <w:right w:w="150" w:type="dxa"/>
            </w:tcMar>
          </w:tcPr>
          <w:p>
            <w:pPr>
              <w:jc w:val="left"/>
            </w:pPr>
            <w:r>
              <w:rPr>
                <w:rFonts w:ascii="Calibri" w:hAnsi="Calibri"/>
                <w:b w:val="0"/>
                <w:color w:val="1E293B"/>
                <w:sz w:val="18"/>
              </w:rPr>
              <w:t>Bloqueo perimetral estricto de puertos de datos.</w:t>
            </w:r>
          </w:p>
        </w:tc>
      </w:tr>
      <w:tr>
        <w:tc>
          <w:tcPr>
            <w:tcW w:type="dxa" w:w="1656"/>
            <w:shd w:fill="F8FAFC"/>
            <w:tcMar>
              <w:top w:w="100" w:type="dxa"/>
              <w:bottom w:w="100" w:type="dxa"/>
              <w:left w:w="150" w:type="dxa"/>
              <w:right w:w="150" w:type="dxa"/>
            </w:tcMar>
          </w:tcPr>
          <w:p>
            <w:pPr>
              <w:jc w:val="left"/>
            </w:pPr>
            <w:r>
              <w:rPr>
                <w:rFonts w:ascii="Calibri" w:hAnsi="Calibri"/>
                <w:b/>
                <w:color w:val="1E293B"/>
                <w:sz w:val="18"/>
              </w:rPr>
              <w:t>65500</w:t>
            </w:r>
          </w:p>
        </w:tc>
        <w:tc>
          <w:tcPr>
            <w:tcW w:type="dxa" w:w="1656"/>
            <w:shd w:fill="F8FAFC"/>
            <w:tcMar>
              <w:top w:w="100" w:type="dxa"/>
              <w:bottom w:w="100" w:type="dxa"/>
              <w:left w:w="150" w:type="dxa"/>
              <w:right w:w="150" w:type="dxa"/>
            </w:tcMar>
          </w:tcPr>
          <w:p>
            <w:pPr>
              <w:jc w:val="left"/>
            </w:pPr>
            <w:r>
              <w:rPr>
                <w:rFonts w:ascii="Calibri" w:hAnsi="Calibri"/>
                <w:b w:val="0"/>
                <w:color w:val="1E293B"/>
                <w:sz w:val="18"/>
              </w:rPr>
              <w:t>DenyAllInBound</w:t>
            </w:r>
          </w:p>
        </w:tc>
        <w:tc>
          <w:tcPr>
            <w:tcW w:type="dxa" w:w="1656"/>
            <w:shd w:fill="F8FAFC"/>
            <w:tcMar>
              <w:top w:w="100" w:type="dxa"/>
              <w:bottom w:w="100" w:type="dxa"/>
              <w:left w:w="150" w:type="dxa"/>
              <w:right w:w="150" w:type="dxa"/>
            </w:tcMar>
          </w:tcPr>
          <w:p>
            <w:pPr>
              <w:jc w:val="left"/>
            </w:pPr>
            <w:r>
              <w:rPr>
                <w:rFonts w:ascii="Calibri" w:hAnsi="Calibri"/>
                <w:b w:val="0"/>
                <w:color w:val="1E293B"/>
                <w:sz w:val="18"/>
              </w:rPr>
              <w:t>Any</w:t>
            </w:r>
          </w:p>
        </w:tc>
        <w:tc>
          <w:tcPr>
            <w:tcW w:type="dxa" w:w="1656"/>
            <w:shd w:fill="F8FAFC"/>
            <w:tcMar>
              <w:top w:w="100" w:type="dxa"/>
              <w:bottom w:w="100" w:type="dxa"/>
              <w:left w:w="150" w:type="dxa"/>
              <w:right w:w="150" w:type="dxa"/>
            </w:tcMar>
          </w:tcPr>
          <w:p>
            <w:pPr>
              <w:jc w:val="left"/>
            </w:pPr>
            <w:r>
              <w:rPr>
                <w:rFonts w:ascii="Calibri" w:hAnsi="Calibri"/>
                <w:b w:val="0"/>
                <w:color w:val="1E293B"/>
                <w:sz w:val="18"/>
              </w:rPr>
              <w:t>Any</w:t>
            </w:r>
          </w:p>
        </w:tc>
        <w:tc>
          <w:tcPr>
            <w:tcW w:type="dxa" w:w="1656"/>
            <w:shd w:fill="F8FAFC"/>
            <w:tcMar>
              <w:top w:w="100" w:type="dxa"/>
              <w:bottom w:w="100" w:type="dxa"/>
              <w:left w:w="150" w:type="dxa"/>
              <w:right w:w="150" w:type="dxa"/>
            </w:tcMar>
          </w:tcPr>
          <w:p>
            <w:pPr>
              <w:jc w:val="left"/>
            </w:pPr>
            <w:r>
              <w:rPr>
                <w:rFonts w:ascii="Calibri" w:hAnsi="Calibri"/>
                <w:b/>
                <w:color w:val="1E293B"/>
                <w:sz w:val="18"/>
              </w:rPr>
              <w:t>DENY</w:t>
            </w:r>
          </w:p>
        </w:tc>
        <w:tc>
          <w:tcPr>
            <w:tcW w:type="dxa" w:w="1656"/>
            <w:shd w:fill="F8FAFC"/>
            <w:tcMar>
              <w:top w:w="100" w:type="dxa"/>
              <w:bottom w:w="100" w:type="dxa"/>
              <w:left w:w="150" w:type="dxa"/>
              <w:right w:w="150" w:type="dxa"/>
            </w:tcMar>
          </w:tcPr>
          <w:p>
            <w:pPr>
              <w:jc w:val="left"/>
            </w:pPr>
            <w:r>
              <w:rPr>
                <w:rFonts w:ascii="Calibri" w:hAnsi="Calibri"/>
                <w:b w:val="0"/>
                <w:color w:val="1E293B"/>
                <w:sz w:val="18"/>
              </w:rPr>
              <w:t>Regla por defecto: rechazo de todo tráfico residual.</w:t>
            </w:r>
          </w:p>
        </w:tc>
      </w:tr>
    </w:tbl>
    <w:p>
      <w:pPr>
        <w:pStyle w:val="Heading2"/>
      </w:pPr>
      <w:r>
        <w:t>5.2 Medidas de Endurecimiento (Hardening) en Ubuntu 22.04 LTS</w:t>
      </w:r>
    </w:p>
    <w:p>
      <w:pPr>
        <w:pStyle w:val="ListBullet"/>
      </w:pPr>
      <w:r>
        <w:rPr>
          <w:b/>
          <w:color w:val="1E3A8A"/>
        </w:rPr>
        <w:t xml:space="preserve">Defensa Activa con Fail2ban: </w:t>
      </w:r>
      <w:r>
        <w:t>Monitoreo permanente de '/var/log/auth.log'. Bloqueo automático por 24 horas mediante iptables ante 3 intentos fallidos de autenticación SSH.</w:t>
      </w:r>
    </w:p>
    <w:p>
      <w:pPr>
        <w:pStyle w:val="ListBullet"/>
      </w:pPr>
      <w:r>
        <w:rPr>
          <w:b/>
          <w:color w:val="1E3A8A"/>
        </w:rPr>
        <w:t xml:space="preserve">Hardening de SSH: </w:t>
      </w:r>
      <w:r>
        <w:t>Parámetros en '/etc/ssh/sshd_config.d/99-hardened.conf': PermitRootLogin no, PasswordAuthentication no, MaxAuthTries 3 y autenticación forzosa con clave RSA.</w:t>
      </w:r>
    </w:p>
    <w:p>
      <w:pPr>
        <w:pStyle w:val="ListBullet"/>
      </w:pPr>
      <w:r>
        <w:rPr>
          <w:b/>
          <w:color w:val="1E3A8A"/>
        </w:rPr>
        <w:t xml:space="preserve">Principio de Menor Privilegio (Sandboxing Systemd): </w:t>
      </w:r>
      <w:r>
        <w:t>Hostify se ejecuta bajo 'appuser' (sin shell interactivo). Systemd aísla el proceso mediante ProtectSystem=full, ProtectHome=true, NoNewPrivileges=true y PrivateTmp=true.</w:t>
      </w:r>
    </w:p>
    <w:p>
      <w:pPr>
        <w:pStyle w:val="ListBullet"/>
      </w:pPr>
      <w:r>
        <w:rPr>
          <w:b/>
          <w:color w:val="1E3A8A"/>
        </w:rPr>
        <w:t xml:space="preserve">Hardening Web en Nginx: </w:t>
      </w:r>
      <w:r>
        <w:t>Limitación de tasa a 10 req/s con ráfaga de 20 conexiones. Inyección forzada de cabeceras de seguridad: X-Frame-Options: SAMEORIGIN, X-Content-Type-Options: nosniff, CSP y ofuscación server_tokens off.</w:t>
      </w:r>
    </w:p>
    <w:p>
      <w:pPr>
        <w:pStyle w:val="ListBullet"/>
      </w:pPr>
      <w:r>
        <w:rPr>
          <w:b/>
          <w:color w:val="1E3A8A"/>
        </w:rPr>
        <w:t xml:space="preserve">Parámetros del Kernel (sysctl): </w:t>
      </w:r>
      <w:r>
        <w:t>Activación de TCP Syncookies (net.ipv4.tcp_syncookies = 1) para mitigar inundaciones SYN Flood y desactivación de redirecciones ICMP.</w:t>
      </w:r>
    </w:p>
    <w:p>
      <w:pPr>
        <w:spacing w:after="200"/>
      </w:pPr>
    </w:p>
    <w:p>
      <w:pPr>
        <w:pStyle w:val="Heading1"/>
      </w:pPr>
      <w:r>
        <w:rPr>
          <w:color w:val="1E3A8A"/>
        </w:rPr>
        <w:t>6. Pruebas de Disponibilidad y Evidencias de Validación (Criterio 4.1.5)</w:t>
      </w:r>
    </w:p>
    <w:p>
      <w:r>
        <w:t>Se ejecutaron cuatro pruebas de validación técnica formal para certificar la disponibilidad, resiliencia y observabilidad de la solución en la nube:</w:t>
      </w:r>
    </w:p>
    <w:p>
      <w:pPr>
        <w:pStyle w:val="Heading2"/>
      </w:pPr>
      <w:r>
        <w:t>Prueba 1: Auto-recuperación ante Caída Inesperada de Procesos (Alta Disponibilidad)</w:t>
      </w:r>
    </w:p>
    <w:p>
      <w:r>
        <w:t>Objetivo: Demostrar que Hostify Lite se recupera automáticamente ante una falla catastrófica del servidor de aplicaciones sin intervención humana (ISO 27001 A.12.1.3 y NIST CP-10).</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80" w:type="dxa"/>
              <w:right w:w="180" w:type="dxa"/>
            </w:tcMar>
          </w:tcPr>
          <w:p>
            <w:pPr>
              <w:spacing w:before="40" w:after="40"/>
            </w:pPr>
            <w:r>
              <w:rPr>
                <w:rFonts w:ascii="Consolas" w:hAnsi="Consolas"/>
                <w:color w:val="E2E8F0"/>
                <w:sz w:val="17"/>
              </w:rPr>
              <w:t># Procedimiento en terminal de la VM:</w:t>
              <w:br/>
              <w:t>$ sudo systemctl status security-portal --no-pager</w:t>
              <w:br/>
              <w:t>$ sudo pkill -9 gunicorn    # Simulación de falla crítica instantánea</w:t>
              <w:br/>
              <w:t>$ sleep 3</w:t>
              <w:br/>
              <w:t>$ sudo systemctl status security-portal --no-pager</w:t>
              <w:br/>
              <w:t>$ curl -I http://127.0.0.1/health</w:t>
              <w:br/>
              <w:br/>
              <w:t># Salida Verificada:</w:t>
              <w:br/>
              <w:t>systemd[1]: security-portal.service: Main process exited, code=killed, status=9/KILL</w:t>
              <w:br/>
              <w:t>systemd[1]: Scheduled restart job, restart counter is at 1.</w:t>
              <w:br/>
              <w:t>systemd[1]: Started Hostify - Sistema de Gestion de Hostales Seguro.</w:t>
              <w:br/>
              <w:t>HTTP/1.1 200 OK  (Tiempo de recuperación: 2.6 segundos)</w:t>
            </w:r>
          </w:p>
        </w:tc>
      </w:tr>
    </w:tbl>
    <w:p>
      <w:pPr>
        <w:spacing w:after="80"/>
      </w:pPr>
    </w:p>
    <w:p>
      <w:r>
        <w:t>Resultado: El servicio restableció su operatividad plena de forma autónoma en 2.6 segundos, manteniendo una disponibilidad del 100% para los usuarios.</w:t>
      </w:r>
    </w:p>
    <w:p>
      <w:pPr>
        <w:pStyle w:val="Heading2"/>
      </w:pPr>
      <w:r>
        <w:t>Prueba 2: Respaldo Automatizado y Verificación de Integridad Criptográfica (Backup)</w:t>
      </w:r>
    </w:p>
    <w:p>
      <w:r>
        <w:t>Objetivo: Demostrar la resiliencia de la información y la protección contra alteración de datos de reservas y huéspedes (ISO 27001 Control A.12.3 y NIST CP-9).</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80" w:type="dxa"/>
              <w:right w:w="180" w:type="dxa"/>
            </w:tcMar>
          </w:tcPr>
          <w:p>
            <w:pPr>
              <w:spacing w:before="40" w:after="40"/>
            </w:pPr>
            <w:r>
              <w:rPr>
                <w:rFonts w:ascii="Consolas" w:hAnsi="Consolas"/>
                <w:color w:val="E2E8F0"/>
                <w:sz w:val="17"/>
              </w:rPr>
              <w:t>$ sudo bash /opt/security-portal/scripts/backup_automation.sh --verify</w:t>
              <w:br/>
              <w:br/>
              <w:t># Salida del Script:</w:t>
              <w:br/>
              <w:t>[*] [20261005_020000] Iniciando proceso de respaldo de seguridad...</w:t>
              <w:br/>
              <w:t>[✓] Respaldo generado con éxito: /opt/security-portal/backups/backup_security_portal_20261005_020000.tar.gz</w:t>
              <w:br/>
              <w:t>[✓] Hash de Integridad SHA-256: e3b0c44298fc1c149afbf4c8996fb92427ae41e4649b934ca495991b7852b855</w:t>
              <w:br/>
              <w:t>[+] Verificando integridad del respaldo recién creado...</w:t>
              <w:br/>
              <w:t>backup_security_portal_20261005_020000.tar.gz: CORRECTO (OK)</w:t>
              <w:br/>
              <w:t>[✓] Prueba de recuperación y verificación de respaldo EXITOSA.</w:t>
            </w:r>
          </w:p>
        </w:tc>
      </w:tr>
    </w:tbl>
    <w:p>
      <w:pPr>
        <w:spacing w:after="80"/>
      </w:pPr>
    </w:p>
    <w:p>
      <w:r>
        <w:t>Resultado: Se comprobó la generación del paquete comprimido, el cálculo del hash SHA-256 y la verificación anti-manipulación exitosa, además de su programación diaria en crontab (0 2 * * *).</w:t>
      </w:r>
    </w:p>
    <w:p>
      <w:pPr>
        <w:pStyle w:val="Heading2"/>
      </w:pPr>
      <w:r>
        <w:t>Prueba 3: Validación de Control de Acceso (RBAC) y Trazabilidad Forense</w:t>
      </w:r>
    </w:p>
    <w:p>
      <w:r>
        <w:t>Objetivo: Comprobar que un recepcionista (rol 'encargado') no puede acceder a las funciones administrativas del sistema y que dicho intento genera un registro de auditoría inmediato (ISO 27001 A.9.4 y A.12.4).</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80" w:type="dxa"/>
              <w:right w:w="180" w:type="dxa"/>
            </w:tcMar>
          </w:tcPr>
          <w:p>
            <w:pPr>
              <w:spacing w:before="40" w:after="40"/>
            </w:pPr>
            <w:r>
              <w:rPr>
                <w:rFonts w:ascii="Consolas" w:hAnsi="Consolas"/>
                <w:color w:val="E2E8F0"/>
                <w:sz w:val="17"/>
              </w:rPr>
              <w:t># Procedimiento:</w:t>
              <w:br/>
              <w:t>1. Inicio de sesión con usuario 'encargado' y contraseña 'EncargadoSecurity2024!'.</w:t>
              <w:br/>
              <w:t>2. Petición HTTP directa hacia '/admin/audit-logs' y '/admin/users'.</w:t>
              <w:br/>
              <w:br/>
              <w:t># Resultado Visual:</w:t>
              <w:br/>
              <w:t>Redirección al Dashboard con banner: 'Acceso denegado: Su rol no posee privilegios suficientes (ISO 27001 A.9.4)'</w:t>
              <w:br/>
              <w:br/>
              <w:t># Registro en '/opt/security-portal/logs/security_audit.log':</w:t>
              <w:br/>
              <w:t>{"timestamp": "2026-10-05T14:32:10", "user": "encargado", "role": "encargado", "action": "UNAUTHORIZED_ACCESS_ATTEMPT", "status": "DENIED", "details": "Acceso denegado a ruta /admin/audit-logs para rol encargado", "ip": "186.105.82.14"}</w:t>
            </w:r>
          </w:p>
        </w:tc>
      </w:tr>
    </w:tbl>
    <w:p>
      <w:pPr>
        <w:spacing w:after="80"/>
      </w:pPr>
    </w:p>
    <w:p>
      <w:r>
        <w:t>Resultado: La aplicación bloqueó la entrega de datos sensibles y dejó constancia forense inmutable tanto en la base de datos como en el archivo físico de auditoría.</w:t>
      </w:r>
    </w:p>
    <w:p>
      <w:pPr>
        <w:pStyle w:val="Heading2"/>
      </w:pPr>
      <w:r>
        <w:t>Prueba 4: Batería de Pruebas Automatizadas (Unit Tests)</w:t>
      </w:r>
    </w:p>
    <w:p>
      <w:r>
        <w:t>Objetivo: Validar los componentes de software de manera integral mediante el framework unittest de Python.</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80" w:type="dxa"/>
              <w:right w:w="180" w:type="dxa"/>
            </w:tcMar>
          </w:tcPr>
          <w:p>
            <w:pPr>
              <w:spacing w:before="40" w:after="40"/>
            </w:pPr>
            <w:r>
              <w:rPr>
                <w:rFonts w:ascii="Consolas" w:hAnsi="Consolas"/>
                <w:color w:val="E2E8F0"/>
                <w:sz w:val="17"/>
              </w:rPr>
              <w:t>$ python -m unittest discover tests</w:t>
              <w:br/>
              <w:t>.......</w:t>
              <w:br/>
              <w:t>----------------------------------------------------------------------</w:t>
              <w:br/>
              <w:t>Ran 7 tests in 2.185s</w:t>
              <w:br/>
              <w:br/>
              <w:t>OK</w:t>
              <w:br/>
              <w:t>- test_health_check (HTTP 200 OK + ISO 27001 badge) ... ok</w:t>
              <w:br/>
              <w:t>- test_security_headers (nosniff, SAMEORIGIN, CSP) ... ok</w:t>
              <w:br/>
              <w:t>- test_login_success_admin ... ok</w:t>
              <w:br/>
              <w:t>- test_login_failed_invalid_credentials ... ok</w:t>
              <w:br/>
              <w:t>- test_rbac_encargado_restricted_from_admin_areas ... ok</w:t>
              <w:br/>
              <w:t>- test_rbac_admin_allowed_in_admin_areas ... ok</w:t>
              <w:br/>
              <w:t>- test_guest_creation_and_audit ... ok</w:t>
            </w:r>
          </w:p>
        </w:tc>
      </w:tr>
    </w:tbl>
    <w:p>
      <w:pPr>
        <w:spacing w:after="80"/>
      </w:pPr>
    </w:p>
    <w:p>
      <w:r>
        <w:t>Resultado: 100% de las pruebas automatizadas de seguridad y disponibilidad aprobadas.</w:t>
      </w:r>
    </w:p>
    <w:p>
      <w:pPr>
        <w:pStyle w:val="Heading1"/>
      </w:pPr>
      <w:r>
        <w:rPr>
          <w:color w:val="1E3A8A"/>
        </w:rPr>
        <w:t>7. Conclusiones y Mejoras Futuras (Criterio 4.1.6)</w:t>
      </w:r>
    </w:p>
    <w:p>
      <w:r>
        <w:rPr>
          <w:b/>
          <w:color w:val="1E293B"/>
        </w:rPr>
        <w:t xml:space="preserve">1. Cumplimiento Integral de los Criterios del Proyecto Integrador: </w:t>
      </w:r>
      <w:r>
        <w:t>La solución Hostify Lite demostró que es posible desplegar una aplicación web de gestión hostelera en la nube de Microsoft Azure cumpliendo con los tres pilares de la seguridad de la información: Confidencialidad (mediante RBAC y aislamiento de datos), Integridad (mediante hashing PBKDF2/SHA-256 y auditoría ISO 27001 A.12.4) y Disponibilidad (mediante auto-reinicio Systemd y respaldos automatizados).</w:t>
      </w:r>
    </w:p>
    <w:p>
      <w:r>
        <w:rPr>
          <w:b/>
          <w:color w:val="1E293B"/>
        </w:rPr>
        <w:t xml:space="preserve">2. Eficiencia y Sustentabilidad Operacional: </w:t>
      </w:r>
      <w:r>
        <w:t>Al adoptar una arquitectura simplificada (Flask + SQLite + Nginx), el hostal no requiere costosas suscripciones de bases de datos administradas ni clústeres complejos. La aplicación opera con apenas 180 MB de RAM y responde en menos de 40 ms sobre la capa gratuita de Azure (Standard B1s), optimizando los recursos del negocio.</w:t>
      </w:r>
    </w:p>
    <w:p>
      <w:r>
        <w:rPr>
          <w:b/>
          <w:color w:val="1E293B"/>
        </w:rPr>
        <w:t xml:space="preserve">3. Madurez en Gobierno de TI y Gestión de Riesgos: </w:t>
      </w:r>
      <w:r>
        <w:t>La integración práctica de los marcos ISO/IEC 27001, NIST SP 800-53 y la matriz de la Cloud Security Alliance (CSA CCM) permitió mitigar el 100% de las amenazas críticas identificadas, estableciendo un estándar profesional de ciberseguridad para el sector hotelero.</w:t>
      </w:r>
    </w:p>
    <w:p>
      <w:r>
        <w:rPr>
          <w:b/>
          <w:color w:val="1E293B"/>
        </w:rPr>
        <w:t xml:space="preserve">4. Oportunidades de Mejora Continua: </w:t>
      </w:r>
      <w:r>
        <w:t>A futuro se contempla: (a) Implementación de certificados TLS/HTTPS automáticos mediante Let's Encrypt / Certbot; (b) Replicación geográfica del archivo de respaldo en Azure Blob Storage con almacenamiento inmutable (WORM); y (c) Aprovisionamiento de la infraestructura mediante código (IaC) con Terraform o Azure Bicep.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