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BDB1B" w14:textId="77777777" w:rsidR="009106EF" w:rsidRDefault="00000000">
      <w:pPr>
        <w:pStyle w:val="Heading1"/>
      </w:pPr>
      <w:bookmarkStart w:id="0" w:name="migration-path-options-analysis"/>
      <w:r>
        <w:t>Migration Path Options Analysis</w:t>
      </w:r>
    </w:p>
    <w:p w14:paraId="1A019086" w14:textId="77777777" w:rsidR="009106EF" w:rsidRDefault="00000000">
      <w:pPr>
        <w:pStyle w:val="Heading2"/>
      </w:pPr>
      <w:bookmarkStart w:id="1" w:name="X01f4cb5d37e9695fb23e11c65053b7d1cda78ac"/>
      <w:r>
        <w:t>Cloudinary → UTA S3 (Enterprise External-Storage)</w:t>
      </w:r>
    </w:p>
    <w:p w14:paraId="491225DE" w14:textId="77777777" w:rsidR="009106EF" w:rsidRDefault="00000000">
      <w:pPr>
        <w:pStyle w:val="FirstParagraph"/>
      </w:pPr>
      <w:r>
        <w:rPr>
          <w:b/>
          <w:bCs/>
        </w:rPr>
        <w:t>Project:</w:t>
      </w:r>
      <w:r>
        <w:t xml:space="preserve"> AwsMigration — UTA Cloudinary → S3 Migration</w:t>
      </w:r>
      <w:r>
        <w:br/>
      </w:r>
      <w:r>
        <w:rPr>
          <w:b/>
          <w:bCs/>
        </w:rPr>
        <w:t>Author:</w:t>
      </w:r>
      <w:r>
        <w:t xml:space="preserve"> Edgar (Architect)</w:t>
      </w:r>
      <w:r>
        <w:br/>
      </w:r>
      <w:r>
        <w:rPr>
          <w:b/>
          <w:bCs/>
        </w:rPr>
        <w:t>Date:</w:t>
      </w:r>
      <w:r>
        <w:t xml:space="preserve"> March 15, 2026</w:t>
      </w:r>
      <w:r>
        <w:br/>
      </w:r>
      <w:r>
        <w:rPr>
          <w:b/>
          <w:bCs/>
        </w:rPr>
        <w:t>Status:</w:t>
      </w:r>
      <w:r>
        <w:t xml:space="preserve"> Draft — for Workshop with Client and Cloudinary Professional Services</w:t>
      </w:r>
      <w:r>
        <w:br/>
      </w:r>
      <w:r>
        <w:rPr>
          <w:b/>
          <w:bCs/>
        </w:rPr>
        <w:t>Distribution:</w:t>
      </w:r>
      <w:r>
        <w:t xml:space="preserve"> UTA Stakeholders, Cloudinary Professional Services</w:t>
      </w:r>
    </w:p>
    <w:p w14:paraId="58439089" w14:textId="77777777" w:rsidR="009106EF" w:rsidRDefault="00000000">
      <w:r>
        <w:pict w14:anchorId="7786DB39">
          <v:rect id="_x0000_i1025" style="width:0;height:1.5pt" o:hralign="center" o:hrstd="t" o:hr="t"/>
        </w:pict>
      </w:r>
    </w:p>
    <w:p w14:paraId="330CBE46" w14:textId="77777777" w:rsidR="009106EF" w:rsidRDefault="00000000">
      <w:pPr>
        <w:pStyle w:val="Heading2"/>
      </w:pPr>
      <w:bookmarkStart w:id="2" w:name="purpose"/>
      <w:bookmarkEnd w:id="1"/>
      <w:r>
        <w:t>Purpose</w:t>
      </w:r>
    </w:p>
    <w:p w14:paraId="0AEC497E" w14:textId="77777777" w:rsidR="009106EF" w:rsidRDefault="00000000">
      <w:pPr>
        <w:pStyle w:val="FirstParagraph"/>
      </w:pPr>
      <w:r>
        <w:t>This document presents a structured comparison of three candidate migration paths for moving ~3 TB of binary assets (images, videos, audio, PDFs) from Cloudinary-managed storage to UTA-owned S3, while retaining Cloudinary as the CDN and metadata management layer (BYOB — Bring Your Own Bucket).</w:t>
      </w:r>
    </w:p>
    <w:p w14:paraId="25CC13E2" w14:textId="77777777" w:rsidR="009106EF" w:rsidRDefault="00000000">
      <w:pPr>
        <w:pStyle w:val="BodyText"/>
      </w:pPr>
      <w:r>
        <w:t>The analysis is intended as a decision-support artifact for the workshop between UTA, the delivery team, and Cloudinary Professional Services. Several options carry open unknowns that must be clarified by Cloudinary PS during that session.</w:t>
      </w:r>
    </w:p>
    <w:p w14:paraId="212385EB" w14:textId="77777777" w:rsidR="009106EF" w:rsidRDefault="00000000">
      <w:pPr>
        <w:pStyle w:val="BodyText"/>
      </w:pPr>
      <w:r>
        <w:rPr>
          <w:b/>
          <w:bCs/>
        </w:rPr>
        <w:t>Prerequisite (applies to all options):</w:t>
      </w:r>
      <w:r>
        <w:t xml:space="preserve"> A new Cloudinary environment must be created before any migration work begins. This is non-negotiable for protecting the live production environment. The new environment will also be the target for BYOB configuration.</w:t>
      </w:r>
    </w:p>
    <w:p w14:paraId="6AD5406A" w14:textId="77777777" w:rsidR="009106EF" w:rsidRDefault="00000000">
      <w:r>
        <w:pict w14:anchorId="0B951052">
          <v:rect id="_x0000_i1026" style="width:0;height:1.5pt" o:hralign="center" o:hrstd="t" o:hr="t"/>
        </w:pict>
      </w:r>
    </w:p>
    <w:p w14:paraId="12151D9E" w14:textId="77777777" w:rsidR="009106EF" w:rsidRDefault="00000000">
      <w:pPr>
        <w:pStyle w:val="Heading2"/>
      </w:pPr>
      <w:bookmarkStart w:id="3" w:name="the-three-candidate-options"/>
      <w:bookmarkEnd w:id="2"/>
      <w:r>
        <w:t>The Three Candidate Options</w:t>
      </w:r>
    </w:p>
    <w:p w14:paraId="4F1DFAA8" w14:textId="77777777" w:rsidR="009106EF" w:rsidRDefault="00000000">
      <w:pPr>
        <w:pStyle w:val="Heading3"/>
      </w:pPr>
      <w:bookmarkStart w:id="4" w:name="option-a-cloudinary-cli-sync-clone"/>
      <w:r>
        <w:t>Option A — Cloudinary CLI Sync / Clone</w:t>
      </w:r>
    </w:p>
    <w:p w14:paraId="4C25EB14" w14:textId="77777777" w:rsidR="009106EF" w:rsidRDefault="00000000">
      <w:pPr>
        <w:pStyle w:val="FirstParagraph"/>
      </w:pPr>
      <w:r>
        <w:t xml:space="preserve">Use the Cloudinary CLI’s </w:t>
      </w:r>
      <w:r>
        <w:rPr>
          <w:rStyle w:val="VerbatimChar"/>
        </w:rPr>
        <w:t>sync</w:t>
      </w:r>
      <w:r>
        <w:t xml:space="preserve"> or </w:t>
      </w:r>
      <w:r>
        <w:rPr>
          <w:rStyle w:val="VerbatimChar"/>
        </w:rPr>
        <w:t>clone</w:t>
      </w:r>
      <w:r>
        <w:t xml:space="preserve"> command to replicate assets and metadata from the existing Cloudinary environment into the new environment backed by UTA’s S3 (BYOB).</w:t>
      </w:r>
    </w:p>
    <w:p w14:paraId="65B83541" w14:textId="77777777" w:rsidR="009106EF" w:rsidRDefault="00000000">
      <w:pPr>
        <w:pStyle w:val="Compact"/>
        <w:numPr>
          <w:ilvl w:val="0"/>
          <w:numId w:val="2"/>
        </w:numPr>
      </w:pPr>
      <w:r>
        <w:rPr>
          <w:rStyle w:val="VerbatimChar"/>
          <w:b/>
          <w:bCs/>
        </w:rPr>
        <w:t>cld sync</w:t>
      </w:r>
      <w:r>
        <w:t xml:space="preserve">: Documented for local-folder &lt;-&gt; cloud synchronization. Whether it supports cloud-to-cloud (environment-to-environment) is </w:t>
      </w:r>
      <w:r>
        <w:rPr>
          <w:b/>
          <w:bCs/>
        </w:rPr>
        <w:t>not confirmed</w:t>
      </w:r>
      <w:r>
        <w:t xml:space="preserve"> by public documentation.</w:t>
      </w:r>
    </w:p>
    <w:p w14:paraId="66DFFA65" w14:textId="77777777" w:rsidR="009106EF" w:rsidRDefault="00000000">
      <w:pPr>
        <w:pStyle w:val="Compact"/>
        <w:numPr>
          <w:ilvl w:val="0"/>
          <w:numId w:val="2"/>
        </w:numPr>
      </w:pPr>
      <w:r>
        <w:rPr>
          <w:rStyle w:val="VerbatimChar"/>
          <w:b/>
          <w:bCs/>
        </w:rPr>
        <w:t>cld clone</w:t>
      </w:r>
      <w:r>
        <w:t xml:space="preserve">: Appears to perform environment-level duplication. Whether it carries binary assets, metadata, structured fields, and tags into a BYOB-backed target is </w:t>
      </w:r>
      <w:r>
        <w:rPr>
          <w:b/>
          <w:bCs/>
        </w:rPr>
        <w:t>not confirmed</w:t>
      </w:r>
      <w:r>
        <w:t>.</w:t>
      </w:r>
    </w:p>
    <w:p w14:paraId="3995D13B" w14:textId="77777777" w:rsidR="009106EF" w:rsidRDefault="00000000">
      <w:pPr>
        <w:pStyle w:val="Compact"/>
        <w:numPr>
          <w:ilvl w:val="0"/>
          <w:numId w:val="2"/>
        </w:numPr>
      </w:pPr>
      <w:r>
        <w:t>If it works as hoped, this collapses the migration into a single command execution managed by Cloudinary’s platform.</w:t>
      </w:r>
    </w:p>
    <w:p w14:paraId="4388846C" w14:textId="77777777" w:rsidR="009106EF" w:rsidRDefault="00000000">
      <w:pPr>
        <w:pStyle w:val="FirstParagraph"/>
      </w:pPr>
      <w:r>
        <w:rPr>
          <w:b/>
          <w:bCs/>
        </w:rPr>
        <w:lastRenderedPageBreak/>
        <w:t>Reference:</w:t>
      </w:r>
      <w:r>
        <w:t xml:space="preserve"> </w:t>
      </w:r>
      <w:hyperlink r:id="rId5" w:anchor="sync">
        <w:r>
          <w:rPr>
            <w:rStyle w:val="Hyperlink"/>
          </w:rPr>
          <w:t>Cloudinary CLI sync docs</w:t>
        </w:r>
      </w:hyperlink>
      <w:r>
        <w:t xml:space="preserve"> | </w:t>
      </w:r>
      <w:hyperlink r:id="rId6" w:anchor="clone">
        <w:r>
          <w:rPr>
            <w:rStyle w:val="Hyperlink"/>
          </w:rPr>
          <w:t>Cloudinary CLI clone docs</w:t>
        </w:r>
      </w:hyperlink>
    </w:p>
    <w:p w14:paraId="674D01B8" w14:textId="77777777" w:rsidR="009106EF" w:rsidRDefault="00000000">
      <w:r>
        <w:pict w14:anchorId="709FE1F1">
          <v:rect id="_x0000_i1027" style="width:0;height:1.5pt" o:hralign="center" o:hrstd="t" o:hr="t"/>
        </w:pict>
      </w:r>
    </w:p>
    <w:p w14:paraId="1047CB8F" w14:textId="77777777" w:rsidR="009106EF" w:rsidRDefault="00000000">
      <w:pPr>
        <w:pStyle w:val="Heading3"/>
      </w:pPr>
      <w:bookmarkStart w:id="5" w:name="X75ee0b4ac65a297c8aa23b116b527725750a41e"/>
      <w:bookmarkEnd w:id="4"/>
      <w:r>
        <w:t>Option B — Worker Fleet (Python SDK + SQS + DynamoDB)</w:t>
      </w:r>
    </w:p>
    <w:p w14:paraId="2D58ED04" w14:textId="77777777" w:rsidR="009106EF" w:rsidRDefault="00000000">
      <w:pPr>
        <w:pStyle w:val="FirstParagraph"/>
      </w:pPr>
      <w:r>
        <w:t>A purpose-built migration engine: a Python controller enqueues all asset identifiers into SQS; a pool of stateless workers reads the queue, downloads each asset from Cloudinary, uploads it to UTA S3, and updates Cloudinary metadata in the new environment. This is the architecture described in the PRD.</w:t>
      </w:r>
    </w:p>
    <w:p w14:paraId="4789718B" w14:textId="77777777" w:rsidR="009106EF" w:rsidRDefault="00000000">
      <w:pPr>
        <w:pStyle w:val="Compact"/>
        <w:numPr>
          <w:ilvl w:val="0"/>
          <w:numId w:val="3"/>
        </w:numPr>
      </w:pPr>
      <w:r>
        <w:t>Full programmatic control over every asset.</w:t>
      </w:r>
    </w:p>
    <w:p w14:paraId="7ED5B915" w14:textId="77777777" w:rsidR="009106EF" w:rsidRDefault="00000000">
      <w:pPr>
        <w:pStyle w:val="Compact"/>
        <w:numPr>
          <w:ilvl w:val="0"/>
          <w:numId w:val="3"/>
        </w:numPr>
      </w:pPr>
      <w:r>
        <w:t>Rate limiting, retry, and dead-letter handling are first-class concerns in the design.</w:t>
      </w:r>
    </w:p>
    <w:p w14:paraId="682A67CB" w14:textId="77777777" w:rsidR="009106EF" w:rsidRDefault="00000000">
      <w:pPr>
        <w:pStyle w:val="Compact"/>
        <w:numPr>
          <w:ilvl w:val="0"/>
          <w:numId w:val="3"/>
        </w:numPr>
      </w:pPr>
      <w:r>
        <w:t>Per-asset state is tracked in DynamoDB; observability via CloudWatch and Datadog.</w:t>
      </w:r>
    </w:p>
    <w:p w14:paraId="3DDCB8AE" w14:textId="77777777" w:rsidR="009106EF" w:rsidRDefault="00000000">
      <w:pPr>
        <w:pStyle w:val="Compact"/>
        <w:numPr>
          <w:ilvl w:val="0"/>
          <w:numId w:val="3"/>
        </w:numPr>
      </w:pPr>
      <w:r>
        <w:t>Pilot batch (100 assets) is a native concept — easy to validate before scaling.</w:t>
      </w:r>
    </w:p>
    <w:p w14:paraId="57A5AE32" w14:textId="77777777" w:rsidR="009106EF" w:rsidRDefault="00000000">
      <w:pPr>
        <w:pStyle w:val="FirstParagraph"/>
      </w:pPr>
      <w:r>
        <w:rPr>
          <w:b/>
          <w:bCs/>
        </w:rPr>
        <w:t>Reference:</w:t>
      </w:r>
      <w:r>
        <w:t xml:space="preserve"> PRD Section “Worker Flow” and “Components.”</w:t>
      </w:r>
    </w:p>
    <w:p w14:paraId="0A189CD8" w14:textId="77777777" w:rsidR="009106EF" w:rsidRDefault="00000000">
      <w:r>
        <w:pict w14:anchorId="40ABD7AE">
          <v:rect id="_x0000_i1028" style="width:0;height:1.5pt" o:hralign="center" o:hrstd="t" o:hr="t"/>
        </w:pict>
      </w:r>
    </w:p>
    <w:p w14:paraId="6D45B46D" w14:textId="77777777" w:rsidR="009106EF" w:rsidRDefault="00000000">
      <w:pPr>
        <w:pStyle w:val="Heading3"/>
      </w:pPr>
      <w:bookmarkStart w:id="6" w:name="X4ad4c9858bcc47a55a841e0dfe2c0d8f48c7ea2"/>
      <w:bookmarkEnd w:id="5"/>
      <w:r>
        <w:t>Option C — S3 Tenant Ownership Transfer (or Cross-Account Copy)</w:t>
      </w:r>
    </w:p>
    <w:p w14:paraId="2627AF03" w14:textId="77777777" w:rsidR="009106EF" w:rsidRDefault="00000000">
      <w:pPr>
        <w:pStyle w:val="FirstParagraph"/>
      </w:pPr>
      <w:r>
        <w:t>Copy raw object data at the S3 layer — either from Cloudinary’s internal S3 bucket directly to UTA’s S3 bucket — and then reconcile Cloudinary metadata separately.</w:t>
      </w:r>
    </w:p>
    <w:p w14:paraId="5B71D1D7" w14:textId="77777777" w:rsidR="009106EF" w:rsidRDefault="00000000">
      <w:pPr>
        <w:pStyle w:val="Compact"/>
        <w:numPr>
          <w:ilvl w:val="0"/>
          <w:numId w:val="4"/>
        </w:numPr>
      </w:pPr>
      <w:r>
        <w:t xml:space="preserve">Sub-variant C1: Ask AWS to perform a storage-layer “ownership transfer” (bucket ownership change across tenants). This is </w:t>
      </w:r>
      <w:r>
        <w:rPr>
          <w:b/>
          <w:bCs/>
        </w:rPr>
        <w:t>not a standard AWS feature</w:t>
      </w:r>
      <w:r>
        <w:t xml:space="preserve"> and is considered highly unlikely.</w:t>
      </w:r>
    </w:p>
    <w:p w14:paraId="388C1772" w14:textId="77777777" w:rsidR="009106EF" w:rsidRDefault="00000000">
      <w:pPr>
        <w:pStyle w:val="Compact"/>
        <w:numPr>
          <w:ilvl w:val="0"/>
          <w:numId w:val="4"/>
        </w:numPr>
      </w:pPr>
      <w:r>
        <w:t xml:space="preserve">Sub-variant C2: Cloudinary configures a cross-account S3 replication or </w:t>
      </w:r>
      <w:r>
        <w:rPr>
          <w:rStyle w:val="VerbatimChar"/>
        </w:rPr>
        <w:t>CopyObject</w:t>
      </w:r>
      <w:r>
        <w:t xml:space="preserve"> permission from their internal bucket to UTA’s S3. This is more realistic but depends entirely on Cloudinary PS willingness to expose their internal bucket.</w:t>
      </w:r>
    </w:p>
    <w:p w14:paraId="716C514B" w14:textId="77777777" w:rsidR="009106EF" w:rsidRDefault="00000000">
      <w:pPr>
        <w:pStyle w:val="Compact"/>
        <w:numPr>
          <w:ilvl w:val="0"/>
          <w:numId w:val="4"/>
        </w:numPr>
      </w:pPr>
      <w:r>
        <w:t>If feasible, this would be the fastest path for raw data transfer (server-side, zero egress cost).</w:t>
      </w:r>
    </w:p>
    <w:p w14:paraId="6377A520" w14:textId="77777777" w:rsidR="009106EF" w:rsidRDefault="00000000">
      <w:r>
        <w:pict w14:anchorId="1B7E153D">
          <v:rect id="_x0000_i1029" style="width:0;height:1.5pt" o:hralign="center" o:hrstd="t" o:hr="t"/>
        </w:pict>
      </w:r>
    </w:p>
    <w:p w14:paraId="0006B8A3" w14:textId="77777777" w:rsidR="009106EF" w:rsidRDefault="00000000">
      <w:pPr>
        <w:pStyle w:val="Heading2"/>
      </w:pPr>
      <w:bookmarkStart w:id="7" w:name="comparison-table"/>
      <w:bookmarkEnd w:id="3"/>
      <w:bookmarkEnd w:id="6"/>
      <w:r>
        <w:t>Comparison Table</w:t>
      </w:r>
    </w:p>
    <w:tbl>
      <w:tblPr>
        <w:tblStyle w:val="Table"/>
        <w:tblW w:w="5000" w:type="pct"/>
        <w:tblLayout w:type="fixed"/>
        <w:tblLook w:val="0020" w:firstRow="1" w:lastRow="0" w:firstColumn="0" w:lastColumn="0" w:noHBand="0" w:noVBand="0"/>
      </w:tblPr>
      <w:tblGrid>
        <w:gridCol w:w="1596"/>
        <w:gridCol w:w="2660"/>
        <w:gridCol w:w="2660"/>
        <w:gridCol w:w="2660"/>
      </w:tblGrid>
      <w:tr w:rsidR="009106EF" w14:paraId="120D1AB0" w14:textId="77777777" w:rsidTr="009106EF">
        <w:trPr>
          <w:cnfStyle w:val="100000000000" w:firstRow="1" w:lastRow="0" w:firstColumn="0" w:lastColumn="0" w:oddVBand="0" w:evenVBand="0" w:oddHBand="0" w:evenHBand="0" w:firstRowFirstColumn="0" w:firstRowLastColumn="0" w:lastRowFirstColumn="0" w:lastRowLastColumn="0"/>
          <w:tblHeader/>
        </w:trPr>
        <w:tc>
          <w:tcPr>
            <w:tcW w:w="1320" w:type="dxa"/>
          </w:tcPr>
          <w:p w14:paraId="1CE5E9EF" w14:textId="77777777" w:rsidR="009106EF" w:rsidRDefault="00000000">
            <w:pPr>
              <w:pStyle w:val="Compact"/>
            </w:pPr>
            <w:r>
              <w:t>Quality Attribute</w:t>
            </w:r>
          </w:p>
        </w:tc>
        <w:tc>
          <w:tcPr>
            <w:tcW w:w="2200" w:type="dxa"/>
          </w:tcPr>
          <w:p w14:paraId="3B4C2974" w14:textId="77777777" w:rsidR="009106EF" w:rsidRDefault="00000000">
            <w:pPr>
              <w:pStyle w:val="Compact"/>
              <w:jc w:val="center"/>
            </w:pPr>
            <w:r>
              <w:rPr>
                <w:b/>
                <w:bCs/>
              </w:rPr>
              <w:t>A — CLI Sync / Clone</w:t>
            </w:r>
          </w:p>
        </w:tc>
        <w:tc>
          <w:tcPr>
            <w:tcW w:w="2200" w:type="dxa"/>
          </w:tcPr>
          <w:p w14:paraId="73DF0E05" w14:textId="77777777" w:rsidR="009106EF" w:rsidRDefault="00000000">
            <w:pPr>
              <w:pStyle w:val="Compact"/>
              <w:jc w:val="center"/>
            </w:pPr>
            <w:r>
              <w:rPr>
                <w:b/>
                <w:bCs/>
              </w:rPr>
              <w:t>B — Worker Fleet (Python SDK)</w:t>
            </w:r>
          </w:p>
        </w:tc>
        <w:tc>
          <w:tcPr>
            <w:tcW w:w="2200" w:type="dxa"/>
          </w:tcPr>
          <w:p w14:paraId="4F29CF93" w14:textId="77777777" w:rsidR="009106EF" w:rsidRDefault="00000000">
            <w:pPr>
              <w:pStyle w:val="Compact"/>
              <w:jc w:val="center"/>
            </w:pPr>
            <w:r>
              <w:rPr>
                <w:b/>
                <w:bCs/>
              </w:rPr>
              <w:t>C — S3 Ownership / Cross-Account Copy</w:t>
            </w:r>
          </w:p>
        </w:tc>
      </w:tr>
      <w:tr w:rsidR="009106EF" w14:paraId="00D3B45C" w14:textId="77777777">
        <w:tc>
          <w:tcPr>
            <w:tcW w:w="1320" w:type="dxa"/>
          </w:tcPr>
          <w:p w14:paraId="1BC59513" w14:textId="77777777" w:rsidR="009106EF" w:rsidRDefault="00000000">
            <w:pPr>
              <w:pStyle w:val="Compact"/>
            </w:pPr>
            <w:r>
              <w:rPr>
                <w:b/>
                <w:bCs/>
              </w:rPr>
              <w:t>Feasibility (confirmed)</w:t>
            </w:r>
          </w:p>
        </w:tc>
        <w:tc>
          <w:tcPr>
            <w:tcW w:w="2200" w:type="dxa"/>
          </w:tcPr>
          <w:p w14:paraId="05F4CA28" w14:textId="77777777" w:rsidR="009106EF" w:rsidRDefault="00000000">
            <w:pPr>
              <w:pStyle w:val="Compact"/>
              <w:jc w:val="center"/>
            </w:pPr>
            <w:r>
              <w:t>🟡 Partially unknown</w:t>
            </w:r>
          </w:p>
        </w:tc>
        <w:tc>
          <w:tcPr>
            <w:tcW w:w="2200" w:type="dxa"/>
          </w:tcPr>
          <w:p w14:paraId="1AFC0240" w14:textId="77777777" w:rsidR="009106EF" w:rsidRDefault="00000000">
            <w:pPr>
              <w:pStyle w:val="Compact"/>
              <w:jc w:val="center"/>
            </w:pPr>
            <w:r>
              <w:t>✅ Fully understood</w:t>
            </w:r>
          </w:p>
        </w:tc>
        <w:tc>
          <w:tcPr>
            <w:tcW w:w="2200" w:type="dxa"/>
          </w:tcPr>
          <w:p w14:paraId="50EF210C" w14:textId="77777777" w:rsidR="009106EF" w:rsidRDefault="00000000">
            <w:pPr>
              <w:pStyle w:val="Compact"/>
              <w:jc w:val="center"/>
            </w:pPr>
            <w:r>
              <w:t>🔴 High uncertainty</w:t>
            </w:r>
          </w:p>
        </w:tc>
      </w:tr>
      <w:tr w:rsidR="009106EF" w14:paraId="185CA212" w14:textId="77777777">
        <w:tc>
          <w:tcPr>
            <w:tcW w:w="1320" w:type="dxa"/>
          </w:tcPr>
          <w:p w14:paraId="54BAEF95" w14:textId="77777777" w:rsidR="009106EF" w:rsidRDefault="00000000">
            <w:pPr>
              <w:pStyle w:val="Compact"/>
            </w:pPr>
            <w:r>
              <w:rPr>
                <w:b/>
                <w:bCs/>
              </w:rPr>
              <w:t>Metadata Migration</w:t>
            </w:r>
          </w:p>
        </w:tc>
        <w:tc>
          <w:tcPr>
            <w:tcW w:w="2200" w:type="dxa"/>
          </w:tcPr>
          <w:p w14:paraId="22860FE2" w14:textId="77777777" w:rsidR="009106EF" w:rsidRDefault="00000000">
            <w:pPr>
              <w:pStyle w:val="Compact"/>
              <w:jc w:val="center"/>
            </w:pPr>
            <w:r>
              <w:t>🟡 Unknown (depends on CLI behavior)</w:t>
            </w:r>
          </w:p>
        </w:tc>
        <w:tc>
          <w:tcPr>
            <w:tcW w:w="2200" w:type="dxa"/>
          </w:tcPr>
          <w:p w14:paraId="0C1C0D7F" w14:textId="77777777" w:rsidR="009106EF" w:rsidRDefault="00000000">
            <w:pPr>
              <w:pStyle w:val="Compact"/>
              <w:jc w:val="center"/>
            </w:pPr>
            <w:r>
              <w:t>✅ Explicit — per-asset API call</w:t>
            </w:r>
          </w:p>
        </w:tc>
        <w:tc>
          <w:tcPr>
            <w:tcW w:w="2200" w:type="dxa"/>
          </w:tcPr>
          <w:p w14:paraId="2B3E840D" w14:textId="77777777" w:rsidR="009106EF" w:rsidRDefault="00000000">
            <w:pPr>
              <w:pStyle w:val="Compact"/>
              <w:jc w:val="center"/>
            </w:pPr>
            <w:r>
              <w:t>🔴 Not inherent — separate step required</w:t>
            </w:r>
          </w:p>
        </w:tc>
      </w:tr>
      <w:tr w:rsidR="009106EF" w14:paraId="5FEF9B65" w14:textId="77777777">
        <w:tc>
          <w:tcPr>
            <w:tcW w:w="1320" w:type="dxa"/>
          </w:tcPr>
          <w:p w14:paraId="34C23A9F" w14:textId="77777777" w:rsidR="009106EF" w:rsidRDefault="00000000">
            <w:pPr>
              <w:pStyle w:val="Compact"/>
            </w:pPr>
            <w:r>
              <w:rPr>
                <w:rStyle w:val="VerbatimChar"/>
                <w:b/>
                <w:bCs/>
              </w:rPr>
              <w:t>public_id</w:t>
            </w:r>
            <w:r>
              <w:rPr>
                <w:b/>
                <w:bCs/>
              </w:rPr>
              <w:t xml:space="preserve"> Preservatio</w:t>
            </w:r>
            <w:r>
              <w:rPr>
                <w:b/>
                <w:bCs/>
              </w:rPr>
              <w:lastRenderedPageBreak/>
              <w:t>n</w:t>
            </w:r>
          </w:p>
        </w:tc>
        <w:tc>
          <w:tcPr>
            <w:tcW w:w="2200" w:type="dxa"/>
          </w:tcPr>
          <w:p w14:paraId="1A4FB470" w14:textId="77777777" w:rsidR="009106EF" w:rsidRDefault="00000000">
            <w:pPr>
              <w:pStyle w:val="Compact"/>
              <w:jc w:val="center"/>
            </w:pPr>
            <w:r>
              <w:lastRenderedPageBreak/>
              <w:t xml:space="preserve">🟡 Assumed yes for </w:t>
            </w:r>
            <w:r>
              <w:rPr>
                <w:rStyle w:val="VerbatimChar"/>
              </w:rPr>
              <w:t>clone</w:t>
            </w:r>
            <w:r>
              <w:t xml:space="preserve">; unclear for </w:t>
            </w:r>
            <w:r>
              <w:rPr>
                <w:rStyle w:val="VerbatimChar"/>
              </w:rPr>
              <w:t>sync</w:t>
            </w:r>
          </w:p>
        </w:tc>
        <w:tc>
          <w:tcPr>
            <w:tcW w:w="2200" w:type="dxa"/>
          </w:tcPr>
          <w:p w14:paraId="7EC9FBE2" w14:textId="77777777" w:rsidR="009106EF" w:rsidRDefault="00000000">
            <w:pPr>
              <w:pStyle w:val="Compact"/>
              <w:jc w:val="center"/>
            </w:pPr>
            <w:r>
              <w:t>✅ Guaranteed by design</w:t>
            </w:r>
          </w:p>
        </w:tc>
        <w:tc>
          <w:tcPr>
            <w:tcW w:w="2200" w:type="dxa"/>
          </w:tcPr>
          <w:p w14:paraId="25D10D15" w14:textId="77777777" w:rsidR="009106EF" w:rsidRDefault="00000000">
            <w:pPr>
              <w:pStyle w:val="Compact"/>
              <w:jc w:val="center"/>
            </w:pPr>
            <w:r>
              <w:t>🔴 Must be reconciled separately</w:t>
            </w:r>
          </w:p>
        </w:tc>
      </w:tr>
      <w:tr w:rsidR="009106EF" w14:paraId="58547466" w14:textId="77777777">
        <w:tc>
          <w:tcPr>
            <w:tcW w:w="1320" w:type="dxa"/>
          </w:tcPr>
          <w:p w14:paraId="06295773" w14:textId="77777777" w:rsidR="009106EF" w:rsidRDefault="00000000">
            <w:pPr>
              <w:pStyle w:val="Compact"/>
            </w:pPr>
            <w:r>
              <w:rPr>
                <w:b/>
                <w:bCs/>
              </w:rPr>
              <w:t>Admin API Rate Limit Exposure</w:t>
            </w:r>
          </w:p>
        </w:tc>
        <w:tc>
          <w:tcPr>
            <w:tcW w:w="2200" w:type="dxa"/>
          </w:tcPr>
          <w:p w14:paraId="7B0C7D83" w14:textId="77777777" w:rsidR="009106EF" w:rsidRDefault="00000000">
            <w:pPr>
              <w:pStyle w:val="Compact"/>
              <w:jc w:val="center"/>
            </w:pPr>
            <w:r>
              <w:t>🟡 Unknown — CLI may call Admin API internally</w:t>
            </w:r>
          </w:p>
        </w:tc>
        <w:tc>
          <w:tcPr>
            <w:tcW w:w="2200" w:type="dxa"/>
          </w:tcPr>
          <w:p w14:paraId="29380746" w14:textId="77777777" w:rsidR="009106EF" w:rsidRDefault="00000000">
            <w:pPr>
              <w:pStyle w:val="Compact"/>
              <w:jc w:val="center"/>
            </w:pPr>
            <w:r>
              <w:t>✅ Controlled — token-bucket rate limiter</w:t>
            </w:r>
          </w:p>
        </w:tc>
        <w:tc>
          <w:tcPr>
            <w:tcW w:w="2200" w:type="dxa"/>
          </w:tcPr>
          <w:p w14:paraId="657BC57F" w14:textId="77777777" w:rsidR="009106EF" w:rsidRDefault="00000000">
            <w:pPr>
              <w:pStyle w:val="Compact"/>
              <w:jc w:val="center"/>
            </w:pPr>
            <w:r>
              <w:t>🟢 Minimal — no Cloudinary API calls for transfer</w:t>
            </w:r>
          </w:p>
        </w:tc>
      </w:tr>
      <w:tr w:rsidR="009106EF" w14:paraId="277CF5AD" w14:textId="77777777">
        <w:tc>
          <w:tcPr>
            <w:tcW w:w="1320" w:type="dxa"/>
          </w:tcPr>
          <w:p w14:paraId="3B025009" w14:textId="77777777" w:rsidR="009106EF" w:rsidRDefault="00000000">
            <w:pPr>
              <w:pStyle w:val="Compact"/>
            </w:pPr>
            <w:r>
              <w:rPr>
                <w:b/>
                <w:bCs/>
              </w:rPr>
              <w:t>Cloudinary PS Dependency</w:t>
            </w:r>
          </w:p>
        </w:tc>
        <w:tc>
          <w:tcPr>
            <w:tcW w:w="2200" w:type="dxa"/>
          </w:tcPr>
          <w:p w14:paraId="62C54115" w14:textId="77777777" w:rsidR="009106EF" w:rsidRDefault="00000000">
            <w:pPr>
              <w:pStyle w:val="Compact"/>
              <w:jc w:val="center"/>
            </w:pPr>
            <w:r>
              <w:t>🔴 High — CLI behavior in cross-env + BYOB context must be validated by PS</w:t>
            </w:r>
          </w:p>
        </w:tc>
        <w:tc>
          <w:tcPr>
            <w:tcW w:w="2200" w:type="dxa"/>
          </w:tcPr>
          <w:p w14:paraId="445EBE56" w14:textId="77777777" w:rsidR="009106EF" w:rsidRDefault="00000000">
            <w:pPr>
              <w:pStyle w:val="Compact"/>
              <w:jc w:val="center"/>
            </w:pPr>
            <w:r>
              <w:t>🟡 Medium — PS scoped to BYOB setup only</w:t>
            </w:r>
          </w:p>
        </w:tc>
        <w:tc>
          <w:tcPr>
            <w:tcW w:w="2200" w:type="dxa"/>
          </w:tcPr>
          <w:p w14:paraId="01B8BED0" w14:textId="77777777" w:rsidR="009106EF" w:rsidRDefault="00000000">
            <w:pPr>
              <w:pStyle w:val="Compact"/>
              <w:jc w:val="center"/>
            </w:pPr>
            <w:r>
              <w:t>🔴 Very high — non-standard AWS + Cloudinary operation</w:t>
            </w:r>
          </w:p>
        </w:tc>
      </w:tr>
      <w:tr w:rsidR="009106EF" w14:paraId="74BA5E85" w14:textId="77777777">
        <w:tc>
          <w:tcPr>
            <w:tcW w:w="1320" w:type="dxa"/>
          </w:tcPr>
          <w:p w14:paraId="7FE9A598" w14:textId="77777777" w:rsidR="009106EF" w:rsidRDefault="00000000">
            <w:pPr>
              <w:pStyle w:val="Compact"/>
            </w:pPr>
            <w:r>
              <w:rPr>
                <w:b/>
                <w:bCs/>
              </w:rPr>
              <w:t>Transfer Speed (~3 TB)</w:t>
            </w:r>
          </w:p>
        </w:tc>
        <w:tc>
          <w:tcPr>
            <w:tcW w:w="2200" w:type="dxa"/>
          </w:tcPr>
          <w:p w14:paraId="4182AE75" w14:textId="77777777" w:rsidR="009106EF" w:rsidRDefault="00000000">
            <w:pPr>
              <w:pStyle w:val="Compact"/>
              <w:jc w:val="center"/>
            </w:pPr>
            <w:r>
              <w:t>🟡 Unknown — fast if cloud-native; slow if routed through client</w:t>
            </w:r>
          </w:p>
        </w:tc>
        <w:tc>
          <w:tcPr>
            <w:tcW w:w="2200" w:type="dxa"/>
          </w:tcPr>
          <w:p w14:paraId="4D6B8A42" w14:textId="77777777" w:rsidR="009106EF" w:rsidRDefault="00000000">
            <w:pPr>
              <w:pStyle w:val="Compact"/>
              <w:jc w:val="center"/>
            </w:pPr>
            <w:r>
              <w:t>🟡 Tunable via worker concurrency; bounded by API cap</w:t>
            </w:r>
          </w:p>
        </w:tc>
        <w:tc>
          <w:tcPr>
            <w:tcW w:w="2200" w:type="dxa"/>
          </w:tcPr>
          <w:p w14:paraId="31A3D1F4" w14:textId="77777777" w:rsidR="009106EF" w:rsidRDefault="00000000">
            <w:pPr>
              <w:pStyle w:val="Compact"/>
              <w:jc w:val="center"/>
            </w:pPr>
            <w:r>
              <w:t>🟢 Potentially fastest — server-side, same or nearby region</w:t>
            </w:r>
          </w:p>
        </w:tc>
      </w:tr>
      <w:tr w:rsidR="009106EF" w14:paraId="0C43D716" w14:textId="77777777">
        <w:tc>
          <w:tcPr>
            <w:tcW w:w="1320" w:type="dxa"/>
          </w:tcPr>
          <w:p w14:paraId="2CC90F33" w14:textId="77777777" w:rsidR="009106EF" w:rsidRDefault="00000000">
            <w:pPr>
              <w:pStyle w:val="Compact"/>
            </w:pPr>
            <w:r>
              <w:rPr>
                <w:b/>
                <w:bCs/>
              </w:rPr>
              <w:t>Data Egress Cost</w:t>
            </w:r>
          </w:p>
        </w:tc>
        <w:tc>
          <w:tcPr>
            <w:tcW w:w="2200" w:type="dxa"/>
          </w:tcPr>
          <w:p w14:paraId="3858ED2C" w14:textId="77777777" w:rsidR="009106EF" w:rsidRDefault="00000000">
            <w:pPr>
              <w:pStyle w:val="Compact"/>
              <w:jc w:val="center"/>
            </w:pPr>
            <w:r>
              <w:t>🟡 Unknown — may incur if CLI routes through client</w:t>
            </w:r>
          </w:p>
        </w:tc>
        <w:tc>
          <w:tcPr>
            <w:tcW w:w="2200" w:type="dxa"/>
          </w:tcPr>
          <w:p w14:paraId="468F7C10" w14:textId="77777777" w:rsidR="009106EF" w:rsidRDefault="00000000">
            <w:pPr>
              <w:pStyle w:val="Compact"/>
              <w:jc w:val="center"/>
            </w:pPr>
            <w:r>
              <w:t>🟡 Incurred — download from Cloudinary + upload to S3</w:t>
            </w:r>
          </w:p>
        </w:tc>
        <w:tc>
          <w:tcPr>
            <w:tcW w:w="2200" w:type="dxa"/>
          </w:tcPr>
          <w:p w14:paraId="09974BCE" w14:textId="77777777" w:rsidR="009106EF" w:rsidRDefault="00000000">
            <w:pPr>
              <w:pStyle w:val="Compact"/>
              <w:jc w:val="center"/>
            </w:pPr>
            <w:r>
              <w:t>🟢 Potentially zero — if server-side S3 copy</w:t>
            </w:r>
          </w:p>
        </w:tc>
      </w:tr>
      <w:tr w:rsidR="009106EF" w14:paraId="61007BBB" w14:textId="77777777">
        <w:tc>
          <w:tcPr>
            <w:tcW w:w="1320" w:type="dxa"/>
          </w:tcPr>
          <w:p w14:paraId="219F11C7" w14:textId="77777777" w:rsidR="009106EF" w:rsidRDefault="00000000">
            <w:pPr>
              <w:pStyle w:val="Compact"/>
            </w:pPr>
            <w:r>
              <w:rPr>
                <w:b/>
                <w:bCs/>
              </w:rPr>
              <w:t>Operational Visibility</w:t>
            </w:r>
          </w:p>
        </w:tc>
        <w:tc>
          <w:tcPr>
            <w:tcW w:w="2200" w:type="dxa"/>
          </w:tcPr>
          <w:p w14:paraId="6E79CE44" w14:textId="77777777" w:rsidR="009106EF" w:rsidRDefault="00000000">
            <w:pPr>
              <w:pStyle w:val="Compact"/>
              <w:jc w:val="center"/>
            </w:pPr>
            <w:r>
              <w:t>🔴 Low — CLI is a black box</w:t>
            </w:r>
          </w:p>
        </w:tc>
        <w:tc>
          <w:tcPr>
            <w:tcW w:w="2200" w:type="dxa"/>
          </w:tcPr>
          <w:p w14:paraId="51EAF1C6" w14:textId="77777777" w:rsidR="009106EF" w:rsidRDefault="00000000">
            <w:pPr>
              <w:pStyle w:val="Compact"/>
              <w:jc w:val="center"/>
            </w:pPr>
            <w:r>
              <w:t>✅ Full — DynamoDB state, DLQ, CloudWatch, Datadog</w:t>
            </w:r>
          </w:p>
        </w:tc>
        <w:tc>
          <w:tcPr>
            <w:tcW w:w="2200" w:type="dxa"/>
          </w:tcPr>
          <w:p w14:paraId="3D4A2880" w14:textId="77777777" w:rsidR="009106EF" w:rsidRDefault="00000000">
            <w:pPr>
              <w:pStyle w:val="Compact"/>
              <w:jc w:val="center"/>
            </w:pPr>
            <w:r>
              <w:t>🔴 Low — opaque AWS/Cloudinary-side operation</w:t>
            </w:r>
          </w:p>
        </w:tc>
      </w:tr>
      <w:tr w:rsidR="009106EF" w14:paraId="01299A48" w14:textId="77777777">
        <w:tc>
          <w:tcPr>
            <w:tcW w:w="1320" w:type="dxa"/>
          </w:tcPr>
          <w:p w14:paraId="6A97AED7" w14:textId="77777777" w:rsidR="009106EF" w:rsidRDefault="00000000">
            <w:pPr>
              <w:pStyle w:val="Compact"/>
            </w:pPr>
            <w:r>
              <w:rPr>
                <w:b/>
                <w:bCs/>
              </w:rPr>
              <w:t>Per-Asset Retry / DLQ</w:t>
            </w:r>
          </w:p>
        </w:tc>
        <w:tc>
          <w:tcPr>
            <w:tcW w:w="2200" w:type="dxa"/>
          </w:tcPr>
          <w:p w14:paraId="581B5C40" w14:textId="77777777" w:rsidR="009106EF" w:rsidRDefault="00000000">
            <w:pPr>
              <w:pStyle w:val="Compact"/>
              <w:jc w:val="center"/>
            </w:pPr>
            <w:r>
              <w:t>🔴 Not available</w:t>
            </w:r>
          </w:p>
        </w:tc>
        <w:tc>
          <w:tcPr>
            <w:tcW w:w="2200" w:type="dxa"/>
          </w:tcPr>
          <w:p w14:paraId="2CAEDD8A" w14:textId="77777777" w:rsidR="009106EF" w:rsidRDefault="00000000">
            <w:pPr>
              <w:pStyle w:val="Compact"/>
              <w:jc w:val="center"/>
            </w:pPr>
            <w:r>
              <w:t>✅ Native — exponential backoff + SQS DLQ</w:t>
            </w:r>
          </w:p>
        </w:tc>
        <w:tc>
          <w:tcPr>
            <w:tcW w:w="2200" w:type="dxa"/>
          </w:tcPr>
          <w:p w14:paraId="4B75CC40" w14:textId="77777777" w:rsidR="009106EF" w:rsidRDefault="00000000">
            <w:pPr>
              <w:pStyle w:val="Compact"/>
              <w:jc w:val="center"/>
            </w:pPr>
            <w:r>
              <w:t>🔴 Not available</w:t>
            </w:r>
          </w:p>
        </w:tc>
      </w:tr>
      <w:tr w:rsidR="009106EF" w14:paraId="169A6510" w14:textId="77777777">
        <w:tc>
          <w:tcPr>
            <w:tcW w:w="1320" w:type="dxa"/>
          </w:tcPr>
          <w:p w14:paraId="34106644" w14:textId="77777777" w:rsidR="009106EF" w:rsidRDefault="00000000">
            <w:pPr>
              <w:pStyle w:val="Compact"/>
            </w:pPr>
            <w:r>
              <w:rPr>
                <w:b/>
                <w:bCs/>
              </w:rPr>
              <w:t>Rollback Capability</w:t>
            </w:r>
          </w:p>
        </w:tc>
        <w:tc>
          <w:tcPr>
            <w:tcW w:w="2200" w:type="dxa"/>
          </w:tcPr>
          <w:p w14:paraId="74301BB0" w14:textId="77777777" w:rsidR="009106EF" w:rsidRDefault="00000000">
            <w:pPr>
              <w:pStyle w:val="Compact"/>
              <w:jc w:val="center"/>
            </w:pPr>
            <w:r>
              <w:t>🟡 Moderate — new env isolated; partial-run state unclear</w:t>
            </w:r>
          </w:p>
        </w:tc>
        <w:tc>
          <w:tcPr>
            <w:tcW w:w="2200" w:type="dxa"/>
          </w:tcPr>
          <w:p w14:paraId="74A3243C" w14:textId="77777777" w:rsidR="009106EF" w:rsidRDefault="00000000">
            <w:pPr>
              <w:pStyle w:val="Compact"/>
              <w:jc w:val="center"/>
            </w:pPr>
            <w:r>
              <w:t>✅ Strong — DynamoDB snapshot per asset; explicit rollback path</w:t>
            </w:r>
          </w:p>
        </w:tc>
        <w:tc>
          <w:tcPr>
            <w:tcW w:w="2200" w:type="dxa"/>
          </w:tcPr>
          <w:p w14:paraId="31B20C9B" w14:textId="77777777" w:rsidR="009106EF" w:rsidRDefault="00000000">
            <w:pPr>
              <w:pStyle w:val="Compact"/>
              <w:jc w:val="center"/>
            </w:pPr>
            <w:r>
              <w:t>🔴 Poor — reverting a cross-account copy or ownership transfer is complex</w:t>
            </w:r>
          </w:p>
        </w:tc>
      </w:tr>
      <w:tr w:rsidR="009106EF" w14:paraId="39670208" w14:textId="77777777">
        <w:tc>
          <w:tcPr>
            <w:tcW w:w="1320" w:type="dxa"/>
          </w:tcPr>
          <w:p w14:paraId="3C23C69E" w14:textId="77777777" w:rsidR="009106EF" w:rsidRDefault="00000000">
            <w:pPr>
              <w:pStyle w:val="Compact"/>
            </w:pPr>
            <w:r>
              <w:rPr>
                <w:b/>
                <w:bCs/>
              </w:rPr>
              <w:t>Risk to Live Environment</w:t>
            </w:r>
          </w:p>
        </w:tc>
        <w:tc>
          <w:tcPr>
            <w:tcW w:w="2200" w:type="dxa"/>
          </w:tcPr>
          <w:p w14:paraId="438770E4" w14:textId="77777777" w:rsidR="009106EF" w:rsidRDefault="00000000">
            <w:pPr>
              <w:pStyle w:val="Compact"/>
              <w:jc w:val="center"/>
            </w:pPr>
            <w:r>
              <w:t>🟢 Isolated — new Cloudinary env only</w:t>
            </w:r>
          </w:p>
        </w:tc>
        <w:tc>
          <w:tcPr>
            <w:tcW w:w="2200" w:type="dxa"/>
          </w:tcPr>
          <w:p w14:paraId="3E02BE55" w14:textId="77777777" w:rsidR="009106EF" w:rsidRDefault="00000000">
            <w:pPr>
              <w:pStyle w:val="Compact"/>
              <w:jc w:val="center"/>
            </w:pPr>
            <w:r>
              <w:t>🟢 Isolated — workers touch new env only</w:t>
            </w:r>
          </w:p>
        </w:tc>
        <w:tc>
          <w:tcPr>
            <w:tcW w:w="2200" w:type="dxa"/>
          </w:tcPr>
          <w:p w14:paraId="0A4CA51D" w14:textId="77777777" w:rsidR="009106EF" w:rsidRDefault="00000000">
            <w:pPr>
              <w:pStyle w:val="Compact"/>
              <w:jc w:val="center"/>
            </w:pPr>
            <w:r>
              <w:t>🔴 Potentially high — depends on AWS/Cloudinary infra boundaries</w:t>
            </w:r>
          </w:p>
        </w:tc>
      </w:tr>
      <w:tr w:rsidR="009106EF" w14:paraId="514FE7AA" w14:textId="77777777">
        <w:tc>
          <w:tcPr>
            <w:tcW w:w="1320" w:type="dxa"/>
          </w:tcPr>
          <w:p w14:paraId="3FC5C519" w14:textId="77777777" w:rsidR="009106EF" w:rsidRDefault="00000000">
            <w:pPr>
              <w:pStyle w:val="Compact"/>
            </w:pPr>
            <w:r>
              <w:rPr>
                <w:b/>
                <w:bCs/>
              </w:rPr>
              <w:t>Pilot Batch Support (100 assets)</w:t>
            </w:r>
          </w:p>
        </w:tc>
        <w:tc>
          <w:tcPr>
            <w:tcW w:w="2200" w:type="dxa"/>
          </w:tcPr>
          <w:p w14:paraId="212721E8" w14:textId="77777777" w:rsidR="009106EF" w:rsidRDefault="00000000">
            <w:pPr>
              <w:pStyle w:val="Compact"/>
              <w:jc w:val="center"/>
            </w:pPr>
            <w:r>
              <w:t>🟡 Can scope to a folder; hard to instrument</w:t>
            </w:r>
          </w:p>
        </w:tc>
        <w:tc>
          <w:tcPr>
            <w:tcW w:w="2200" w:type="dxa"/>
          </w:tcPr>
          <w:p w14:paraId="754C823E" w14:textId="77777777" w:rsidR="009106EF" w:rsidRDefault="00000000">
            <w:pPr>
              <w:pStyle w:val="Compact"/>
              <w:jc w:val="center"/>
            </w:pPr>
            <w:r>
              <w:t>✅ Native — first-class feature in queue/worker model</w:t>
            </w:r>
          </w:p>
        </w:tc>
        <w:tc>
          <w:tcPr>
            <w:tcW w:w="2200" w:type="dxa"/>
          </w:tcPr>
          <w:p w14:paraId="132D70DF" w14:textId="77777777" w:rsidR="009106EF" w:rsidRDefault="00000000">
            <w:pPr>
              <w:pStyle w:val="Compact"/>
              <w:jc w:val="center"/>
            </w:pPr>
            <w:r>
              <w:t>🔴 Hard to pilot — likely all-or-nothing at bucket level</w:t>
            </w:r>
          </w:p>
        </w:tc>
      </w:tr>
      <w:tr w:rsidR="009106EF" w14:paraId="5DC78781" w14:textId="77777777">
        <w:tc>
          <w:tcPr>
            <w:tcW w:w="1320" w:type="dxa"/>
          </w:tcPr>
          <w:p w14:paraId="017737A2" w14:textId="77777777" w:rsidR="009106EF" w:rsidRDefault="00000000">
            <w:pPr>
              <w:pStyle w:val="Compact"/>
            </w:pPr>
            <w:r>
              <w:rPr>
                <w:b/>
                <w:bCs/>
              </w:rPr>
              <w:t>URL Continuity (CNAME)</w:t>
            </w:r>
          </w:p>
        </w:tc>
        <w:tc>
          <w:tcPr>
            <w:tcW w:w="2200" w:type="dxa"/>
          </w:tcPr>
          <w:p w14:paraId="559DF148" w14:textId="77777777" w:rsidR="009106EF" w:rsidRDefault="00000000">
            <w:pPr>
              <w:pStyle w:val="Compact"/>
              <w:jc w:val="center"/>
            </w:pPr>
            <w:r>
              <w:t>✅ CNAME swap confirmed viable in Q&amp;A 2</w:t>
            </w:r>
          </w:p>
        </w:tc>
        <w:tc>
          <w:tcPr>
            <w:tcW w:w="2200" w:type="dxa"/>
          </w:tcPr>
          <w:p w14:paraId="273E302D" w14:textId="77777777" w:rsidR="009106EF" w:rsidRDefault="00000000">
            <w:pPr>
              <w:pStyle w:val="Compact"/>
              <w:jc w:val="center"/>
            </w:pPr>
            <w:r>
              <w:t xml:space="preserve">✅ Same — new env + same </w:t>
            </w:r>
            <w:r>
              <w:rPr>
                <w:rStyle w:val="VerbatimChar"/>
              </w:rPr>
              <w:t>public_id</w:t>
            </w:r>
            <w:r>
              <w:t xml:space="preserve"> + CNAME swap</w:t>
            </w:r>
          </w:p>
        </w:tc>
        <w:tc>
          <w:tcPr>
            <w:tcW w:w="2200" w:type="dxa"/>
          </w:tcPr>
          <w:p w14:paraId="17CAE533" w14:textId="77777777" w:rsidR="009106EF" w:rsidRDefault="00000000">
            <w:pPr>
              <w:pStyle w:val="Compact"/>
              <w:jc w:val="center"/>
            </w:pPr>
            <w:r>
              <w:t xml:space="preserve">🟡 Viable only if </w:t>
            </w:r>
            <w:r>
              <w:rPr>
                <w:rStyle w:val="VerbatimChar"/>
              </w:rPr>
              <w:t>public_id</w:t>
            </w:r>
            <w:r>
              <w:t xml:space="preserve"> reconciliation succeeds</w:t>
            </w:r>
          </w:p>
        </w:tc>
      </w:tr>
      <w:tr w:rsidR="009106EF" w14:paraId="6F634CCD" w14:textId="77777777">
        <w:tc>
          <w:tcPr>
            <w:tcW w:w="1320" w:type="dxa"/>
          </w:tcPr>
          <w:p w14:paraId="4AA63F9F" w14:textId="77777777" w:rsidR="009106EF" w:rsidRDefault="00000000">
            <w:pPr>
              <w:pStyle w:val="Compact"/>
            </w:pPr>
            <w:r>
              <w:rPr>
                <w:b/>
                <w:bCs/>
              </w:rPr>
              <w:t>Implementation Effort</w:t>
            </w:r>
          </w:p>
        </w:tc>
        <w:tc>
          <w:tcPr>
            <w:tcW w:w="2200" w:type="dxa"/>
          </w:tcPr>
          <w:p w14:paraId="66E395D8" w14:textId="77777777" w:rsidR="009106EF" w:rsidRDefault="00000000">
            <w:pPr>
              <w:pStyle w:val="Compact"/>
              <w:jc w:val="center"/>
            </w:pPr>
            <w:r>
              <w:t>🟢 Low (if CLI behaves as hoped)</w:t>
            </w:r>
          </w:p>
        </w:tc>
        <w:tc>
          <w:tcPr>
            <w:tcW w:w="2200" w:type="dxa"/>
          </w:tcPr>
          <w:p w14:paraId="43F86C90" w14:textId="77777777" w:rsidR="009106EF" w:rsidRDefault="00000000">
            <w:pPr>
              <w:pStyle w:val="Compact"/>
              <w:jc w:val="center"/>
            </w:pPr>
            <w:r>
              <w:t xml:space="preserve">🔴 High — full controller + worker + </w:t>
            </w:r>
            <w:r>
              <w:lastRenderedPageBreak/>
              <w:t>infra build-out</w:t>
            </w:r>
          </w:p>
        </w:tc>
        <w:tc>
          <w:tcPr>
            <w:tcW w:w="2200" w:type="dxa"/>
          </w:tcPr>
          <w:p w14:paraId="2C69BC23" w14:textId="77777777" w:rsidR="009106EF" w:rsidRDefault="00000000">
            <w:pPr>
              <w:pStyle w:val="Compact"/>
              <w:jc w:val="center"/>
            </w:pPr>
            <w:r>
              <w:lastRenderedPageBreak/>
              <w:t xml:space="preserve">🟢 Low (if supported) — primarily </w:t>
            </w:r>
            <w:r>
              <w:lastRenderedPageBreak/>
              <w:t>administrative</w:t>
            </w:r>
          </w:p>
        </w:tc>
      </w:tr>
      <w:tr w:rsidR="009106EF" w14:paraId="3D67CB54" w14:textId="77777777">
        <w:tc>
          <w:tcPr>
            <w:tcW w:w="1320" w:type="dxa"/>
          </w:tcPr>
          <w:p w14:paraId="4F863641" w14:textId="77777777" w:rsidR="009106EF" w:rsidRDefault="00000000">
            <w:pPr>
              <w:pStyle w:val="Compact"/>
            </w:pPr>
            <w:r>
              <w:rPr>
                <w:b/>
                <w:bCs/>
              </w:rPr>
              <w:lastRenderedPageBreak/>
              <w:t>AWS + Infra Work Required</w:t>
            </w:r>
          </w:p>
        </w:tc>
        <w:tc>
          <w:tcPr>
            <w:tcW w:w="2200" w:type="dxa"/>
          </w:tcPr>
          <w:p w14:paraId="6ADC3719" w14:textId="77777777" w:rsidR="009106EF" w:rsidRDefault="00000000">
            <w:pPr>
              <w:pStyle w:val="Compact"/>
              <w:jc w:val="center"/>
            </w:pPr>
            <w:r>
              <w:t>🟢 Minimal (S3 bucket + BYOB setup)</w:t>
            </w:r>
          </w:p>
        </w:tc>
        <w:tc>
          <w:tcPr>
            <w:tcW w:w="2200" w:type="dxa"/>
          </w:tcPr>
          <w:p w14:paraId="1D3AB1F8" w14:textId="77777777" w:rsidR="009106EF" w:rsidRDefault="00000000">
            <w:pPr>
              <w:pStyle w:val="Compact"/>
              <w:jc w:val="center"/>
            </w:pPr>
            <w:r>
              <w:t>🟡 Moderate — ECS/Batch, SQS, DynamoDB, CloudWatch</w:t>
            </w:r>
          </w:p>
        </w:tc>
        <w:tc>
          <w:tcPr>
            <w:tcW w:w="2200" w:type="dxa"/>
          </w:tcPr>
          <w:p w14:paraId="6FCA428B" w14:textId="77777777" w:rsidR="009106EF" w:rsidRDefault="00000000">
            <w:pPr>
              <w:pStyle w:val="Compact"/>
              <w:jc w:val="center"/>
            </w:pPr>
            <w:r>
              <w:t>🟢 Minimal — S3 bucket + cross-account policy</w:t>
            </w:r>
          </w:p>
        </w:tc>
      </w:tr>
    </w:tbl>
    <w:p w14:paraId="51F020AB" w14:textId="77777777" w:rsidR="009106EF" w:rsidRDefault="00000000">
      <w:pPr>
        <w:pStyle w:val="BodyText"/>
      </w:pPr>
      <w:r>
        <w:rPr>
          <w:b/>
          <w:bCs/>
        </w:rPr>
        <w:t>Legend:</w:t>
      </w:r>
      <w:r>
        <w:t xml:space="preserve"> ✅ Confirmed favorable  |  🟡 Uncertain / conditional  |  🔴 Risk or blocker</w:t>
      </w:r>
    </w:p>
    <w:p w14:paraId="04222115" w14:textId="77777777" w:rsidR="009106EF" w:rsidRDefault="00000000">
      <w:r>
        <w:pict w14:anchorId="4F0195A2">
          <v:rect id="_x0000_i1030" style="width:0;height:1.5pt" o:hralign="center" o:hrstd="t" o:hr="t"/>
        </w:pict>
      </w:r>
    </w:p>
    <w:p w14:paraId="2C5BD7C1" w14:textId="77777777" w:rsidR="009106EF" w:rsidRDefault="00000000">
      <w:pPr>
        <w:pStyle w:val="Heading2"/>
      </w:pPr>
      <w:bookmarkStart w:id="8" w:name="Xeacf35092b74de808fcb0bc3cf1082c11a4cc00"/>
      <w:bookmarkEnd w:id="7"/>
      <w:r>
        <w:t>Quality Attribute Summary (Architecture Lens)</w:t>
      </w:r>
    </w:p>
    <w:tbl>
      <w:tblPr>
        <w:tblStyle w:val="Table"/>
        <w:tblW w:w="5000" w:type="pct"/>
        <w:tblLayout w:type="fixed"/>
        <w:tblLook w:val="0020" w:firstRow="1" w:lastRow="0" w:firstColumn="0" w:lastColumn="0" w:noHBand="0" w:noVBand="0"/>
      </w:tblPr>
      <w:tblGrid>
        <w:gridCol w:w="3192"/>
        <w:gridCol w:w="3192"/>
        <w:gridCol w:w="3192"/>
      </w:tblGrid>
      <w:tr w:rsidR="009106EF" w14:paraId="352579DC" w14:textId="77777777" w:rsidTr="009106EF">
        <w:trPr>
          <w:cnfStyle w:val="100000000000" w:firstRow="1" w:lastRow="0" w:firstColumn="0" w:lastColumn="0" w:oddVBand="0" w:evenVBand="0" w:oddHBand="0" w:evenHBand="0" w:firstRowFirstColumn="0" w:firstRowLastColumn="0" w:lastRowFirstColumn="0" w:lastRowLastColumn="0"/>
          <w:tblHeader/>
        </w:trPr>
        <w:tc>
          <w:tcPr>
            <w:tcW w:w="2640" w:type="dxa"/>
          </w:tcPr>
          <w:p w14:paraId="5A70D8A2" w14:textId="77777777" w:rsidR="009106EF" w:rsidRDefault="00000000">
            <w:pPr>
              <w:pStyle w:val="Compact"/>
            </w:pPr>
            <w:r>
              <w:t>Quality Attribute</w:t>
            </w:r>
          </w:p>
        </w:tc>
        <w:tc>
          <w:tcPr>
            <w:tcW w:w="2640" w:type="dxa"/>
          </w:tcPr>
          <w:p w14:paraId="3633B0AB" w14:textId="77777777" w:rsidR="009106EF" w:rsidRDefault="00000000">
            <w:pPr>
              <w:pStyle w:val="Compact"/>
            </w:pPr>
            <w:r>
              <w:t>Recommended Option</w:t>
            </w:r>
          </w:p>
        </w:tc>
        <w:tc>
          <w:tcPr>
            <w:tcW w:w="2640" w:type="dxa"/>
          </w:tcPr>
          <w:p w14:paraId="780D6696" w14:textId="77777777" w:rsidR="009106EF" w:rsidRDefault="00000000">
            <w:pPr>
              <w:pStyle w:val="Compact"/>
            </w:pPr>
            <w:r>
              <w:t>Rationale</w:t>
            </w:r>
          </w:p>
        </w:tc>
      </w:tr>
      <w:tr w:rsidR="009106EF" w14:paraId="201E433D" w14:textId="77777777">
        <w:tc>
          <w:tcPr>
            <w:tcW w:w="2640" w:type="dxa"/>
          </w:tcPr>
          <w:p w14:paraId="79C0C004" w14:textId="77777777" w:rsidR="009106EF" w:rsidRDefault="00000000">
            <w:pPr>
              <w:pStyle w:val="Compact"/>
            </w:pPr>
            <w:r>
              <w:rPr>
                <w:b/>
                <w:bCs/>
              </w:rPr>
              <w:t>Reliability</w:t>
            </w:r>
          </w:p>
        </w:tc>
        <w:tc>
          <w:tcPr>
            <w:tcW w:w="2640" w:type="dxa"/>
          </w:tcPr>
          <w:p w14:paraId="72934426" w14:textId="77777777" w:rsidR="009106EF" w:rsidRDefault="00000000">
            <w:pPr>
              <w:pStyle w:val="Compact"/>
            </w:pPr>
            <w:r>
              <w:rPr>
                <w:b/>
                <w:bCs/>
              </w:rPr>
              <w:t>B</w:t>
            </w:r>
          </w:p>
        </w:tc>
        <w:tc>
          <w:tcPr>
            <w:tcW w:w="2640" w:type="dxa"/>
          </w:tcPr>
          <w:p w14:paraId="16AA58D3" w14:textId="77777777" w:rsidR="009106EF" w:rsidRDefault="00000000">
            <w:pPr>
              <w:pStyle w:val="Compact"/>
            </w:pPr>
            <w:r>
              <w:t>Full idempotency, per-asset DLQ, retry with backoff — designed for 3 TB at scale</w:t>
            </w:r>
          </w:p>
        </w:tc>
      </w:tr>
      <w:tr w:rsidR="009106EF" w14:paraId="13B4B4B2" w14:textId="77777777">
        <w:tc>
          <w:tcPr>
            <w:tcW w:w="2640" w:type="dxa"/>
          </w:tcPr>
          <w:p w14:paraId="4406318F" w14:textId="77777777" w:rsidR="009106EF" w:rsidRDefault="00000000">
            <w:pPr>
              <w:pStyle w:val="Compact"/>
            </w:pPr>
            <w:r>
              <w:rPr>
                <w:b/>
                <w:bCs/>
              </w:rPr>
              <w:t>Observability</w:t>
            </w:r>
          </w:p>
        </w:tc>
        <w:tc>
          <w:tcPr>
            <w:tcW w:w="2640" w:type="dxa"/>
          </w:tcPr>
          <w:p w14:paraId="3CA80FD8" w14:textId="77777777" w:rsidR="009106EF" w:rsidRDefault="00000000">
            <w:pPr>
              <w:pStyle w:val="Compact"/>
            </w:pPr>
            <w:r>
              <w:rPr>
                <w:b/>
                <w:bCs/>
              </w:rPr>
              <w:t>B</w:t>
            </w:r>
          </w:p>
        </w:tc>
        <w:tc>
          <w:tcPr>
            <w:tcW w:w="2640" w:type="dxa"/>
          </w:tcPr>
          <w:p w14:paraId="1674A398" w14:textId="77777777" w:rsidR="009106EF" w:rsidRDefault="00000000">
            <w:pPr>
              <w:pStyle w:val="Compact"/>
            </w:pPr>
            <w:r>
              <w:t>Only option with per-asset state tracking, metrics pipeline, and alerting</w:t>
            </w:r>
          </w:p>
        </w:tc>
      </w:tr>
      <w:tr w:rsidR="009106EF" w14:paraId="32B9A5C7" w14:textId="77777777">
        <w:tc>
          <w:tcPr>
            <w:tcW w:w="2640" w:type="dxa"/>
          </w:tcPr>
          <w:p w14:paraId="1684C62A" w14:textId="77777777" w:rsidR="009106EF" w:rsidRDefault="00000000">
            <w:pPr>
              <w:pStyle w:val="Compact"/>
            </w:pPr>
            <w:r>
              <w:rPr>
                <w:b/>
                <w:bCs/>
              </w:rPr>
              <w:t>Rollback Safety</w:t>
            </w:r>
          </w:p>
        </w:tc>
        <w:tc>
          <w:tcPr>
            <w:tcW w:w="2640" w:type="dxa"/>
          </w:tcPr>
          <w:p w14:paraId="7EB30741" w14:textId="77777777" w:rsidR="009106EF" w:rsidRDefault="00000000">
            <w:pPr>
              <w:pStyle w:val="Compact"/>
            </w:pPr>
            <w:r>
              <w:rPr>
                <w:b/>
                <w:bCs/>
              </w:rPr>
              <w:t>B</w:t>
            </w:r>
          </w:p>
        </w:tc>
        <w:tc>
          <w:tcPr>
            <w:tcW w:w="2640" w:type="dxa"/>
          </w:tcPr>
          <w:p w14:paraId="352A4C30" w14:textId="77777777" w:rsidR="009106EF" w:rsidRDefault="00000000">
            <w:pPr>
              <w:pStyle w:val="Compact"/>
            </w:pPr>
            <w:r>
              <w:t>DynamoDB snapshots + isolated new environment = safest rollback story</w:t>
            </w:r>
          </w:p>
        </w:tc>
      </w:tr>
      <w:tr w:rsidR="009106EF" w14:paraId="6C029D48" w14:textId="77777777">
        <w:tc>
          <w:tcPr>
            <w:tcW w:w="2640" w:type="dxa"/>
          </w:tcPr>
          <w:p w14:paraId="1719A30E" w14:textId="77777777" w:rsidR="009106EF" w:rsidRDefault="00000000">
            <w:pPr>
              <w:pStyle w:val="Compact"/>
            </w:pPr>
            <w:r>
              <w:rPr>
                <w:b/>
                <w:bCs/>
              </w:rPr>
              <w:t>Lowest Engineering Effort</w:t>
            </w:r>
          </w:p>
        </w:tc>
        <w:tc>
          <w:tcPr>
            <w:tcW w:w="2640" w:type="dxa"/>
          </w:tcPr>
          <w:p w14:paraId="4D9108CE" w14:textId="77777777" w:rsidR="009106EF" w:rsidRDefault="00000000">
            <w:pPr>
              <w:pStyle w:val="Compact"/>
            </w:pPr>
            <w:r>
              <w:rPr>
                <w:b/>
                <w:bCs/>
              </w:rPr>
              <w:t>A</w:t>
            </w:r>
            <w:r>
              <w:t xml:space="preserve"> (if CLI works) / </w:t>
            </w:r>
            <w:r>
              <w:rPr>
                <w:b/>
                <w:bCs/>
              </w:rPr>
              <w:t>C</w:t>
            </w:r>
            <w:r>
              <w:t xml:space="preserve"> (if AWS supports it)</w:t>
            </w:r>
          </w:p>
        </w:tc>
        <w:tc>
          <w:tcPr>
            <w:tcW w:w="2640" w:type="dxa"/>
          </w:tcPr>
          <w:p w14:paraId="500BB3EE" w14:textId="77777777" w:rsidR="009106EF" w:rsidRDefault="00000000">
            <w:pPr>
              <w:pStyle w:val="Compact"/>
            </w:pPr>
            <w:r>
              <w:t>One command or one administrative operation</w:t>
            </w:r>
          </w:p>
        </w:tc>
      </w:tr>
      <w:tr w:rsidR="009106EF" w14:paraId="2FEABFE7" w14:textId="77777777">
        <w:tc>
          <w:tcPr>
            <w:tcW w:w="2640" w:type="dxa"/>
          </w:tcPr>
          <w:p w14:paraId="3B58BB9B" w14:textId="77777777" w:rsidR="009106EF" w:rsidRDefault="00000000">
            <w:pPr>
              <w:pStyle w:val="Compact"/>
            </w:pPr>
            <w:r>
              <w:rPr>
                <w:b/>
                <w:bCs/>
              </w:rPr>
              <w:t>Lowest Data Transfer Cost</w:t>
            </w:r>
          </w:p>
        </w:tc>
        <w:tc>
          <w:tcPr>
            <w:tcW w:w="2640" w:type="dxa"/>
          </w:tcPr>
          <w:p w14:paraId="56220B3D" w14:textId="77777777" w:rsidR="009106EF" w:rsidRDefault="00000000">
            <w:pPr>
              <w:pStyle w:val="Compact"/>
            </w:pPr>
            <w:r>
              <w:rPr>
                <w:b/>
                <w:bCs/>
              </w:rPr>
              <w:t>C</w:t>
            </w:r>
            <w:r>
              <w:t xml:space="preserve"> (if feasible)</w:t>
            </w:r>
          </w:p>
        </w:tc>
        <w:tc>
          <w:tcPr>
            <w:tcW w:w="2640" w:type="dxa"/>
          </w:tcPr>
          <w:p w14:paraId="73160C82" w14:textId="77777777" w:rsidR="009106EF" w:rsidRDefault="00000000">
            <w:pPr>
              <w:pStyle w:val="Compact"/>
            </w:pPr>
            <w:r>
              <w:t>Server-side copy = zero egress</w:t>
            </w:r>
          </w:p>
        </w:tc>
      </w:tr>
      <w:tr w:rsidR="009106EF" w14:paraId="127F97EB" w14:textId="77777777">
        <w:tc>
          <w:tcPr>
            <w:tcW w:w="2640" w:type="dxa"/>
          </w:tcPr>
          <w:p w14:paraId="5BD0D151" w14:textId="77777777" w:rsidR="009106EF" w:rsidRDefault="00000000">
            <w:pPr>
              <w:pStyle w:val="Compact"/>
            </w:pPr>
            <w:r>
              <w:rPr>
                <w:b/>
                <w:bCs/>
              </w:rPr>
              <w:t>Fastest Transfer</w:t>
            </w:r>
          </w:p>
        </w:tc>
        <w:tc>
          <w:tcPr>
            <w:tcW w:w="2640" w:type="dxa"/>
          </w:tcPr>
          <w:p w14:paraId="74FAE671" w14:textId="77777777" w:rsidR="009106EF" w:rsidRDefault="00000000">
            <w:pPr>
              <w:pStyle w:val="Compact"/>
            </w:pPr>
            <w:r>
              <w:rPr>
                <w:b/>
                <w:bCs/>
              </w:rPr>
              <w:t>C</w:t>
            </w:r>
            <w:r>
              <w:t xml:space="preserve"> (if feasible)</w:t>
            </w:r>
          </w:p>
        </w:tc>
        <w:tc>
          <w:tcPr>
            <w:tcW w:w="2640" w:type="dxa"/>
          </w:tcPr>
          <w:p w14:paraId="58676AF8" w14:textId="77777777" w:rsidR="009106EF" w:rsidRDefault="00000000">
            <w:pPr>
              <w:pStyle w:val="Compact"/>
            </w:pPr>
            <w:r>
              <w:t xml:space="preserve">No client-side bandwidth; otherwise </w:t>
            </w:r>
            <w:r>
              <w:rPr>
                <w:b/>
                <w:bCs/>
              </w:rPr>
              <w:t>A</w:t>
            </w:r>
            <w:r>
              <w:t xml:space="preserve"> if CLI is cloud-native</w:t>
            </w:r>
          </w:p>
        </w:tc>
      </w:tr>
      <w:tr w:rsidR="009106EF" w14:paraId="5D7DB860" w14:textId="77777777">
        <w:tc>
          <w:tcPr>
            <w:tcW w:w="2640" w:type="dxa"/>
          </w:tcPr>
          <w:p w14:paraId="43F3D475" w14:textId="77777777" w:rsidR="009106EF" w:rsidRDefault="00000000">
            <w:pPr>
              <w:pStyle w:val="Compact"/>
            </w:pPr>
            <w:r>
              <w:rPr>
                <w:b/>
                <w:bCs/>
              </w:rPr>
              <w:t>Lowest PS Dependency</w:t>
            </w:r>
          </w:p>
        </w:tc>
        <w:tc>
          <w:tcPr>
            <w:tcW w:w="2640" w:type="dxa"/>
          </w:tcPr>
          <w:p w14:paraId="7C2A6E48" w14:textId="77777777" w:rsidR="009106EF" w:rsidRDefault="00000000">
            <w:pPr>
              <w:pStyle w:val="Compact"/>
            </w:pPr>
            <w:r>
              <w:rPr>
                <w:b/>
                <w:bCs/>
              </w:rPr>
              <w:t>B</w:t>
            </w:r>
          </w:p>
        </w:tc>
        <w:tc>
          <w:tcPr>
            <w:tcW w:w="2640" w:type="dxa"/>
          </w:tcPr>
          <w:p w14:paraId="02D5C1F0" w14:textId="77777777" w:rsidR="009106EF" w:rsidRDefault="00000000">
            <w:pPr>
              <w:pStyle w:val="Compact"/>
            </w:pPr>
            <w:r>
              <w:t>PS scope is well-defined (BYOB setup); migration is entirely self-directed</w:t>
            </w:r>
          </w:p>
        </w:tc>
      </w:tr>
      <w:tr w:rsidR="009106EF" w14:paraId="3FDF13A5" w14:textId="77777777">
        <w:tc>
          <w:tcPr>
            <w:tcW w:w="2640" w:type="dxa"/>
          </w:tcPr>
          <w:p w14:paraId="3B1730D1" w14:textId="77777777" w:rsidR="009106EF" w:rsidRDefault="00000000">
            <w:pPr>
              <w:pStyle w:val="Compact"/>
            </w:pPr>
            <w:r>
              <w:rPr>
                <w:b/>
                <w:bCs/>
              </w:rPr>
              <w:t>Lowest Risk Overall</w:t>
            </w:r>
          </w:p>
        </w:tc>
        <w:tc>
          <w:tcPr>
            <w:tcW w:w="2640" w:type="dxa"/>
          </w:tcPr>
          <w:p w14:paraId="03B888A9" w14:textId="77777777" w:rsidR="009106EF" w:rsidRDefault="00000000">
            <w:pPr>
              <w:pStyle w:val="Compact"/>
            </w:pPr>
            <w:r>
              <w:rPr>
                <w:b/>
                <w:bCs/>
              </w:rPr>
              <w:t>B</w:t>
            </w:r>
          </w:p>
        </w:tc>
        <w:tc>
          <w:tcPr>
            <w:tcW w:w="2640" w:type="dxa"/>
          </w:tcPr>
          <w:p w14:paraId="595F80DA" w14:textId="77777777" w:rsidR="009106EF" w:rsidRDefault="00000000">
            <w:pPr>
              <w:pStyle w:val="Compact"/>
            </w:pPr>
            <w:r>
              <w:t>All quality attributes are understood; no external blockers</w:t>
            </w:r>
          </w:p>
        </w:tc>
      </w:tr>
    </w:tbl>
    <w:p w14:paraId="6C0182B8" w14:textId="77777777" w:rsidR="009106EF" w:rsidRDefault="00000000">
      <w:r>
        <w:pict w14:anchorId="0AD644D7">
          <v:rect id="_x0000_i1031" style="width:0;height:1.5pt" o:hralign="center" o:hrstd="t" o:hr="t"/>
        </w:pict>
      </w:r>
    </w:p>
    <w:p w14:paraId="1100CE9F" w14:textId="77777777" w:rsidR="009106EF" w:rsidRDefault="00000000">
      <w:pPr>
        <w:pStyle w:val="Heading2"/>
      </w:pPr>
      <w:bookmarkStart w:id="9" w:name="recommendation"/>
      <w:bookmarkEnd w:id="8"/>
      <w:r>
        <w:t>Recommendation</w:t>
      </w:r>
    </w:p>
    <w:p w14:paraId="67037450" w14:textId="77777777" w:rsidR="009106EF" w:rsidRDefault="00000000">
      <w:pPr>
        <w:pStyle w:val="FirstParagraph"/>
      </w:pPr>
      <w:r>
        <w:rPr>
          <w:b/>
          <w:bCs/>
        </w:rPr>
        <w:t>Option B (Worker Fleet) is the recommended baseline</w:t>
      </w:r>
      <w:r>
        <w:t xml:space="preserve"> and the fallback of last resort. It is the only option where: - All quality attributes are fully understood before work starts. - The </w:t>
      </w:r>
      <w:r>
        <w:lastRenderedPageBreak/>
        <w:t>5,000 req/hr Admin API rate limit is respected by design. - UTA retains full operational control and observability. - A pilot batch (100 assets) validates the approach before full-scale execution. - Rollback is explicit and reversible at the per-asset level.</w:t>
      </w:r>
    </w:p>
    <w:p w14:paraId="0A921701" w14:textId="77777777" w:rsidR="009106EF" w:rsidRDefault="00000000">
      <w:pPr>
        <w:pStyle w:val="BodyText"/>
      </w:pPr>
      <w:r>
        <w:rPr>
          <w:b/>
          <w:bCs/>
        </w:rPr>
        <w:t>Option A (CLI) is the highest-ROI clarification item for the Cloudinary PS workshop.</w:t>
      </w:r>
      <w:r>
        <w:t xml:space="preserve"> If </w:t>
      </w:r>
      <w:r>
        <w:rPr>
          <w:rStyle w:val="VerbatimChar"/>
        </w:rPr>
        <w:t>cld clone</w:t>
      </w:r>
      <w:r>
        <w:t xml:space="preserve"> replicates metadata and binary assets into a BYOB-backed new environment in a single operation, the engineering effort drops significantly and Option A becomes the preferred path.</w:t>
      </w:r>
    </w:p>
    <w:p w14:paraId="21893118" w14:textId="77777777" w:rsidR="009106EF" w:rsidRDefault="00000000">
      <w:pPr>
        <w:pStyle w:val="BodyText"/>
      </w:pPr>
      <w:r>
        <w:rPr>
          <w:b/>
          <w:bCs/>
        </w:rPr>
        <w:t>Option C is worth raising but treat as low-probability.</w:t>
      </w:r>
      <w:r>
        <w:t xml:space="preserve"> Sub-variant C2 (cross-account S3 copy via Cloudinary-configured bucket policy) is the only technically plausible form. Sub-variant C1 (AWS tenant ownership transfer) is not a supported AWS primitive.</w:t>
      </w:r>
    </w:p>
    <w:p w14:paraId="272D343F" w14:textId="77777777" w:rsidR="009106EF" w:rsidRDefault="00000000">
      <w:r>
        <w:pict w14:anchorId="591BAF8A">
          <v:rect id="_x0000_i1032" style="width:0;height:1.5pt" o:hralign="center" o:hrstd="t" o:hr="t"/>
        </w:pict>
      </w:r>
    </w:p>
    <w:p w14:paraId="0C3A1627" w14:textId="77777777" w:rsidR="009106EF" w:rsidRDefault="00000000">
      <w:pPr>
        <w:pStyle w:val="Heading2"/>
      </w:pPr>
      <w:bookmarkStart w:id="10" w:name="Xd5c2e673b5957ed6cfe44a47cf708835c9def03"/>
      <w:bookmarkEnd w:id="9"/>
      <w:r>
        <w:t>Open Questions for Cloudinary Professional Services Workshop</w:t>
      </w:r>
    </w:p>
    <w:p w14:paraId="2B7091AA" w14:textId="77777777" w:rsidR="009106EF" w:rsidRDefault="00000000">
      <w:pPr>
        <w:pStyle w:val="FirstParagraph"/>
      </w:pPr>
      <w:r>
        <w:t>The following questions must be resolved before selecting a migration path. These are the primary agenda items for the PS engagement session.</w:t>
      </w:r>
    </w:p>
    <w:tbl>
      <w:tblPr>
        <w:tblStyle w:val="Table"/>
        <w:tblW w:w="5000" w:type="pct"/>
        <w:tblLayout w:type="fixed"/>
        <w:tblLook w:val="0020" w:firstRow="1" w:lastRow="0" w:firstColumn="0" w:lastColumn="0" w:noHBand="0" w:noVBand="0"/>
      </w:tblPr>
      <w:tblGrid>
        <w:gridCol w:w="2394"/>
        <w:gridCol w:w="2394"/>
        <w:gridCol w:w="2394"/>
        <w:gridCol w:w="2394"/>
      </w:tblGrid>
      <w:tr w:rsidR="009106EF" w14:paraId="6F8485BF" w14:textId="77777777" w:rsidTr="009106EF">
        <w:trPr>
          <w:cnfStyle w:val="100000000000" w:firstRow="1" w:lastRow="0" w:firstColumn="0" w:lastColumn="0" w:oddVBand="0" w:evenVBand="0" w:oddHBand="0" w:evenHBand="0" w:firstRowFirstColumn="0" w:firstRowLastColumn="0" w:lastRowFirstColumn="0" w:lastRowLastColumn="0"/>
          <w:tblHeader/>
        </w:trPr>
        <w:tc>
          <w:tcPr>
            <w:tcW w:w="1980" w:type="dxa"/>
          </w:tcPr>
          <w:p w14:paraId="1890E2C7" w14:textId="77777777" w:rsidR="009106EF" w:rsidRDefault="00000000">
            <w:pPr>
              <w:pStyle w:val="Compact"/>
            </w:pPr>
            <w:r>
              <w:t>#</w:t>
            </w:r>
          </w:p>
        </w:tc>
        <w:tc>
          <w:tcPr>
            <w:tcW w:w="1980" w:type="dxa"/>
          </w:tcPr>
          <w:p w14:paraId="0958B2BB" w14:textId="77777777" w:rsidR="009106EF" w:rsidRDefault="00000000">
            <w:pPr>
              <w:pStyle w:val="Compact"/>
            </w:pPr>
            <w:r>
              <w:t>Question</w:t>
            </w:r>
          </w:p>
        </w:tc>
        <w:tc>
          <w:tcPr>
            <w:tcW w:w="1980" w:type="dxa"/>
          </w:tcPr>
          <w:p w14:paraId="2ACD5985" w14:textId="77777777" w:rsidR="009106EF" w:rsidRDefault="00000000">
            <w:pPr>
              <w:pStyle w:val="Compact"/>
            </w:pPr>
            <w:r>
              <w:t>Relevant Option</w:t>
            </w:r>
          </w:p>
        </w:tc>
        <w:tc>
          <w:tcPr>
            <w:tcW w:w="1980" w:type="dxa"/>
          </w:tcPr>
          <w:p w14:paraId="22F015E4" w14:textId="77777777" w:rsidR="009106EF" w:rsidRDefault="00000000">
            <w:pPr>
              <w:pStyle w:val="Compact"/>
            </w:pPr>
            <w:r>
              <w:t>Impact if Unresolved</w:t>
            </w:r>
          </w:p>
        </w:tc>
      </w:tr>
      <w:tr w:rsidR="009106EF" w14:paraId="0FE1922C" w14:textId="77777777">
        <w:tc>
          <w:tcPr>
            <w:tcW w:w="1980" w:type="dxa"/>
          </w:tcPr>
          <w:p w14:paraId="4A0BD9E3" w14:textId="77777777" w:rsidR="009106EF" w:rsidRDefault="00000000">
            <w:pPr>
              <w:pStyle w:val="Compact"/>
            </w:pPr>
            <w:r>
              <w:t>1</w:t>
            </w:r>
          </w:p>
        </w:tc>
        <w:tc>
          <w:tcPr>
            <w:tcW w:w="1980" w:type="dxa"/>
          </w:tcPr>
          <w:p w14:paraId="43B2A9B7" w14:textId="77777777" w:rsidR="009106EF" w:rsidRDefault="00000000">
            <w:pPr>
              <w:pStyle w:val="Compact"/>
            </w:pPr>
            <w:r>
              <w:t xml:space="preserve">Does </w:t>
            </w:r>
            <w:r>
              <w:rPr>
                <w:rStyle w:val="VerbatimChar"/>
              </w:rPr>
              <w:t>cld clone</w:t>
            </w:r>
            <w:r>
              <w:t xml:space="preserve"> copy binary assets, metadata (tags, context, structured fields), and </w:t>
            </w:r>
            <w:r>
              <w:rPr>
                <w:rStyle w:val="VerbatimChar"/>
              </w:rPr>
              <w:t>public_id</w:t>
            </w:r>
            <w:r>
              <w:t xml:space="preserve"> exactly as-is into a new environment?</w:t>
            </w:r>
          </w:p>
        </w:tc>
        <w:tc>
          <w:tcPr>
            <w:tcW w:w="1980" w:type="dxa"/>
          </w:tcPr>
          <w:p w14:paraId="38259990" w14:textId="77777777" w:rsidR="009106EF" w:rsidRDefault="00000000">
            <w:pPr>
              <w:pStyle w:val="Compact"/>
            </w:pPr>
            <w:r>
              <w:t>A</w:t>
            </w:r>
          </w:p>
        </w:tc>
        <w:tc>
          <w:tcPr>
            <w:tcW w:w="1980" w:type="dxa"/>
          </w:tcPr>
          <w:p w14:paraId="1580F91D" w14:textId="77777777" w:rsidR="009106EF" w:rsidRDefault="00000000">
            <w:pPr>
              <w:pStyle w:val="Compact"/>
            </w:pPr>
            <w:r>
              <w:t>Cannot assess Option A feasibility</w:t>
            </w:r>
          </w:p>
        </w:tc>
      </w:tr>
      <w:tr w:rsidR="009106EF" w14:paraId="6262725B" w14:textId="77777777">
        <w:tc>
          <w:tcPr>
            <w:tcW w:w="1980" w:type="dxa"/>
          </w:tcPr>
          <w:p w14:paraId="5BB16425" w14:textId="77777777" w:rsidR="009106EF" w:rsidRDefault="00000000">
            <w:pPr>
              <w:pStyle w:val="Compact"/>
            </w:pPr>
            <w:r>
              <w:t>2</w:t>
            </w:r>
          </w:p>
        </w:tc>
        <w:tc>
          <w:tcPr>
            <w:tcW w:w="1980" w:type="dxa"/>
          </w:tcPr>
          <w:p w14:paraId="3F5BC831" w14:textId="77777777" w:rsidR="009106EF" w:rsidRDefault="00000000">
            <w:pPr>
              <w:pStyle w:val="Compact"/>
            </w:pPr>
            <w:r>
              <w:t xml:space="preserve">Does </w:t>
            </w:r>
            <w:r>
              <w:rPr>
                <w:rStyle w:val="VerbatimChar"/>
              </w:rPr>
              <w:t>cld sync</w:t>
            </w:r>
            <w:r>
              <w:t xml:space="preserve"> support cloud-to-cloud (environment-to-environment) operation, or is it limited to local-folder &lt;-&gt; cloud?</w:t>
            </w:r>
          </w:p>
        </w:tc>
        <w:tc>
          <w:tcPr>
            <w:tcW w:w="1980" w:type="dxa"/>
          </w:tcPr>
          <w:p w14:paraId="3F1BD718" w14:textId="77777777" w:rsidR="009106EF" w:rsidRDefault="00000000">
            <w:pPr>
              <w:pStyle w:val="Compact"/>
            </w:pPr>
            <w:r>
              <w:t>A</w:t>
            </w:r>
          </w:p>
        </w:tc>
        <w:tc>
          <w:tcPr>
            <w:tcW w:w="1980" w:type="dxa"/>
          </w:tcPr>
          <w:p w14:paraId="2A177EA6" w14:textId="77777777" w:rsidR="009106EF" w:rsidRDefault="00000000">
            <w:pPr>
              <w:pStyle w:val="Compact"/>
            </w:pPr>
            <w:r>
              <w:t>If local-only, Option A is eliminated</w:t>
            </w:r>
          </w:p>
        </w:tc>
      </w:tr>
      <w:tr w:rsidR="009106EF" w14:paraId="2B94165E" w14:textId="77777777">
        <w:tc>
          <w:tcPr>
            <w:tcW w:w="1980" w:type="dxa"/>
          </w:tcPr>
          <w:p w14:paraId="75C9F4E8" w14:textId="77777777" w:rsidR="009106EF" w:rsidRDefault="00000000">
            <w:pPr>
              <w:pStyle w:val="Compact"/>
            </w:pPr>
            <w:r>
              <w:t>3</w:t>
            </w:r>
          </w:p>
        </w:tc>
        <w:tc>
          <w:tcPr>
            <w:tcW w:w="1980" w:type="dxa"/>
          </w:tcPr>
          <w:p w14:paraId="5FC55F0A" w14:textId="77777777" w:rsidR="009106EF" w:rsidRDefault="00000000">
            <w:pPr>
              <w:pStyle w:val="Compact"/>
            </w:pPr>
            <w:r>
              <w:t>Does either CLI command consume Admin API quota internally, and what is the request rate behavior at scale?</w:t>
            </w:r>
          </w:p>
        </w:tc>
        <w:tc>
          <w:tcPr>
            <w:tcW w:w="1980" w:type="dxa"/>
          </w:tcPr>
          <w:p w14:paraId="31DBFF17" w14:textId="77777777" w:rsidR="009106EF" w:rsidRDefault="00000000">
            <w:pPr>
              <w:pStyle w:val="Compact"/>
            </w:pPr>
            <w:r>
              <w:t>A</w:t>
            </w:r>
          </w:p>
        </w:tc>
        <w:tc>
          <w:tcPr>
            <w:tcW w:w="1980" w:type="dxa"/>
          </w:tcPr>
          <w:p w14:paraId="5FD5E3E1" w14:textId="77777777" w:rsidR="009106EF" w:rsidRDefault="00000000">
            <w:pPr>
              <w:pStyle w:val="Compact"/>
            </w:pPr>
            <w:r>
              <w:t>Risk of exhausting 5,000 req/hr during migration</w:t>
            </w:r>
          </w:p>
        </w:tc>
      </w:tr>
      <w:tr w:rsidR="009106EF" w14:paraId="4C1316B2" w14:textId="77777777">
        <w:tc>
          <w:tcPr>
            <w:tcW w:w="1980" w:type="dxa"/>
          </w:tcPr>
          <w:p w14:paraId="6B2ACFA4" w14:textId="77777777" w:rsidR="009106EF" w:rsidRDefault="00000000">
            <w:pPr>
              <w:pStyle w:val="Compact"/>
            </w:pPr>
            <w:r>
              <w:t>4</w:t>
            </w:r>
          </w:p>
        </w:tc>
        <w:tc>
          <w:tcPr>
            <w:tcW w:w="1980" w:type="dxa"/>
          </w:tcPr>
          <w:p w14:paraId="646CA8F5" w14:textId="77777777" w:rsidR="009106EF" w:rsidRDefault="00000000">
            <w:pPr>
              <w:pStyle w:val="Compact"/>
            </w:pPr>
            <w:r>
              <w:t xml:space="preserve">Will CLI commands operate correctly against a target </w:t>
            </w:r>
            <w:r>
              <w:lastRenderedPageBreak/>
              <w:t>environment that already has BYOB (S3) configured as the storage backend?</w:t>
            </w:r>
          </w:p>
        </w:tc>
        <w:tc>
          <w:tcPr>
            <w:tcW w:w="1980" w:type="dxa"/>
          </w:tcPr>
          <w:p w14:paraId="379AABE0" w14:textId="77777777" w:rsidR="009106EF" w:rsidRDefault="00000000">
            <w:pPr>
              <w:pStyle w:val="Compact"/>
            </w:pPr>
            <w:r>
              <w:lastRenderedPageBreak/>
              <w:t>A</w:t>
            </w:r>
          </w:p>
        </w:tc>
        <w:tc>
          <w:tcPr>
            <w:tcW w:w="1980" w:type="dxa"/>
          </w:tcPr>
          <w:p w14:paraId="43C0874B" w14:textId="77777777" w:rsidR="009106EF" w:rsidRDefault="00000000">
            <w:pPr>
              <w:pStyle w:val="Compact"/>
            </w:pPr>
            <w:r>
              <w:t xml:space="preserve">CLI + BYOB combination may not be validated by </w:t>
            </w:r>
            <w:r>
              <w:lastRenderedPageBreak/>
              <w:t>PS</w:t>
            </w:r>
          </w:p>
        </w:tc>
      </w:tr>
      <w:tr w:rsidR="009106EF" w14:paraId="1C56F1AC" w14:textId="77777777">
        <w:tc>
          <w:tcPr>
            <w:tcW w:w="1980" w:type="dxa"/>
          </w:tcPr>
          <w:p w14:paraId="135A8B53" w14:textId="77777777" w:rsidR="009106EF" w:rsidRDefault="00000000">
            <w:pPr>
              <w:pStyle w:val="Compact"/>
            </w:pPr>
            <w:r>
              <w:lastRenderedPageBreak/>
              <w:t>5</w:t>
            </w:r>
          </w:p>
        </w:tc>
        <w:tc>
          <w:tcPr>
            <w:tcW w:w="1980" w:type="dxa"/>
          </w:tcPr>
          <w:p w14:paraId="139FAEC5" w14:textId="77777777" w:rsidR="009106EF" w:rsidRDefault="00000000">
            <w:pPr>
              <w:pStyle w:val="Compact"/>
            </w:pPr>
            <w:r>
              <w:t xml:space="preserve">Can Cloudinary configure a cross-account S3 permission (replication rule or </w:t>
            </w:r>
            <w:r>
              <w:rPr>
                <w:rStyle w:val="VerbatimChar"/>
              </w:rPr>
              <w:t>CopyObject</w:t>
            </w:r>
            <w:r>
              <w:t xml:space="preserve"> IAM grant) from Cloudinary’s internal bucket to UTA’s S3 bucket?</w:t>
            </w:r>
          </w:p>
        </w:tc>
        <w:tc>
          <w:tcPr>
            <w:tcW w:w="1980" w:type="dxa"/>
          </w:tcPr>
          <w:p w14:paraId="70007735" w14:textId="77777777" w:rsidR="009106EF" w:rsidRDefault="00000000">
            <w:pPr>
              <w:pStyle w:val="Compact"/>
            </w:pPr>
            <w:r>
              <w:t>C</w:t>
            </w:r>
          </w:p>
        </w:tc>
        <w:tc>
          <w:tcPr>
            <w:tcW w:w="1980" w:type="dxa"/>
          </w:tcPr>
          <w:p w14:paraId="5CEA1C92" w14:textId="77777777" w:rsidR="009106EF" w:rsidRDefault="00000000">
            <w:pPr>
              <w:pStyle w:val="Compact"/>
            </w:pPr>
            <w:r>
              <w:t>Determines whether Option C is viable at all</w:t>
            </w:r>
          </w:p>
        </w:tc>
      </w:tr>
      <w:tr w:rsidR="009106EF" w14:paraId="32D091E9" w14:textId="77777777">
        <w:tc>
          <w:tcPr>
            <w:tcW w:w="1980" w:type="dxa"/>
          </w:tcPr>
          <w:p w14:paraId="4E8204C9" w14:textId="77777777" w:rsidR="009106EF" w:rsidRDefault="00000000">
            <w:pPr>
              <w:pStyle w:val="Compact"/>
            </w:pPr>
            <w:r>
              <w:t>6</w:t>
            </w:r>
          </w:p>
        </w:tc>
        <w:tc>
          <w:tcPr>
            <w:tcW w:w="1980" w:type="dxa"/>
          </w:tcPr>
          <w:p w14:paraId="6CFE80C9" w14:textId="77777777" w:rsidR="009106EF" w:rsidRDefault="00000000">
            <w:pPr>
              <w:pStyle w:val="Compact"/>
            </w:pPr>
            <w:r>
              <w:t>What is the PS engagement scope, estimated hours, and timeline for BYOB configuration + new environment setup?</w:t>
            </w:r>
          </w:p>
        </w:tc>
        <w:tc>
          <w:tcPr>
            <w:tcW w:w="1980" w:type="dxa"/>
          </w:tcPr>
          <w:p w14:paraId="7A9FA331" w14:textId="77777777" w:rsidR="009106EF" w:rsidRDefault="00000000">
            <w:pPr>
              <w:pStyle w:val="Compact"/>
            </w:pPr>
            <w:r>
              <w:t>All</w:t>
            </w:r>
          </w:p>
        </w:tc>
        <w:tc>
          <w:tcPr>
            <w:tcW w:w="1980" w:type="dxa"/>
          </w:tcPr>
          <w:p w14:paraId="59447886" w14:textId="77777777" w:rsidR="009106EF" w:rsidRDefault="00000000">
            <w:pPr>
              <w:pStyle w:val="Compact"/>
            </w:pPr>
            <w:r>
              <w:t>Required for project planning and budgeting</w:t>
            </w:r>
          </w:p>
        </w:tc>
      </w:tr>
      <w:tr w:rsidR="009106EF" w14:paraId="3B4FE3EA" w14:textId="77777777">
        <w:tc>
          <w:tcPr>
            <w:tcW w:w="1980" w:type="dxa"/>
          </w:tcPr>
          <w:p w14:paraId="067A5A56" w14:textId="77777777" w:rsidR="009106EF" w:rsidRDefault="00000000">
            <w:pPr>
              <w:pStyle w:val="Compact"/>
            </w:pPr>
            <w:r>
              <w:t>7</w:t>
            </w:r>
          </w:p>
        </w:tc>
        <w:tc>
          <w:tcPr>
            <w:tcW w:w="1980" w:type="dxa"/>
          </w:tcPr>
          <w:p w14:paraId="1EE83BAF" w14:textId="77777777" w:rsidR="009106EF" w:rsidRDefault="00000000">
            <w:pPr>
              <w:pStyle w:val="Compact"/>
            </w:pPr>
            <w:r>
              <w:t xml:space="preserve">Is there a supported way to do a bulk metadata export (all </w:t>
            </w:r>
            <w:r>
              <w:rPr>
                <w:rStyle w:val="VerbatimChar"/>
              </w:rPr>
              <w:t>public_id</w:t>
            </w:r>
            <w:r>
              <w:t>s, tags, context fields, resource types) from the current environment to use as input to a migration script?</w:t>
            </w:r>
          </w:p>
        </w:tc>
        <w:tc>
          <w:tcPr>
            <w:tcW w:w="1980" w:type="dxa"/>
          </w:tcPr>
          <w:p w14:paraId="4E466305" w14:textId="77777777" w:rsidR="009106EF" w:rsidRDefault="00000000">
            <w:pPr>
              <w:pStyle w:val="Compact"/>
            </w:pPr>
            <w:r>
              <w:t>B</w:t>
            </w:r>
          </w:p>
        </w:tc>
        <w:tc>
          <w:tcPr>
            <w:tcW w:w="1980" w:type="dxa"/>
          </w:tcPr>
          <w:p w14:paraId="7D51845D" w14:textId="77777777" w:rsidR="009106EF" w:rsidRDefault="00000000">
            <w:pPr>
              <w:pStyle w:val="Compact"/>
            </w:pPr>
            <w:r>
              <w:t>Accelerates Option B controller implementation</w:t>
            </w:r>
          </w:p>
        </w:tc>
      </w:tr>
      <w:tr w:rsidR="009106EF" w14:paraId="6D03B65A" w14:textId="77777777">
        <w:tc>
          <w:tcPr>
            <w:tcW w:w="1980" w:type="dxa"/>
          </w:tcPr>
          <w:p w14:paraId="02E752DD" w14:textId="77777777" w:rsidR="009106EF" w:rsidRDefault="00000000">
            <w:pPr>
              <w:pStyle w:val="Compact"/>
            </w:pPr>
            <w:r>
              <w:t>8</w:t>
            </w:r>
          </w:p>
        </w:tc>
        <w:tc>
          <w:tcPr>
            <w:tcW w:w="1980" w:type="dxa"/>
          </w:tcPr>
          <w:p w14:paraId="7F62AD5E" w14:textId="77777777" w:rsidR="009106EF" w:rsidRDefault="00000000">
            <w:pPr>
              <w:pStyle w:val="Compact"/>
            </w:pPr>
            <w:r>
              <w:t>Can the Admin API rate limit be temporarily raised to 20,000+ req/hr for the migration window, and what is the process to request it?</w:t>
            </w:r>
          </w:p>
        </w:tc>
        <w:tc>
          <w:tcPr>
            <w:tcW w:w="1980" w:type="dxa"/>
          </w:tcPr>
          <w:p w14:paraId="07A1DB20" w14:textId="77777777" w:rsidR="009106EF" w:rsidRDefault="00000000">
            <w:pPr>
              <w:pStyle w:val="Compact"/>
            </w:pPr>
            <w:r>
              <w:t>B</w:t>
            </w:r>
          </w:p>
        </w:tc>
        <w:tc>
          <w:tcPr>
            <w:tcW w:w="1980" w:type="dxa"/>
          </w:tcPr>
          <w:p w14:paraId="67601B49" w14:textId="77777777" w:rsidR="009106EF" w:rsidRDefault="00000000">
            <w:pPr>
              <w:pStyle w:val="Compact"/>
            </w:pPr>
            <w:r>
              <w:t>Determines max throughput and migration duration</w:t>
            </w:r>
          </w:p>
        </w:tc>
      </w:tr>
    </w:tbl>
    <w:p w14:paraId="42779E0B" w14:textId="77777777" w:rsidR="009106EF" w:rsidRDefault="00000000">
      <w:r>
        <w:pict w14:anchorId="162A2D42">
          <v:rect id="_x0000_i1033" style="width:0;height:1.5pt" o:hralign="center" o:hrstd="t" o:hr="t"/>
        </w:pict>
      </w:r>
    </w:p>
    <w:p w14:paraId="01F6F5E0" w14:textId="77777777" w:rsidR="009106EF" w:rsidRDefault="00000000">
      <w:pPr>
        <w:pStyle w:val="Heading2"/>
      </w:pPr>
      <w:bookmarkStart w:id="11" w:name="assumptions-carried-forward"/>
      <w:bookmarkEnd w:id="10"/>
      <w:r>
        <w:lastRenderedPageBreak/>
        <w:t>Assumptions Carried Forward</w:t>
      </w:r>
    </w:p>
    <w:p w14:paraId="7A4338BC" w14:textId="77777777" w:rsidR="009106EF" w:rsidRDefault="00000000">
      <w:pPr>
        <w:pStyle w:val="Compact"/>
        <w:numPr>
          <w:ilvl w:val="0"/>
          <w:numId w:val="5"/>
        </w:numPr>
      </w:pPr>
      <w:r>
        <w:t>A new Cloudinary environment is mandatory before any migration activity.</w:t>
      </w:r>
    </w:p>
    <w:p w14:paraId="7FE4847F" w14:textId="77777777" w:rsidR="009106EF" w:rsidRDefault="00000000">
      <w:pPr>
        <w:pStyle w:val="Compact"/>
        <w:numPr>
          <w:ilvl w:val="0"/>
          <w:numId w:val="5"/>
        </w:numPr>
      </w:pPr>
      <w:r>
        <w:rPr>
          <w:rStyle w:val="VerbatimChar"/>
        </w:rPr>
        <w:t>public_id</w:t>
      </w:r>
      <w:r>
        <w:t xml:space="preserve"> values will be preserved exactly in the new environment (confirmed in Q&amp;A 2).</w:t>
      </w:r>
    </w:p>
    <w:p w14:paraId="7CBC0B2C" w14:textId="77777777" w:rsidR="009106EF" w:rsidRDefault="00000000">
      <w:pPr>
        <w:pStyle w:val="Compact"/>
        <w:numPr>
          <w:ilvl w:val="0"/>
          <w:numId w:val="5"/>
        </w:numPr>
      </w:pPr>
      <w:r>
        <w:t>CNAME cutover approach is viable for URL continuity (confirmed in Q&amp;A 2).</w:t>
      </w:r>
    </w:p>
    <w:p w14:paraId="55058DBF" w14:textId="77777777" w:rsidR="009106EF" w:rsidRDefault="00000000">
      <w:pPr>
        <w:pStyle w:val="Compact"/>
        <w:numPr>
          <w:ilvl w:val="0"/>
          <w:numId w:val="5"/>
        </w:numPr>
      </w:pPr>
      <w:r>
        <w:t>PS handles BYOB backend configuration; UTA/delivery team handles data transfer and application validation.</w:t>
      </w:r>
    </w:p>
    <w:p w14:paraId="511BAE7B" w14:textId="77777777" w:rsidR="009106EF" w:rsidRDefault="00000000">
      <w:pPr>
        <w:pStyle w:val="Compact"/>
        <w:numPr>
          <w:ilvl w:val="0"/>
          <w:numId w:val="5"/>
        </w:numPr>
      </w:pPr>
      <w:r>
        <w:t>Cloudinary backup storage cannot be used as a migration source (confirmed in Q&amp;A 2).</w:t>
      </w:r>
    </w:p>
    <w:p w14:paraId="2E017336" w14:textId="77777777" w:rsidR="009106EF" w:rsidRDefault="00000000">
      <w:pPr>
        <w:pStyle w:val="Compact"/>
        <w:numPr>
          <w:ilvl w:val="0"/>
          <w:numId w:val="5"/>
        </w:numPr>
      </w:pPr>
      <w:r>
        <w:t>Migration runs are scheduled outside West Coast peak hours (9 AM – 5 PM PT).</w:t>
      </w:r>
    </w:p>
    <w:p w14:paraId="08AD9FE2" w14:textId="77777777" w:rsidR="009106EF" w:rsidRDefault="00000000">
      <w:pPr>
        <w:pStyle w:val="Compact"/>
        <w:numPr>
          <w:ilvl w:val="0"/>
          <w:numId w:val="5"/>
        </w:numPr>
      </w:pPr>
      <w:r>
        <w:t>Encryption at rest (SSE-KMS) is mandatory on the UTA S3 bucket; KMS key policy must permit Cloudinary’s IAM principal.</w:t>
      </w:r>
    </w:p>
    <w:p w14:paraId="07DB5C99" w14:textId="77777777" w:rsidR="009106EF" w:rsidRDefault="00000000">
      <w:r>
        <w:pict w14:anchorId="6B16F492">
          <v:rect id="_x0000_i1034" style="width:0;height:1.5pt" o:hralign="center" o:hrstd="t" o:hr="t"/>
        </w:pict>
      </w:r>
    </w:p>
    <w:p w14:paraId="057C159A" w14:textId="77777777" w:rsidR="009106EF" w:rsidRDefault="00000000">
      <w:pPr>
        <w:pStyle w:val="Heading2"/>
      </w:pPr>
      <w:bookmarkStart w:id="12" w:name="related-documents"/>
      <w:bookmarkEnd w:id="11"/>
      <w:r>
        <w:t>Related Documents</w:t>
      </w:r>
    </w:p>
    <w:p w14:paraId="5E6B082F" w14:textId="77777777" w:rsidR="009106EF" w:rsidRDefault="00000000">
      <w:pPr>
        <w:pStyle w:val="Compact"/>
        <w:numPr>
          <w:ilvl w:val="0"/>
          <w:numId w:val="6"/>
        </w:numPr>
      </w:pPr>
      <w:hyperlink r:id="rId7">
        <w:r>
          <w:rPr>
            <w:rStyle w:val="Hyperlink"/>
          </w:rPr>
          <w:t>Cloudinary Q&amp;A 1</w:t>
        </w:r>
      </w:hyperlink>
    </w:p>
    <w:p w14:paraId="4B25EC02" w14:textId="77777777" w:rsidR="009106EF" w:rsidRDefault="00000000">
      <w:pPr>
        <w:pStyle w:val="Compact"/>
        <w:numPr>
          <w:ilvl w:val="0"/>
          <w:numId w:val="6"/>
        </w:numPr>
      </w:pPr>
      <w:hyperlink r:id="rId8">
        <w:r>
          <w:rPr>
            <w:rStyle w:val="Hyperlink"/>
          </w:rPr>
          <w:t>Cloudinary Q&amp;A 2</w:t>
        </w:r>
      </w:hyperlink>
    </w:p>
    <w:bookmarkEnd w:id="0"/>
    <w:bookmarkEnd w:id="12"/>
    <w:p w14:paraId="08DBE903" w14:textId="2D043ECE" w:rsidR="009106EF" w:rsidRDefault="009106EF" w:rsidP="005F75FA">
      <w:pPr>
        <w:pStyle w:val="Compact"/>
        <w:ind w:left="720"/>
      </w:pPr>
    </w:p>
    <w:sectPr w:rsidR="009106E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A12E6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D0456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01143263">
    <w:abstractNumId w:val="0"/>
  </w:num>
  <w:num w:numId="2" w16cid:durableId="1643655224">
    <w:abstractNumId w:val="1"/>
  </w:num>
  <w:num w:numId="3" w16cid:durableId="290598444">
    <w:abstractNumId w:val="1"/>
  </w:num>
  <w:num w:numId="4" w16cid:durableId="1249659144">
    <w:abstractNumId w:val="1"/>
  </w:num>
  <w:num w:numId="5" w16cid:durableId="91517398">
    <w:abstractNumId w:val="1"/>
  </w:num>
  <w:num w:numId="6" w16cid:durableId="1098064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106EF"/>
    <w:rsid w:val="00363642"/>
    <w:rsid w:val="005F75FA"/>
    <w:rsid w:val="009106EF"/>
    <w:rsid w:val="00C52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1F896"/>
  <w15:docId w15:val="{6C016BAB-8509-4881-954B-C37B2BAC0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docs/Cloudinary%20Q%26A%202.md" TargetMode="External"/><Relationship Id="rId3" Type="http://schemas.openxmlformats.org/officeDocument/2006/relationships/settings" Target="settings.xml"/><Relationship Id="rId7" Type="http://schemas.openxmlformats.org/officeDocument/2006/relationships/hyperlink" Target="../../docs/Cloudinary%20Q%26A%201.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oudinary.com/documentation/cloudinary_cli" TargetMode="External"/><Relationship Id="rId5" Type="http://schemas.openxmlformats.org/officeDocument/2006/relationships/hyperlink" Target="https://cloudinary.com/documentation/cloudinary_cli"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1563</Words>
  <Characters>8910</Characters>
  <Application>Microsoft Office Word</Application>
  <DocSecurity>0</DocSecurity>
  <Lines>74</Lines>
  <Paragraphs>20</Paragraphs>
  <ScaleCrop>false</ScaleCrop>
  <Company/>
  <LinksUpToDate>false</LinksUpToDate>
  <CharactersWithSpaces>10453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Edgar Alvarez1</cp:lastModifiedBy>
  <cp:revision>3</cp:revision>
  <dcterms:created xsi:type="dcterms:W3CDTF">2026-03-23T15:28:00Z</dcterms:created>
  <dcterms:modified xsi:type="dcterms:W3CDTF">2026-03-23T15:29:00Z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2026-03-23T15:29:00Z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ed030bb5-cff8-49d8-af14-23e458420dc2</vt:lpwstr>
  </property>
  <property fmtid="{D5CDD505-2E9C-101B-9397-08002B2CF9AE}" pid="8" name="MSIP_Label_2a535040-0af2-483f-adc3-a132c21e3e2b_ContentBits">
    <vt:lpwstr>0</vt:lpwstr>
  </property>
  <property fmtid="{D5CDD505-2E9C-101B-9397-08002B2CF9AE}" pid="9" name="MSIP_Label_2a535040-0af2-483f-adc3-a132c21e3e2b_Tag">
    <vt:lpwstr>10, 3, 0, 1</vt:lpwstr>
  </property>
</Properties>
</file>