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4270D" w14:textId="77777777" w:rsidR="00EF495C" w:rsidRDefault="00EF495C" w:rsidP="00EF495C">
      <w:pPr>
        <w:jc w:val="center"/>
        <w:rPr>
          <w:b/>
          <w:bCs/>
          <w:sz w:val="32"/>
          <w:szCs w:val="32"/>
        </w:rPr>
      </w:pPr>
      <w:r w:rsidRPr="009362F8">
        <w:rPr>
          <w:b/>
          <w:bCs/>
          <w:sz w:val="32"/>
          <w:szCs w:val="32"/>
        </w:rPr>
        <w:t>Fiche Explicative : Stratégie Momentum</w:t>
      </w:r>
    </w:p>
    <w:p w14:paraId="102AE058" w14:textId="77777777" w:rsidR="00320D14" w:rsidRDefault="00320D14" w:rsidP="00EF495C">
      <w:pPr>
        <w:jc w:val="center"/>
        <w:rPr>
          <w:b/>
          <w:bCs/>
          <w:sz w:val="32"/>
          <w:szCs w:val="32"/>
        </w:rPr>
      </w:pPr>
    </w:p>
    <w:p w14:paraId="5A9DE057" w14:textId="151F5A5F" w:rsidR="00EF495C" w:rsidRPr="009362F8" w:rsidRDefault="00EF495C" w:rsidP="00EF495C">
      <w:pPr>
        <w:jc w:val="both"/>
        <w:rPr>
          <w:b/>
          <w:bCs/>
          <w:sz w:val="24"/>
          <w:szCs w:val="24"/>
        </w:rPr>
      </w:pPr>
      <w:r w:rsidRPr="009362F8">
        <w:rPr>
          <w:b/>
          <w:bCs/>
          <w:sz w:val="24"/>
          <w:szCs w:val="24"/>
        </w:rPr>
        <w:t>1. Définition</w:t>
      </w:r>
    </w:p>
    <w:p w14:paraId="0A0F190C" w14:textId="77777777" w:rsidR="00E82CA8" w:rsidRPr="00E82CA8" w:rsidRDefault="00E82CA8" w:rsidP="00E82CA8">
      <w:pPr>
        <w:jc w:val="both"/>
      </w:pPr>
      <w:r w:rsidRPr="00E82CA8">
        <w:t xml:space="preserve">La stratégie Momentum consiste à sélectionner les actifs ayant le mieux performé sur une période passée (fenêtre rétrospective) et à les conserver pendant une période donnée (période de </w:t>
      </w:r>
      <w:proofErr w:type="spellStart"/>
      <w:r w:rsidRPr="00E82CA8">
        <w:t>reroll</w:t>
      </w:r>
      <w:proofErr w:type="spellEnd"/>
      <w:r w:rsidRPr="00E82CA8">
        <w:t>), avant de réévaluer et de réallouer le portefeuille selon les nouveaux actifs les plus performants.</w:t>
      </w:r>
    </w:p>
    <w:p w14:paraId="63B051E7" w14:textId="727F0289" w:rsidR="00EF495C" w:rsidRDefault="00E82CA8" w:rsidP="00EF495C">
      <w:pPr>
        <w:jc w:val="both"/>
      </w:pPr>
      <w:r w:rsidRPr="00E82CA8">
        <w:t>Cette approche repose sur l'idée que les actifs ayant bien performé récemment continueront à bien performer à court terme.</w:t>
      </w:r>
    </w:p>
    <w:p w14:paraId="18EA5BCA" w14:textId="77777777" w:rsidR="00FC0A9C" w:rsidRPr="00FC0A9C" w:rsidRDefault="00FC0A9C" w:rsidP="00EF495C">
      <w:pPr>
        <w:jc w:val="both"/>
      </w:pPr>
    </w:p>
    <w:p w14:paraId="60D5D94C" w14:textId="589B9502" w:rsidR="00EF495C" w:rsidRPr="009362F8" w:rsidRDefault="00EF495C" w:rsidP="00EF495C">
      <w:pPr>
        <w:jc w:val="both"/>
        <w:rPr>
          <w:b/>
          <w:bCs/>
          <w:sz w:val="24"/>
          <w:szCs w:val="24"/>
        </w:rPr>
      </w:pPr>
      <w:r w:rsidRPr="009362F8">
        <w:rPr>
          <w:b/>
          <w:bCs/>
          <w:sz w:val="24"/>
          <w:szCs w:val="24"/>
        </w:rPr>
        <w:t>2. Paramètres de la Stratégie</w:t>
      </w:r>
    </w:p>
    <w:p w14:paraId="607D64C0" w14:textId="42F6B396" w:rsidR="00EF495C" w:rsidRDefault="00EF495C" w:rsidP="00EF495C">
      <w:pPr>
        <w:jc w:val="both"/>
      </w:pPr>
      <w:r>
        <w:t>L'utilisateur doit définir plusieurs paramètres nécessaires à la mise en place de la stratégie :</w:t>
      </w:r>
    </w:p>
    <w:p w14:paraId="1D313F55" w14:textId="77A83445" w:rsidR="00EF495C" w:rsidRPr="009362F8" w:rsidRDefault="00EF495C" w:rsidP="00EF495C">
      <w:pPr>
        <w:jc w:val="both"/>
      </w:pPr>
      <w:r w:rsidRPr="009362F8">
        <w:rPr>
          <w:u w:val="single"/>
        </w:rPr>
        <w:t>Fenêtre de temps rétrospective</w:t>
      </w:r>
      <w:r w:rsidRPr="009362F8">
        <w:t xml:space="preserve"> : Durée sur laquelle on mesure la performance passée (ex : 1 an).</w:t>
      </w:r>
    </w:p>
    <w:p w14:paraId="05DFF0CC" w14:textId="77777777" w:rsidR="00EF495C" w:rsidRPr="009362F8" w:rsidRDefault="00EF495C" w:rsidP="00EF495C">
      <w:pPr>
        <w:jc w:val="both"/>
      </w:pPr>
      <w:r w:rsidRPr="009362F8">
        <w:rPr>
          <w:u w:val="single"/>
        </w:rPr>
        <w:t>Nombre d’actifs sélectionnés</w:t>
      </w:r>
      <w:r w:rsidRPr="009362F8">
        <w:t xml:space="preserve"> : Nombre d’actions les plus performantes à inclure dans le portefeuille (ex : 3 actions).</w:t>
      </w:r>
    </w:p>
    <w:p w14:paraId="68F9F7B2" w14:textId="77777777" w:rsidR="00EF495C" w:rsidRPr="009362F8" w:rsidRDefault="00EF495C" w:rsidP="00EF495C">
      <w:pPr>
        <w:jc w:val="both"/>
      </w:pPr>
      <w:r w:rsidRPr="009362F8">
        <w:rPr>
          <w:u w:val="single"/>
        </w:rPr>
        <w:t>Période de rééquilibrage</w:t>
      </w:r>
      <w:r w:rsidRPr="009362F8">
        <w:t xml:space="preserve"> : Fréquence à laquelle on met à jour le portefeuille (ex : tous les 2 mois).</w:t>
      </w:r>
    </w:p>
    <w:p w14:paraId="17E3B931" w14:textId="77777777" w:rsidR="00EF495C" w:rsidRPr="009362F8" w:rsidRDefault="00EF495C" w:rsidP="00EF495C">
      <w:pPr>
        <w:jc w:val="both"/>
      </w:pPr>
      <w:r w:rsidRPr="009362F8">
        <w:rPr>
          <w:u w:val="single"/>
        </w:rPr>
        <w:t>Date de début</w:t>
      </w:r>
      <w:r w:rsidRPr="009362F8">
        <w:t xml:space="preserve"> : Début de la mise en œuvre de la stratégie.</w:t>
      </w:r>
    </w:p>
    <w:p w14:paraId="55A75B57" w14:textId="77777777" w:rsidR="00EF495C" w:rsidRPr="009362F8" w:rsidRDefault="00EF495C" w:rsidP="00EF495C">
      <w:pPr>
        <w:jc w:val="both"/>
      </w:pPr>
      <w:r w:rsidRPr="009362F8">
        <w:rPr>
          <w:u w:val="single"/>
        </w:rPr>
        <w:t>Date de fin</w:t>
      </w:r>
      <w:r w:rsidRPr="009362F8">
        <w:t xml:space="preserve"> : Fin de la stratégie.</w:t>
      </w:r>
    </w:p>
    <w:p w14:paraId="00763DF3" w14:textId="77777777" w:rsidR="00EF495C" w:rsidRPr="009362F8" w:rsidRDefault="00EF495C" w:rsidP="00EF495C">
      <w:pPr>
        <w:jc w:val="both"/>
      </w:pPr>
      <w:r w:rsidRPr="009362F8">
        <w:rPr>
          <w:u w:val="single"/>
        </w:rPr>
        <w:t>Univers d'investissement</w:t>
      </w:r>
      <w:r w:rsidRPr="009362F8">
        <w:t xml:space="preserve"> : Ensemble des </w:t>
      </w:r>
      <w:proofErr w:type="spellStart"/>
      <w:r w:rsidRPr="009362F8">
        <w:t>tickers</w:t>
      </w:r>
      <w:proofErr w:type="spellEnd"/>
      <w:r w:rsidRPr="009362F8">
        <w:t xml:space="preserve"> (actions) disponibles pour la sélection.</w:t>
      </w:r>
    </w:p>
    <w:p w14:paraId="3C36246A" w14:textId="77777777" w:rsidR="009362F8" w:rsidRDefault="009362F8" w:rsidP="00EF495C">
      <w:pPr>
        <w:jc w:val="both"/>
        <w:rPr>
          <w:sz w:val="24"/>
          <w:szCs w:val="24"/>
        </w:rPr>
      </w:pPr>
    </w:p>
    <w:p w14:paraId="71B265D6" w14:textId="7B6DBE9A" w:rsidR="00EF495C" w:rsidRPr="009362F8" w:rsidRDefault="00EF495C" w:rsidP="00EF495C">
      <w:pPr>
        <w:jc w:val="both"/>
        <w:rPr>
          <w:b/>
          <w:bCs/>
          <w:sz w:val="24"/>
          <w:szCs w:val="24"/>
        </w:rPr>
      </w:pPr>
      <w:r w:rsidRPr="009362F8">
        <w:rPr>
          <w:b/>
          <w:bCs/>
          <w:sz w:val="24"/>
          <w:szCs w:val="24"/>
        </w:rPr>
        <w:t>3. Processus d’Exécution</w:t>
      </w:r>
    </w:p>
    <w:p w14:paraId="67F66D2A" w14:textId="0EDCA14D" w:rsidR="00EF495C" w:rsidRDefault="00EF495C" w:rsidP="00EF495C">
      <w:pPr>
        <w:jc w:val="both"/>
      </w:pPr>
      <w:r w:rsidRPr="009362F8">
        <w:rPr>
          <w:u w:val="single"/>
        </w:rPr>
        <w:t>Détermination des meilleurs actifs initiaux</w:t>
      </w:r>
      <w:r>
        <w:t xml:space="preserve"> :</w:t>
      </w:r>
      <w:r w:rsidR="009362F8">
        <w:t xml:space="preserve"> </w:t>
      </w:r>
      <w:r>
        <w:t>À la date de début (ex : 01/01/2025), on identifie les actifs ayant eu la meilleure performance sur la période rétrospective définie (ex : du 01/01/2024 au 01/01/2025).</w:t>
      </w:r>
      <w:r w:rsidR="009362F8">
        <w:t xml:space="preserve"> </w:t>
      </w:r>
      <w:r>
        <w:t>On investit dans ces actifs sélectionnés.</w:t>
      </w:r>
    </w:p>
    <w:p w14:paraId="79513B10" w14:textId="3317A8DD" w:rsidR="00EF495C" w:rsidRDefault="00EF495C" w:rsidP="00EF495C">
      <w:pPr>
        <w:jc w:val="both"/>
      </w:pPr>
      <w:r w:rsidRPr="003F5A39">
        <w:rPr>
          <w:u w:val="single"/>
        </w:rPr>
        <w:t>Rééquilibrage périodique</w:t>
      </w:r>
      <w:r>
        <w:t xml:space="preserve"> :</w:t>
      </w:r>
      <w:r w:rsidR="009362F8">
        <w:t xml:space="preserve"> </w:t>
      </w:r>
      <w:r>
        <w:t>À chaque période de rééquilibrage (ex : tous les 2 mois), on met à jour la sélection d'actifs.</w:t>
      </w:r>
      <w:r w:rsidR="003F5A39">
        <w:t xml:space="preserve"> </w:t>
      </w:r>
      <w:r>
        <w:t>On identifie les actifs ayant eu la meilleure performance sur la nouvelle période rétrospective (ex : du 01/03/2024 au 01/03/2025 pour un rééquilibrage au 01/03/2025).</w:t>
      </w:r>
      <w:r w:rsidR="003F5A39">
        <w:t xml:space="preserve"> </w:t>
      </w:r>
      <w:r>
        <w:t>On vend les actifs qui ne figurent plus parmi les meilleurs et on achète les nouveaux actifs sélectionnés.</w:t>
      </w:r>
    </w:p>
    <w:p w14:paraId="57B598B5" w14:textId="1290B5B4" w:rsidR="00EF495C" w:rsidRDefault="00EF495C" w:rsidP="00EF495C">
      <w:pPr>
        <w:jc w:val="both"/>
      </w:pPr>
      <w:r w:rsidRPr="003F5A39">
        <w:rPr>
          <w:u w:val="single"/>
        </w:rPr>
        <w:t>Répétition jusqu'à la date de fin</w:t>
      </w:r>
      <w:r>
        <w:t xml:space="preserve"> :</w:t>
      </w:r>
      <w:r w:rsidR="003F5A39">
        <w:t xml:space="preserve"> </w:t>
      </w:r>
      <w:r>
        <w:t>Le processus de rééquilibrage continue jusqu'à atteindre la date de fin définie par l'utilisateur.</w:t>
      </w:r>
    </w:p>
    <w:p w14:paraId="576256B8" w14:textId="77777777" w:rsidR="00FC0A9C" w:rsidRDefault="00FC0A9C" w:rsidP="00EF495C">
      <w:pPr>
        <w:jc w:val="both"/>
      </w:pPr>
    </w:p>
    <w:p w14:paraId="7648212F" w14:textId="71023CFF" w:rsidR="00FC0A9C" w:rsidRPr="00FC0A9C" w:rsidRDefault="00FC0A9C" w:rsidP="00FC0A9C">
      <w:pPr>
        <w:jc w:val="both"/>
        <w:rPr>
          <w:b/>
          <w:bCs/>
          <w:sz w:val="24"/>
          <w:szCs w:val="24"/>
        </w:rPr>
      </w:pPr>
      <w:r>
        <w:rPr>
          <w:b/>
          <w:bCs/>
          <w:sz w:val="24"/>
          <w:szCs w:val="24"/>
        </w:rPr>
        <w:t xml:space="preserve">4. </w:t>
      </w:r>
      <w:r w:rsidRPr="00FC0A9C">
        <w:rPr>
          <w:b/>
          <w:bCs/>
          <w:sz w:val="24"/>
          <w:szCs w:val="24"/>
        </w:rPr>
        <w:t>Limites et Risques</w:t>
      </w:r>
    </w:p>
    <w:p w14:paraId="223BD660" w14:textId="77777777" w:rsidR="00FC0A9C" w:rsidRDefault="00FC0A9C" w:rsidP="00FC0A9C">
      <w:pPr>
        <w:jc w:val="both"/>
      </w:pPr>
      <w:r w:rsidRPr="00FC0A9C">
        <w:rPr>
          <w:rFonts w:ascii="Segoe UI Emoji" w:hAnsi="Segoe UI Emoji" w:cs="Segoe UI Emoji"/>
        </w:rPr>
        <w:t>⚠️</w:t>
      </w:r>
      <w:r w:rsidRPr="00FC0A9C">
        <w:t xml:space="preserve"> </w:t>
      </w:r>
      <w:r w:rsidRPr="00FC0A9C">
        <w:rPr>
          <w:b/>
          <w:bCs/>
        </w:rPr>
        <w:t>Dépendance aux tendances de marché</w:t>
      </w:r>
      <w:r w:rsidRPr="00FC0A9C">
        <w:t xml:space="preserve"> : En cas de retournement, les actifs sélectionnés peuvent sous-performer. </w:t>
      </w:r>
    </w:p>
    <w:p w14:paraId="34281019" w14:textId="77777777" w:rsidR="00FC0A9C" w:rsidRDefault="00FC0A9C" w:rsidP="00FC0A9C">
      <w:pPr>
        <w:jc w:val="both"/>
      </w:pPr>
      <w:r w:rsidRPr="00FC0A9C">
        <w:rPr>
          <w:rFonts w:ascii="Segoe UI Emoji" w:hAnsi="Segoe UI Emoji" w:cs="Segoe UI Emoji"/>
        </w:rPr>
        <w:lastRenderedPageBreak/>
        <w:t>⚠️</w:t>
      </w:r>
      <w:r w:rsidRPr="00FC0A9C">
        <w:t xml:space="preserve"> </w:t>
      </w:r>
      <w:r w:rsidRPr="00FC0A9C">
        <w:rPr>
          <w:b/>
          <w:bCs/>
        </w:rPr>
        <w:t>Frais de transaction</w:t>
      </w:r>
      <w:r w:rsidRPr="00FC0A9C">
        <w:t xml:space="preserve"> : Des frais plus élevés en raison du </w:t>
      </w:r>
      <w:proofErr w:type="spellStart"/>
      <w:r w:rsidRPr="00FC0A9C">
        <w:t>rerolling</w:t>
      </w:r>
      <w:proofErr w:type="spellEnd"/>
      <w:r w:rsidRPr="00FC0A9C">
        <w:t xml:space="preserve"> fréquent. </w:t>
      </w:r>
    </w:p>
    <w:p w14:paraId="1F05BCD7" w14:textId="7B662006" w:rsidR="00FC0A9C" w:rsidRDefault="00FC0A9C" w:rsidP="00EF495C">
      <w:pPr>
        <w:jc w:val="both"/>
      </w:pPr>
      <w:r w:rsidRPr="00FC0A9C">
        <w:rPr>
          <w:rFonts w:ascii="Segoe UI Emoji" w:hAnsi="Segoe UI Emoji" w:cs="Segoe UI Emoji"/>
        </w:rPr>
        <w:t>⚠️</w:t>
      </w:r>
      <w:r w:rsidRPr="00FC0A9C">
        <w:t xml:space="preserve"> </w:t>
      </w:r>
      <w:r w:rsidRPr="00FC0A9C">
        <w:rPr>
          <w:b/>
          <w:bCs/>
        </w:rPr>
        <w:t>Impact des périodes de turbulence</w:t>
      </w:r>
      <w:r w:rsidRPr="00FC0A9C">
        <w:t xml:space="preserve"> : En période de forte volatilité, le modèle peut choisir des actifs qui se retournent rapidement.</w:t>
      </w:r>
    </w:p>
    <w:p w14:paraId="32A29366" w14:textId="77777777" w:rsidR="00E42335" w:rsidRPr="00E42335" w:rsidRDefault="00E42335" w:rsidP="00E42335">
      <w:pPr>
        <w:jc w:val="both"/>
        <w:rPr>
          <w:b/>
          <w:bCs/>
        </w:rPr>
      </w:pPr>
      <w:r w:rsidRPr="00E42335">
        <w:rPr>
          <w:b/>
          <w:bCs/>
        </w:rPr>
        <w:t>Conclusion</w:t>
      </w:r>
    </w:p>
    <w:p w14:paraId="21FD8EC4" w14:textId="77777777" w:rsidR="00E42335" w:rsidRPr="00E42335" w:rsidRDefault="00E42335" w:rsidP="00E42335">
      <w:pPr>
        <w:jc w:val="both"/>
      </w:pPr>
      <w:r w:rsidRPr="00E42335">
        <w:t xml:space="preserve">La stratégie </w:t>
      </w:r>
      <w:r w:rsidRPr="00E42335">
        <w:rPr>
          <w:b/>
          <w:bCs/>
        </w:rPr>
        <w:t>Momentum</w:t>
      </w:r>
      <w:r w:rsidRPr="00E42335">
        <w:t xml:space="preserve"> permet d’optimiser les gains en exploitant les tendances du marché. Elle s’adapte dynamiquement en sélectionnant les actifs les plus performants, mais elle nécessite une surveillance régulière et peut engendrer des frais de transaction plus élevés. Son efficacité dépend fortement de la période d’analyse choisie et de la fréquence de </w:t>
      </w:r>
      <w:proofErr w:type="spellStart"/>
      <w:r w:rsidRPr="00E42335">
        <w:t>rerolling</w:t>
      </w:r>
      <w:proofErr w:type="spellEnd"/>
      <w:r w:rsidRPr="00E42335">
        <w:t>.</w:t>
      </w:r>
    </w:p>
    <w:p w14:paraId="55FCD905" w14:textId="404D70A3" w:rsidR="00187AA9" w:rsidRDefault="001D48A3" w:rsidP="00EF495C">
      <w:pPr>
        <w:jc w:val="both"/>
      </w:pPr>
      <w:r w:rsidRPr="001D48A3">
        <w:drawing>
          <wp:inline distT="0" distB="0" distL="0" distR="0" wp14:anchorId="75E6FDF2" wp14:editId="6E5EB1BD">
            <wp:extent cx="5760720" cy="3169285"/>
            <wp:effectExtent l="0" t="0" r="0" b="0"/>
            <wp:docPr id="111221945"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1945" name="Picture 1" descr="A graph with different colored lines&#10;&#10;AI-generated content may be incorrect."/>
                    <pic:cNvPicPr/>
                  </pic:nvPicPr>
                  <pic:blipFill>
                    <a:blip r:embed="rId8"/>
                    <a:stretch>
                      <a:fillRect/>
                    </a:stretch>
                  </pic:blipFill>
                  <pic:spPr>
                    <a:xfrm>
                      <a:off x="0" y="0"/>
                      <a:ext cx="5760720" cy="3169285"/>
                    </a:xfrm>
                    <a:prstGeom prst="rect">
                      <a:avLst/>
                    </a:prstGeom>
                  </pic:spPr>
                </pic:pic>
              </a:graphicData>
            </a:graphic>
          </wp:inline>
        </w:drawing>
      </w:r>
    </w:p>
    <w:sectPr w:rsidR="00187A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A5723"/>
    <w:multiLevelType w:val="hybridMultilevel"/>
    <w:tmpl w:val="C9E0206C"/>
    <w:lvl w:ilvl="0" w:tplc="871EF23E">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9882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5C"/>
    <w:rsid w:val="000F4704"/>
    <w:rsid w:val="001538BF"/>
    <w:rsid w:val="00187AA9"/>
    <w:rsid w:val="001D48A3"/>
    <w:rsid w:val="002124DB"/>
    <w:rsid w:val="00320D14"/>
    <w:rsid w:val="003F5A39"/>
    <w:rsid w:val="00786718"/>
    <w:rsid w:val="009362F8"/>
    <w:rsid w:val="00A744C2"/>
    <w:rsid w:val="00A9458F"/>
    <w:rsid w:val="00AE3453"/>
    <w:rsid w:val="00B96C67"/>
    <w:rsid w:val="00C02616"/>
    <w:rsid w:val="00C31867"/>
    <w:rsid w:val="00CC5146"/>
    <w:rsid w:val="00E42335"/>
    <w:rsid w:val="00E82CA8"/>
    <w:rsid w:val="00EF495C"/>
    <w:rsid w:val="00F04026"/>
    <w:rsid w:val="00FC0A9C"/>
    <w:rsid w:val="00FC74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77F4"/>
  <w15:chartTrackingRefBased/>
  <w15:docId w15:val="{D5C44FEC-4F87-41F5-9F01-9FCECA91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95C"/>
    <w:rPr>
      <w:rFonts w:eastAsiaTheme="majorEastAsia" w:cstheme="majorBidi"/>
      <w:color w:val="272727" w:themeColor="text1" w:themeTint="D8"/>
    </w:rPr>
  </w:style>
  <w:style w:type="paragraph" w:styleId="Title">
    <w:name w:val="Title"/>
    <w:basedOn w:val="Normal"/>
    <w:next w:val="Normal"/>
    <w:link w:val="TitleChar"/>
    <w:uiPriority w:val="10"/>
    <w:qFormat/>
    <w:rsid w:val="00EF4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95C"/>
    <w:pPr>
      <w:spacing w:before="160"/>
      <w:jc w:val="center"/>
    </w:pPr>
    <w:rPr>
      <w:i/>
      <w:iCs/>
      <w:color w:val="404040" w:themeColor="text1" w:themeTint="BF"/>
    </w:rPr>
  </w:style>
  <w:style w:type="character" w:customStyle="1" w:styleId="QuoteChar">
    <w:name w:val="Quote Char"/>
    <w:basedOn w:val="DefaultParagraphFont"/>
    <w:link w:val="Quote"/>
    <w:uiPriority w:val="29"/>
    <w:rsid w:val="00EF495C"/>
    <w:rPr>
      <w:i/>
      <w:iCs/>
      <w:color w:val="404040" w:themeColor="text1" w:themeTint="BF"/>
    </w:rPr>
  </w:style>
  <w:style w:type="paragraph" w:styleId="ListParagraph">
    <w:name w:val="List Paragraph"/>
    <w:basedOn w:val="Normal"/>
    <w:uiPriority w:val="34"/>
    <w:qFormat/>
    <w:rsid w:val="00EF495C"/>
    <w:pPr>
      <w:ind w:left="720"/>
      <w:contextualSpacing/>
    </w:pPr>
  </w:style>
  <w:style w:type="character" w:styleId="IntenseEmphasis">
    <w:name w:val="Intense Emphasis"/>
    <w:basedOn w:val="DefaultParagraphFont"/>
    <w:uiPriority w:val="21"/>
    <w:qFormat/>
    <w:rsid w:val="00EF495C"/>
    <w:rPr>
      <w:i/>
      <w:iCs/>
      <w:color w:val="0F4761" w:themeColor="accent1" w:themeShade="BF"/>
    </w:rPr>
  </w:style>
  <w:style w:type="paragraph" w:styleId="IntenseQuote">
    <w:name w:val="Intense Quote"/>
    <w:basedOn w:val="Normal"/>
    <w:next w:val="Normal"/>
    <w:link w:val="IntenseQuoteChar"/>
    <w:uiPriority w:val="30"/>
    <w:qFormat/>
    <w:rsid w:val="00EF4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95C"/>
    <w:rPr>
      <w:i/>
      <w:iCs/>
      <w:color w:val="0F4761" w:themeColor="accent1" w:themeShade="BF"/>
    </w:rPr>
  </w:style>
  <w:style w:type="character" w:styleId="IntenseReference">
    <w:name w:val="Intense Reference"/>
    <w:basedOn w:val="DefaultParagraphFont"/>
    <w:uiPriority w:val="32"/>
    <w:qFormat/>
    <w:rsid w:val="00EF4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96215">
      <w:bodyDiv w:val="1"/>
      <w:marLeft w:val="0"/>
      <w:marRight w:val="0"/>
      <w:marTop w:val="0"/>
      <w:marBottom w:val="0"/>
      <w:divBdr>
        <w:top w:val="none" w:sz="0" w:space="0" w:color="auto"/>
        <w:left w:val="none" w:sz="0" w:space="0" w:color="auto"/>
        <w:bottom w:val="none" w:sz="0" w:space="0" w:color="auto"/>
        <w:right w:val="none" w:sz="0" w:space="0" w:color="auto"/>
      </w:divBdr>
      <w:divsChild>
        <w:div w:id="360282117">
          <w:marLeft w:val="0"/>
          <w:marRight w:val="0"/>
          <w:marTop w:val="0"/>
          <w:marBottom w:val="0"/>
          <w:divBdr>
            <w:top w:val="none" w:sz="0" w:space="0" w:color="auto"/>
            <w:left w:val="none" w:sz="0" w:space="0" w:color="auto"/>
            <w:bottom w:val="none" w:sz="0" w:space="0" w:color="auto"/>
            <w:right w:val="none" w:sz="0" w:space="0" w:color="auto"/>
          </w:divBdr>
        </w:div>
      </w:divsChild>
    </w:div>
    <w:div w:id="381447747">
      <w:bodyDiv w:val="1"/>
      <w:marLeft w:val="0"/>
      <w:marRight w:val="0"/>
      <w:marTop w:val="0"/>
      <w:marBottom w:val="0"/>
      <w:divBdr>
        <w:top w:val="none" w:sz="0" w:space="0" w:color="auto"/>
        <w:left w:val="none" w:sz="0" w:space="0" w:color="auto"/>
        <w:bottom w:val="none" w:sz="0" w:space="0" w:color="auto"/>
        <w:right w:val="none" w:sz="0" w:space="0" w:color="auto"/>
      </w:divBdr>
      <w:divsChild>
        <w:div w:id="581910533">
          <w:marLeft w:val="0"/>
          <w:marRight w:val="0"/>
          <w:marTop w:val="0"/>
          <w:marBottom w:val="0"/>
          <w:divBdr>
            <w:top w:val="none" w:sz="0" w:space="0" w:color="auto"/>
            <w:left w:val="none" w:sz="0" w:space="0" w:color="auto"/>
            <w:bottom w:val="none" w:sz="0" w:space="0" w:color="auto"/>
            <w:right w:val="none" w:sz="0" w:space="0" w:color="auto"/>
          </w:divBdr>
        </w:div>
      </w:divsChild>
    </w:div>
    <w:div w:id="452601305">
      <w:bodyDiv w:val="1"/>
      <w:marLeft w:val="0"/>
      <w:marRight w:val="0"/>
      <w:marTop w:val="0"/>
      <w:marBottom w:val="0"/>
      <w:divBdr>
        <w:top w:val="none" w:sz="0" w:space="0" w:color="auto"/>
        <w:left w:val="none" w:sz="0" w:space="0" w:color="auto"/>
        <w:bottom w:val="none" w:sz="0" w:space="0" w:color="auto"/>
        <w:right w:val="none" w:sz="0" w:space="0" w:color="auto"/>
      </w:divBdr>
    </w:div>
    <w:div w:id="811752145">
      <w:bodyDiv w:val="1"/>
      <w:marLeft w:val="0"/>
      <w:marRight w:val="0"/>
      <w:marTop w:val="0"/>
      <w:marBottom w:val="0"/>
      <w:divBdr>
        <w:top w:val="none" w:sz="0" w:space="0" w:color="auto"/>
        <w:left w:val="none" w:sz="0" w:space="0" w:color="auto"/>
        <w:bottom w:val="none" w:sz="0" w:space="0" w:color="auto"/>
        <w:right w:val="none" w:sz="0" w:space="0" w:color="auto"/>
      </w:divBdr>
    </w:div>
    <w:div w:id="1029724142">
      <w:bodyDiv w:val="1"/>
      <w:marLeft w:val="0"/>
      <w:marRight w:val="0"/>
      <w:marTop w:val="0"/>
      <w:marBottom w:val="0"/>
      <w:divBdr>
        <w:top w:val="none" w:sz="0" w:space="0" w:color="auto"/>
        <w:left w:val="none" w:sz="0" w:space="0" w:color="auto"/>
        <w:bottom w:val="none" w:sz="0" w:space="0" w:color="auto"/>
        <w:right w:val="none" w:sz="0" w:space="0" w:color="auto"/>
      </w:divBdr>
    </w:div>
    <w:div w:id="155281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d269254-49ab-4357-a8e3-d2de4cb8988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FE8670A3B458408662B09ABE9EE51A" ma:contentTypeVersion="13" ma:contentTypeDescription="Crée un document." ma:contentTypeScope="" ma:versionID="563b12c173b42a567f3a232637fff7d2">
  <xsd:schema xmlns:xsd="http://www.w3.org/2001/XMLSchema" xmlns:xs="http://www.w3.org/2001/XMLSchema" xmlns:p="http://schemas.microsoft.com/office/2006/metadata/properties" xmlns:ns3="0d269254-49ab-4357-a8e3-d2de4cb8988e" xmlns:ns4="e497de7f-3f55-4b2b-914b-220c7f44d4d7" targetNamespace="http://schemas.microsoft.com/office/2006/metadata/properties" ma:root="true" ma:fieldsID="a1af5c82ba4bceaadd835db676d049da" ns3:_="" ns4:_="">
    <xsd:import namespace="0d269254-49ab-4357-a8e3-d2de4cb8988e"/>
    <xsd:import namespace="e497de7f-3f55-4b2b-914b-220c7f44d4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69254-49ab-4357-a8e3-d2de4cb89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97de7f-3f55-4b2b-914b-220c7f44d4d7"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50FC73-A393-4F5B-9893-3E998737489E}">
  <ds:schemaRefs>
    <ds:schemaRef ds:uri="http://schemas.microsoft.com/office/2006/documentManagement/types"/>
    <ds:schemaRef ds:uri="http://purl.org/dc/dcmitype/"/>
    <ds:schemaRef ds:uri="0d269254-49ab-4357-a8e3-d2de4cb8988e"/>
    <ds:schemaRef ds:uri="http://schemas.openxmlformats.org/package/2006/metadata/core-properties"/>
    <ds:schemaRef ds:uri="http://purl.org/dc/elements/1.1/"/>
    <ds:schemaRef ds:uri="http://www.w3.org/XML/1998/namespace"/>
    <ds:schemaRef ds:uri="http://schemas.microsoft.com/office/2006/metadata/properties"/>
    <ds:schemaRef ds:uri="http://purl.org/dc/terms/"/>
    <ds:schemaRef ds:uri="http://schemas.microsoft.com/office/infopath/2007/PartnerControls"/>
    <ds:schemaRef ds:uri="e497de7f-3f55-4b2b-914b-220c7f44d4d7"/>
  </ds:schemaRefs>
</ds:datastoreItem>
</file>

<file path=customXml/itemProps2.xml><?xml version="1.0" encoding="utf-8"?>
<ds:datastoreItem xmlns:ds="http://schemas.openxmlformats.org/officeDocument/2006/customXml" ds:itemID="{D04E4205-821B-4E5B-9AD8-46ED13312424}">
  <ds:schemaRefs>
    <ds:schemaRef ds:uri="http://schemas.microsoft.com/sharepoint/v3/contenttype/forms"/>
  </ds:schemaRefs>
</ds:datastoreItem>
</file>

<file path=customXml/itemProps3.xml><?xml version="1.0" encoding="utf-8"?>
<ds:datastoreItem xmlns:ds="http://schemas.openxmlformats.org/officeDocument/2006/customXml" ds:itemID="{822815B2-70CA-4FDD-8608-B872DC44F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69254-49ab-4357-a8e3-d2de4cb8988e"/>
    <ds:schemaRef ds:uri="e497de7f-3f55-4b2b-914b-220c7f44d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407</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IVANCIU Rares</dc:creator>
  <cp:keywords/>
  <dc:description/>
  <cp:lastModifiedBy>COURQUEUX Edgar</cp:lastModifiedBy>
  <cp:revision>13</cp:revision>
  <dcterms:created xsi:type="dcterms:W3CDTF">2025-02-11T09:23:00Z</dcterms:created>
  <dcterms:modified xsi:type="dcterms:W3CDTF">2025-02-12T12:42:00Z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0x0101006AFE8670A3B458408662B09ABE9EE51A</vt:lpwstr>
  </property>
</Properties>
</file>