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15803D"/>
          <w:sz w:val="22"/>
        </w:rPr>
        <w:t>UNIVERSIDAD TECNOLÓGICA DE SANTA CATARINA</w:t>
      </w:r>
    </w:p>
    <w:p>
      <w:r>
        <w:rPr>
          <w:rFonts w:ascii="Segoe UI" w:hAnsi="Segoe UI"/>
          <w:color w:val="64748B"/>
          <w:sz w:val="19"/>
        </w:rPr>
        <w:t>Ingeniería en Desarrollo y Gestión de Software — Documentación de Videojuegos</w:t>
      </w:r>
    </w:p>
    <w:tbl>
      <w:tblPr>
        <w:tblW w:type="auto" w:w="0"/>
        <w:jc w:val="center"/>
        <w:tblLayout w:type="fixed"/>
        <w:tblLook w:firstColumn="1" w:firstRow="1" w:lastColumn="0" w:lastRow="0" w:noHBand="0" w:noVBand="1" w:val="04A0"/>
      </w:tblPr>
      <w:tblGrid>
        <w:gridCol w:w="4680"/>
        <w:gridCol w:w="4680"/>
      </w:tblGrid>
      <w:tr>
        <w:tc>
          <w:tcPr>
            <w:tcW w:type="dxa" w:w="4680"/>
            <w:shd w:fill="F1F5F9"/>
            <w:tcMar>
              <w:top w:w="120" w:type="dxa"/>
              <w:bottom w:w="120" w:type="dxa"/>
              <w:left w:w="180" w:type="dxa"/>
              <w:right w:w="180" w:type="dxa"/>
            </w:tcMar>
          </w:tcPr>
          <w:p>
            <w:pPr>
              <w:spacing w:after="0"/>
            </w:pPr>
            <w:r>
              <w:rPr>
                <w:rFonts w:ascii="Segoe UI" w:hAnsi="Segoe UI"/>
                <w:b/>
                <w:color w:val="1E293B"/>
                <w:sz w:val="18"/>
              </w:rPr>
              <w:t xml:space="preserve">Alumno: </w:t>
            </w:r>
            <w:r>
              <w:rPr>
                <w:rFonts w:ascii="Segoe UI" w:hAnsi="Segoe UI"/>
                <w:color w:val="1E293B"/>
                <w:sz w:val="18"/>
              </w:rPr>
              <w:t>Orlando de Jesús Casas Dávila</w:t>
            </w:r>
          </w:p>
        </w:tc>
        <w:tc>
          <w:tcPr>
            <w:tcW w:type="dxa" w:w="4680"/>
            <w:shd w:fill="F1F5F9"/>
            <w:tcMar>
              <w:top w:w="120" w:type="dxa"/>
              <w:bottom w:w="120" w:type="dxa"/>
              <w:left w:w="180" w:type="dxa"/>
              <w:right w:w="180" w:type="dxa"/>
            </w:tcMar>
          </w:tcPr>
          <w:p>
            <w:pPr>
              <w:spacing w:after="0"/>
            </w:pPr>
            <w:r>
              <w:rPr>
                <w:rFonts w:ascii="Segoe UI" w:hAnsi="Segoe UI"/>
                <w:b/>
                <w:color w:val="1E293B"/>
                <w:sz w:val="18"/>
              </w:rPr>
              <w:t xml:space="preserve">Matrícula: </w:t>
            </w:r>
            <w:r>
              <w:rPr>
                <w:rFonts w:ascii="Segoe UI" w:hAnsi="Segoe UI"/>
                <w:color w:val="1E293B"/>
                <w:sz w:val="18"/>
              </w:rPr>
              <w:t>22034</w:t>
            </w:r>
          </w:p>
        </w:tc>
      </w:tr>
      <w:tr>
        <w:tc>
          <w:tcPr>
            <w:tcW w:type="dxa" w:w="4680"/>
            <w:shd w:fill="F1F5F9"/>
            <w:tcMar>
              <w:top w:w="120" w:type="dxa"/>
              <w:bottom w:w="120" w:type="dxa"/>
              <w:left w:w="180" w:type="dxa"/>
              <w:right w:w="180" w:type="dxa"/>
            </w:tcMar>
          </w:tcPr>
          <w:p>
            <w:pPr>
              <w:spacing w:after="0"/>
            </w:pPr>
            <w:r>
              <w:rPr>
                <w:rFonts w:ascii="Segoe UI" w:hAnsi="Segoe UI"/>
                <w:b/>
                <w:color w:val="1E293B"/>
                <w:sz w:val="18"/>
              </w:rPr>
              <w:t xml:space="preserve">Proyecto: </w:t>
            </w:r>
            <w:r>
              <w:rPr>
                <w:rFonts w:ascii="Segoe UI" w:hAnsi="Segoe UI"/>
                <w:color w:val="1E293B"/>
                <w:sz w:val="18"/>
              </w:rPr>
              <w:t>UT Apocalypse: Safe Zone Outbreak</w:t>
            </w:r>
          </w:p>
        </w:tc>
        <w:tc>
          <w:tcPr>
            <w:tcW w:type="dxa" w:w="4680"/>
            <w:shd w:fill="F1F5F9"/>
            <w:tcMar>
              <w:top w:w="120" w:type="dxa"/>
              <w:bottom w:w="120" w:type="dxa"/>
              <w:left w:w="180" w:type="dxa"/>
              <w:right w:w="180" w:type="dxa"/>
            </w:tcMar>
          </w:tcPr>
          <w:p>
            <w:pPr>
              <w:spacing w:after="0"/>
            </w:pPr>
            <w:r>
              <w:rPr>
                <w:rFonts w:ascii="Segoe UI" w:hAnsi="Segoe UI"/>
                <w:b/>
                <w:color w:val="1E293B"/>
                <w:sz w:val="18"/>
              </w:rPr>
              <w:t xml:space="preserve">Fecha: </w:t>
            </w:r>
            <w:r>
              <w:rPr>
                <w:rFonts w:ascii="Segoe UI" w:hAnsi="Segoe UI"/>
                <w:color w:val="1E293B"/>
                <w:sz w:val="18"/>
              </w:rPr>
              <w:t>21 de julio de 2026</w:t>
            </w:r>
          </w:p>
        </w:tc>
      </w:tr>
    </w:tbl>
    <w:p>
      <w:pPr>
        <w:spacing w:after="240"/>
      </w:pPr>
    </w:p>
    <w:p>
      <w:pPr>
        <w:spacing w:before="240" w:after="120"/>
      </w:pPr>
      <w:r>
        <w:rPr>
          <w:rFonts w:ascii="Segoe UI" w:hAnsi="Segoe UI"/>
          <w:b/>
          <w:color w:val="8B0000"/>
          <w:sz w:val="36"/>
        </w:rPr>
        <w:t>POLÍTICA DE PRIVACIDAD Y TÉRMINOS DEL JUEGO</w:t>
      </w:r>
    </w:p>
    <w:p>
      <w:pPr>
        <w:spacing w:after="360"/>
      </w:pPr>
      <w:r>
        <w:rPr>
          <w:rFonts w:ascii="Segoe UI" w:hAnsi="Segoe UI"/>
          <w:i/>
          <w:color w:val="64748B"/>
          <w:sz w:val="22"/>
        </w:rPr>
        <w:t>Protocolo de Datos en Entornos Virtuales de Terror y Apocalipsis Zombie</w:t>
      </w:r>
    </w:p>
    <w:p>
      <w:pPr>
        <w:keepNext/>
        <w:spacing w:before="320" w:after="120"/>
      </w:pPr>
      <w:r>
        <w:rPr>
          <w:rFonts w:ascii="Segoe UI" w:hAnsi="Segoe UI"/>
          <w:b/>
          <w:color w:val="8B0000"/>
          <w:sz w:val="26"/>
        </w:rPr>
        <w:t>1. Declaración de Mapeo y Ambientación del Juego</w:t>
      </w:r>
    </w:p>
    <w:p>
      <w:pPr>
        <w:spacing w:after="120" w:line="276" w:lineRule="auto"/>
      </w:pPr>
      <w:r>
        <w:rPr>
          <w:rFonts w:ascii="Segoe UI" w:hAnsi="Segoe UI"/>
          <w:color w:val="1E293B"/>
          <w:sz w:val="19"/>
        </w:rPr>
        <w:t>El presente título interactivo coloca al jugador en un entorno táctico apocalíptico que recrea las instalaciones de la Universidad Tecnológica (UT). El mapa del campus integra zonas infestadas de caminantes (zombies), barreras perimetrales con avisos de advertencia ('KEEP OUT', 'NO SAFE PLACE'), unidades de patrulla, ambulancias colisionadas y vegetación desértica. La experiencia incluye una interfaz y menú con elementos de terror psicológico, efectos sonoros inmersivos y alertas visuales.</w:t>
      </w:r>
    </w:p>
    <w:p>
      <w:pPr>
        <w:keepNext/>
        <w:spacing w:before="320" w:after="120"/>
      </w:pPr>
      <w:r>
        <w:rPr>
          <w:rFonts w:ascii="Segoe UI" w:hAnsi="Segoe UI"/>
          <w:b/>
          <w:color w:val="8B0000"/>
          <w:sz w:val="26"/>
        </w:rPr>
        <w:t>2. Recopilación y Telemetría de Usuario</w:t>
      </w:r>
    </w:p>
    <w:p>
      <w:pPr>
        <w:spacing w:after="120" w:line="276" w:lineRule="auto"/>
      </w:pPr>
      <w:r>
        <w:rPr>
          <w:rFonts w:ascii="Segoe UI" w:hAnsi="Segoe UI"/>
          <w:color w:val="1E293B"/>
          <w:sz w:val="19"/>
        </w:rPr>
        <w:t>Para garantizar el funcionamiento de la interfaz de menú, el renderizado de gráficos 2.5D / Top-Down y el guardado de progreso en zonas de evacuación, el sistema captura únicamente la siguiente información:</w:t>
      </w:r>
    </w:p>
    <w:p>
      <w:pPr>
        <w:spacing w:after="120" w:line="276" w:lineRule="auto"/>
      </w:pPr>
      <w:r>
        <w:rPr>
          <w:rFonts w:ascii="Segoe UI" w:hAnsi="Segoe UI"/>
          <w:b/>
          <w:color w:val="1E293B"/>
          <w:sz w:val="19"/>
        </w:rPr>
        <w:t>• Telemetría de Juego:</w:t>
      </w:r>
      <w:r>
        <w:rPr>
          <w:rFonts w:ascii="Segoe UI" w:hAnsi="Segoe UI"/>
          <w:color w:val="1E293B"/>
          <w:sz w:val="19"/>
        </w:rPr>
        <w:t xml:space="preserve"> Registra el tiempo de supervivencia, el número de bajas de caminantes y los edificios despejados dentro del campus UT.</w:t>
      </w:r>
    </w:p>
    <w:p>
      <w:pPr>
        <w:spacing w:after="120" w:line="276" w:lineRule="auto"/>
      </w:pPr>
      <w:r>
        <w:rPr>
          <w:rFonts w:ascii="Segoe UI" w:hAnsi="Segoe UI"/>
          <w:b/>
          <w:color w:val="1E293B"/>
          <w:sz w:val="19"/>
        </w:rPr>
        <w:t>• Preferencias de Interfaz:</w:t>
      </w:r>
      <w:r>
        <w:rPr>
          <w:rFonts w:ascii="Segoe UI" w:hAnsi="Segoe UI"/>
          <w:color w:val="1E293B"/>
          <w:sz w:val="19"/>
        </w:rPr>
        <w:t xml:space="preserve"> Configuración de resolución, volumen de efectos de audio de terror, brillo y mapeo de controles tácticos.</w:t>
      </w:r>
    </w:p>
    <w:p>
      <w:pPr>
        <w:spacing w:after="120" w:line="276" w:lineRule="auto"/>
      </w:pPr>
      <w:r>
        <w:rPr>
          <w:rFonts w:ascii="Segoe UI" w:hAnsi="Segoe UI"/>
          <w:b/>
          <w:color w:val="1E293B"/>
          <w:sz w:val="19"/>
        </w:rPr>
        <w:t>• Diagnóstico Técnico:</w:t>
      </w:r>
      <w:r>
        <w:rPr>
          <w:rFonts w:ascii="Segoe UI" w:hAnsi="Segoe UI"/>
          <w:color w:val="1E293B"/>
          <w:sz w:val="19"/>
        </w:rPr>
        <w:t xml:space="preserve"> Informes anónimos de fallos técnicos en caso de colapsos de renderizado o errores en la carga de texturas.</w:t>
      </w:r>
    </w:p>
    <w:p>
      <w:pPr>
        <w:keepNext/>
        <w:spacing w:before="320" w:after="120"/>
      </w:pPr>
      <w:r>
        <w:rPr>
          <w:rFonts w:ascii="Segoe UI" w:hAnsi="Segoe UI"/>
          <w:b/>
          <w:color w:val="8B0000"/>
          <w:sz w:val="26"/>
        </w:rPr>
        <w:t>3. Advertencia de Contenido y Menú Temático de Terror</w:t>
      </w:r>
    </w:p>
    <w:tbl>
      <w:tblPr>
        <w:tblW w:type="auto" w:w="0"/>
        <w:jc w:val="center"/>
        <w:tblLayout w:type="fixed"/>
        <w:tblLook w:firstColumn="1" w:firstRow="1" w:lastColumn="0" w:lastRow="0" w:noHBand="0" w:noVBand="1" w:val="04A0"/>
      </w:tblPr>
      <w:tblGrid>
        <w:gridCol w:w="9360"/>
      </w:tblGrid>
      <w:tr>
        <w:tc>
          <w:tcPr>
            <w:tcW w:type="dxa" w:w="9360"/>
            <w:shd w:fill="FFF1F2"/>
            <w:tcMar>
              <w:top w:w="140" w:type="dxa"/>
              <w:bottom w:w="140" w:type="dxa"/>
              <w:left w:w="200" w:type="dxa"/>
              <w:right w:w="200" w:type="dxa"/>
            </w:tcMar>
          </w:tcPr>
          <w:p>
            <w:pPr>
              <w:spacing w:after="0"/>
            </w:pPr>
            <w:r>
              <w:rPr>
                <w:rFonts w:ascii="Segoe UI" w:hAnsi="Segoe UI"/>
                <w:b/>
                <w:color w:val="8B0000"/>
                <w:sz w:val="19"/>
              </w:rPr>
              <w:t xml:space="preserve">AVISO DE SEGURIDAD VISUAL Y AUDITIVA: </w:t>
            </w:r>
            <w:r>
              <w:rPr>
                <w:rFonts w:ascii="Segoe UI" w:hAnsi="Segoe UI"/>
                <w:color w:val="1E293B"/>
                <w:sz w:val="19"/>
              </w:rPr>
              <w:t>El menú principal del juego cuenta con ambientación de terror visceral, efectos sonoros distorsionados y parpadeo de luces. No recomendado para usuarios con fotosensibilidad o susceptibilidad a sobresaltos graves.</w:t>
            </w:r>
          </w:p>
        </w:tc>
      </w:tr>
    </w:tbl>
    <w:p>
      <w:pPr>
        <w:spacing w:after="120"/>
      </w:pPr>
    </w:p>
    <w:p>
      <w:pPr>
        <w:keepNext/>
        <w:spacing w:before="320" w:after="120"/>
      </w:pPr>
      <w:r>
        <w:rPr>
          <w:rFonts w:ascii="Segoe UI" w:hAnsi="Segoe UI"/>
          <w:b/>
          <w:color w:val="8B0000"/>
          <w:sz w:val="26"/>
        </w:rPr>
        <w:t>4. Tratamiento Académico y Protección Institucional</w:t>
      </w:r>
    </w:p>
    <w:p>
      <w:pPr>
        <w:spacing w:after="120" w:line="276" w:lineRule="auto"/>
      </w:pPr>
      <w:r>
        <w:rPr>
          <w:rFonts w:ascii="Segoe UI" w:hAnsi="Segoe UI"/>
          <w:color w:val="1E293B"/>
          <w:sz w:val="19"/>
        </w:rPr>
        <w:t>Este proyecto de desarrollo de software ha sido concebido exclusivamente con fines académicos y de simulación de mecanicas de supervivencia. Los nombres, arquitecturas y representaciones del campus universitario no constituyen una afiliación real con situaciones de riesgo de la vida real ni comprometen datos de personal o estudiantes de la Universidad Tecnológica de Santa Catarina.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