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p>
    <w:p>
      <w:pPr>
        <w:jc w:val="center"/>
      </w:pPr>
      <w:r>
        <w:rPr>
          <w:b/>
          <w:bCs/>
          <w:caps/>
          <w:color w:val="7A1F2B"/>
          <w:sz w:val="22"/>
          <w:szCs w:val="22"/>
        </w:rPr>
        <w:t xml:space="preserve">COPILOTO PEDAGÓGICO INTELIGENTE DIFODS</w:t>
      </w:r>
    </w:p>
    <w:p>
      <w:pPr>
        <w:spacing w:before="400"/>
        <w:jc w:val="center"/>
      </w:pPr>
      <w:r>
        <w:rPr>
          <w:b/>
          <w:bCs/>
          <w:color w:val="222222"/>
          <w:sz w:val="44"/>
          <w:szCs w:val="44"/>
        </w:rPr>
        <w:t xml:space="preserve">Reporte de sistematización</w:t>
      </w:r>
    </w:p>
    <w:p>
      <w:pPr>
        <w:spacing w:before="200"/>
        <w:jc w:val="center"/>
      </w:pPr>
      <w:r>
        <w:rPr>
          <w:color w:val="444444"/>
          <w:sz w:val="26"/>
          <w:szCs w:val="26"/>
        </w:rPr>
        <w:t xml:space="preserve">Criterios pedagógicos, fuentes documentales y modelo de retroalimentación con rúbricas y embeddings para las actividades del aula virtual Moodle</w:t>
      </w:r>
    </w:p>
    <w:p>
      <w:pPr>
        <w:spacing w:before="700"/>
        <w:jc w:val="center"/>
      </w:pPr>
      <w:r>
        <w:rPr>
          <w:i/>
          <w:iCs/>
          <w:color w:val="444444"/>
          <w:sz w:val="22"/>
          <w:szCs w:val="22"/>
        </w:rPr>
        <w:t xml:space="preserve">Actividad del Diplomado 2026 — Línea Base</w:t>
      </w:r>
    </w:p>
    <w:p>
      <w:pPr>
        <w:spacing w:after="1400"/>
      </w:pPr>
    </w:p>
    <w:p>
      <w:pPr>
        <w:jc w:val="center"/>
      </w:pPr>
      <w:r>
        <w:rPr>
          <w:sz w:val="22"/>
          <w:szCs w:val="22"/>
        </w:rPr>
        <w:t xml:space="preserve">Elaborado por: Edgar</w:t>
      </w:r>
    </w:p>
    <w:p>
      <w:pPr>
        <w:jc w:val="center"/>
      </w:pPr>
      <w:r>
        <w:rPr>
          <w:sz w:val="22"/>
          <w:szCs w:val="22"/>
        </w:rPr>
        <w:t xml:space="preserve">14 de septiembre de 2026</w:t>
      </w:r>
    </w:p>
    <w:p>
      <w:pPr>
        <w:pageBreakBefore/>
      </w:pPr>
      <w:r>
        <w:t xml:space="preserve"/>
      </w:r>
    </w:p>
    <w:p>
      <w:pPr>
        <w:pStyle w:val="Heading1"/>
        <w:pBdr>
          <w:bottom w:val="single" w:color="7A1F2B" w:sz="8" w:space="4"/>
        </w:pBdr>
        <w:spacing w:after="160" w:before="360"/>
      </w:pPr>
      <w:r>
        <w:rPr>
          <w:b/>
          <w:bCs/>
          <w:color w:val="7A1F2B"/>
          <w:sz w:val="28"/>
          <w:szCs w:val="28"/>
        </w:rPr>
        <w:t xml:space="preserve">1. Introducción</w:t>
      </w:r>
    </w:p>
    <w:p>
      <w:pPr>
        <w:spacing w:after="160" w:line="300"/>
        <w:jc w:val="both"/>
      </w:pPr>
      <w:r>
        <w:rPr>
          <w:sz w:val="22"/>
          <w:szCs w:val="22"/>
        </w:rPr>
        <w:t xml:space="preserve">El presente reporte responde a la actividad asignada en el marco del Diplomado 2026, orientada a sistematizar (a) los criterios pedagógicos, las orientaciones metodológicas y las fuentes documentales requeridas para generar retroalimentación sobre las actividades del aula virtual en Moodle, y (b) los documentos del diplomado que el docente participante sube como parte de su compromiso con el programa, articulados mediante rúbricas y un componente de representación semántica (embeddings) que permite una retroalimentación consolidada.</w:t>
      </w:r>
    </w:p>
    <w:p>
      <w:pPr>
        <w:spacing w:after="160" w:line="300"/>
        <w:jc w:val="both"/>
      </w:pPr>
      <w:r>
        <w:rPr>
          <w:sz w:val="22"/>
          <w:szCs w:val="22"/>
        </w:rPr>
        <w:t xml:space="preserve">El desarrollo que se presenta a continuación toma como base el sistema “Copiloto Pedagógico Inteligente DIFODS”, una plataforma institucional implementada durante el diplomado que se conecta con Moodle, organiza las evidencias entregadas por cada docente en un expediente trazable y prepara señales de retroalimentación fundamentadas en citas verificables, siempre sujetas a validación del especialista pedagógico. El principio rector del sistema es que la inteligencia artificial prepara, organiza y sustenta información; el especialista interpreta, valida y decide.</w:t>
      </w:r>
    </w:p>
    <w:p>
      <w:pPr>
        <w:pBdr>
          <w:left w:val="single" w:color="7A1F2B" w:sz="18" w:space="8"/>
        </w:pBdr>
        <w:shd w:fill="F5E6E8" w:val="clear"/>
        <w:spacing w:after="200" w:before="120"/>
        <w:ind w:left="400" w:right="400"/>
      </w:pPr>
      <w:r>
        <w:rPr>
          <w:i/>
          <w:iCs/>
          <w:color w:val="3A3A3A"/>
          <w:sz w:val="20"/>
          <w:szCs w:val="20"/>
        </w:rPr>
        <w:t xml:space="preserve">“Ningún indicador generado por IA se convierte por sí solo en una calificación o decisión oficial: toda afirmación debe estar acompañada de al menos una cita o evidencia verificable en la fuente original.”</w:t>
      </w:r>
    </w:p>
    <w:p>
      <w:pPr>
        <w:spacing w:after="160" w:line="300"/>
        <w:jc w:val="both"/>
      </w:pPr>
      <w:r>
        <w:rPr>
          <w:sz w:val="22"/>
          <w:szCs w:val="22"/>
        </w:rPr>
        <w:t xml:space="preserve">El reporte se organiza en dos partes que corresponden a los dos componentes de la actividad, seguidas de una sección transversal de consideraciones éticas y de gobierno de la IA, y las conclusiones.</w:t>
      </w:r>
    </w:p>
    <w:p>
      <w:pPr>
        <w:pStyle w:val="Heading1"/>
        <w:pBdr>
          <w:bottom w:val="single" w:color="7A1F2B" w:sz="8" w:space="4"/>
        </w:pBdr>
        <w:spacing w:after="160" w:before="360"/>
      </w:pPr>
      <w:r>
        <w:rPr>
          <w:b/>
          <w:bCs/>
          <w:color w:val="7A1F2B"/>
          <w:sz w:val="28"/>
          <w:szCs w:val="28"/>
        </w:rPr>
        <w:t xml:space="preserve">2. Objetivos del reporte</w:t>
      </w:r>
    </w:p>
    <w:p>
      <w:pPr>
        <w:pStyle w:val="ListParagraph"/>
        <w:numPr>
          <w:ilvl w:val="0"/>
          <w:numId w:val="2"/>
        </w:numPr>
        <w:spacing w:after="90" w:line="280"/>
      </w:pPr>
      <w:r>
        <w:rPr>
          <w:sz w:val="22"/>
          <w:szCs w:val="22"/>
        </w:rPr>
        <w:t xml:space="preserve">Sistematizar los criterios pedagógicos, las orientaciones metodológicas y las fuentes documentales que la plataforma exige y utiliza para generar retroalimentación sobre las actividades del aula virtual de Moodle.</w:t>
      </w:r>
    </w:p>
    <w:p>
      <w:pPr>
        <w:pStyle w:val="ListParagraph"/>
        <w:numPr>
          <w:ilvl w:val="0"/>
          <w:numId w:val="2"/>
        </w:numPr>
        <w:spacing w:after="90" w:line="280"/>
      </w:pPr>
      <w:r>
        <w:rPr>
          <w:sz w:val="22"/>
          <w:szCs w:val="22"/>
        </w:rPr>
        <w:t xml:space="preserve">Sistematizar el tratamiento de los documentos del diplomado que el docente sube como evidencia de su compromiso con el programa, describiendo cómo se combinan rúbricas y un componente de comparación/representación semántica (embeddings) para producir una retroalimentación consolidada por expediente.</w:t>
      </w:r>
    </w:p>
    <w:p>
      <w:pPr>
        <w:pStyle w:val="Heading1"/>
        <w:pBdr>
          <w:bottom w:val="single" w:color="7A1F2B" w:sz="8" w:space="4"/>
        </w:pBdr>
        <w:spacing w:after="160" w:before="360"/>
      </w:pPr>
      <w:r>
        <w:rPr>
          <w:b/>
          <w:bCs/>
          <w:color w:val="7A1F2B"/>
          <w:sz w:val="28"/>
          <w:szCs w:val="28"/>
        </w:rPr>
        <w:t xml:space="preserve">3. Parte I — Criterios pedagógicos, orientaciones metodológicas y fuentes documentales</w:t>
      </w:r>
    </w:p>
    <w:p>
      <w:pPr>
        <w:pStyle w:val="Heading2"/>
        <w:spacing w:after="120" w:before="260"/>
      </w:pPr>
      <w:r>
        <w:rPr>
          <w:b/>
          <w:bCs/>
          <w:color w:val="2B2B2B"/>
          <w:sz w:val="24"/>
          <w:szCs w:val="24"/>
        </w:rPr>
        <w:t xml:space="preserve">3.1 Fuentes documentales requeridas desde Moodle</w:t>
      </w:r>
    </w:p>
    <w:p>
      <w:pPr>
        <w:spacing w:after="160" w:line="300"/>
        <w:jc w:val="both"/>
      </w:pPr>
      <w:r>
        <w:rPr>
          <w:sz w:val="22"/>
          <w:szCs w:val="22"/>
        </w:rPr>
        <w:t xml:space="preserve">La plataforma no analiza documentos aislados: cada evidencia se vincula a una actividad (courseid/cmid) y a una entrega (submission) dentro de Moodle, conservando la relación “usuario Moodle → curso → actividad → entrega/intento → archivos”. Los tipos de evidencia contemplados como fuente documental para la retroalimentación son los siguientes: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300"/>
        <w:gridCol w:w="1600"/>
        <w:gridCol w:w="2900"/>
        <w:gridCol w:w="3000"/>
      </w:tblGrid>
      <w:tr>
        <w:tc>
          <w:tcPr>
            <w:tcW w:type="dxa" w:w="2300"/>
            <w:shd w:fill="7A1F2B" w:val="clear"/>
            <w:tcMar>
              <w:top w:type="dxa" w:w="80"/>
              <w:left w:type="dxa" w:w="100"/>
              <w:bottom w:type="dxa" w:w="80"/>
              <w:right w:type="dxa" w:w="100"/>
            </w:tcMar>
            <w:vAlign w:val="center"/>
          </w:tcPr>
          <w:p>
            <w:r>
              <w:rPr>
                <w:b/>
                <w:bCs/>
                <w:color w:val="FFFFFF"/>
                <w:sz w:val="20"/>
                <w:szCs w:val="20"/>
              </w:rPr>
              <w:t xml:space="preserve">Tipo de evidencia</w:t>
            </w:r>
          </w:p>
        </w:tc>
        <w:tc>
          <w:tcPr>
            <w:tcW w:type="dxa" w:w="1600"/>
            <w:shd w:fill="7A1F2B" w:val="clear"/>
            <w:tcMar>
              <w:top w:type="dxa" w:w="80"/>
              <w:left w:type="dxa" w:w="100"/>
              <w:bottom w:type="dxa" w:w="80"/>
              <w:right w:type="dxa" w:w="100"/>
            </w:tcMar>
            <w:vAlign w:val="center"/>
          </w:tcPr>
          <w:p>
            <w:r>
              <w:rPr>
                <w:b/>
                <w:bCs/>
                <w:color w:val="FFFFFF"/>
                <w:sz w:val="20"/>
                <w:szCs w:val="20"/>
              </w:rPr>
              <w:t xml:space="preserve">Formato típico</w:t>
            </w:r>
          </w:p>
        </w:tc>
        <w:tc>
          <w:tcPr>
            <w:tcW w:type="dxa" w:w="2900"/>
            <w:shd w:fill="7A1F2B" w:val="clear"/>
            <w:tcMar>
              <w:top w:type="dxa" w:w="80"/>
              <w:left w:type="dxa" w:w="100"/>
              <w:bottom w:type="dxa" w:w="80"/>
              <w:right w:type="dxa" w:w="100"/>
            </w:tcMar>
            <w:vAlign w:val="center"/>
          </w:tcPr>
          <w:p>
            <w:r>
              <w:rPr>
                <w:b/>
                <w:bCs/>
                <w:color w:val="FFFFFF"/>
                <w:sz w:val="20"/>
                <w:szCs w:val="20"/>
              </w:rPr>
              <w:t xml:space="preserve">Origen en Moodle</w:t>
            </w:r>
          </w:p>
        </w:tc>
        <w:tc>
          <w:tcPr>
            <w:tcW w:type="dxa" w:w="3000"/>
            <w:shd w:fill="7A1F2B" w:val="clear"/>
            <w:tcMar>
              <w:top w:type="dxa" w:w="80"/>
              <w:left w:type="dxa" w:w="100"/>
              <w:bottom w:type="dxa" w:w="80"/>
              <w:right w:type="dxa" w:w="100"/>
            </w:tcMar>
            <w:vAlign w:val="center"/>
          </w:tcPr>
          <w:p>
            <w:r>
              <w:rPr>
                <w:b/>
                <w:bCs/>
                <w:color w:val="FFFFFF"/>
                <w:sz w:val="20"/>
                <w:szCs w:val="20"/>
              </w:rPr>
              <w:t xml:space="preserve">Rol en la retroalimentación</w:t>
            </w:r>
          </w:p>
        </w:tc>
      </w:tr>
      <w:tr>
        <w:tc>
          <w:tcPr>
            <w:tcW w:type="dxa" w:w="2300"/>
            <w:shd w:fill="FFFFFF" w:val="clear"/>
            <w:tcMar>
              <w:top w:type="dxa" w:w="80"/>
              <w:left w:type="dxa" w:w="100"/>
              <w:bottom w:type="dxa" w:w="80"/>
              <w:right w:type="dxa" w:w="100"/>
            </w:tcMar>
            <w:vAlign w:val="center"/>
          </w:tcPr>
          <w:p>
            <w:r>
              <w:rPr>
                <w:b w:val="false"/>
                <w:bCs w:val="false"/>
                <w:color w:val="222222"/>
                <w:sz w:val="20"/>
                <w:szCs w:val="20"/>
              </w:rPr>
              <w:t xml:space="preserve">Unidad didáctica</w:t>
            </w:r>
          </w:p>
        </w:tc>
        <w:tc>
          <w:tcPr>
            <w:tcW w:type="dxa" w:w="1600"/>
            <w:shd w:fill="FFFFFF" w:val="clear"/>
            <w:tcMar>
              <w:top w:type="dxa" w:w="80"/>
              <w:left w:type="dxa" w:w="100"/>
              <w:bottom w:type="dxa" w:w="80"/>
              <w:right w:type="dxa" w:w="100"/>
            </w:tcMar>
            <w:vAlign w:val="center"/>
          </w:tcPr>
          <w:p>
            <w:r>
              <w:rPr>
                <w:b w:val="false"/>
                <w:bCs w:val="false"/>
                <w:color w:val="222222"/>
                <w:sz w:val="20"/>
                <w:szCs w:val="20"/>
              </w:rPr>
              <w:t xml:space="preserve">PDF / DOCX</w:t>
            </w:r>
          </w:p>
        </w:tc>
        <w:tc>
          <w:tcPr>
            <w:tcW w:type="dxa" w:w="2900"/>
            <w:shd w:fill="FFFFFF" w:val="clear"/>
            <w:tcMar>
              <w:top w:type="dxa" w:w="80"/>
              <w:left w:type="dxa" w:w="100"/>
              <w:bottom w:type="dxa" w:w="80"/>
              <w:right w:type="dxa" w:w="100"/>
            </w:tcMar>
            <w:vAlign w:val="center"/>
          </w:tcPr>
          <w:p>
            <w:r>
              <w:rPr>
                <w:b w:val="false"/>
                <w:bCs w:val="false"/>
                <w:color w:val="222222"/>
                <w:sz w:val="20"/>
                <w:szCs w:val="20"/>
              </w:rPr>
              <w:t xml:space="preserve">Entrega mod_assign del CMID de planificación</w:t>
            </w:r>
          </w:p>
        </w:tc>
        <w:tc>
          <w:tcPr>
            <w:tcW w:type="dxa" w:w="3000"/>
            <w:shd w:fill="FFFFFF" w:val="clear"/>
            <w:tcMar>
              <w:top w:type="dxa" w:w="80"/>
              <w:left w:type="dxa" w:w="100"/>
              <w:bottom w:type="dxa" w:w="80"/>
              <w:right w:type="dxa" w:w="100"/>
            </w:tcMar>
            <w:vAlign w:val="center"/>
          </w:tcPr>
          <w:p>
            <w:r>
              <w:rPr>
                <w:b w:val="false"/>
                <w:bCs w:val="false"/>
                <w:color w:val="222222"/>
                <w:sz w:val="20"/>
                <w:szCs w:val="20"/>
              </w:rPr>
              <w:t xml:space="preserve">Sustento de propósitos, competencias y coherencia curricular</w:t>
            </w:r>
          </w:p>
        </w:tc>
      </w:tr>
      <w:tr>
        <w:tc>
          <w:tcPr>
            <w:tcW w:type="dxa" w:w="2300"/>
            <w:shd w:fill="F7F1F1" w:val="clear"/>
            <w:tcMar>
              <w:top w:type="dxa" w:w="80"/>
              <w:left w:type="dxa" w:w="100"/>
              <w:bottom w:type="dxa" w:w="80"/>
              <w:right w:type="dxa" w:w="100"/>
            </w:tcMar>
            <w:vAlign w:val="center"/>
          </w:tcPr>
          <w:p>
            <w:r>
              <w:rPr>
                <w:b w:val="false"/>
                <w:bCs w:val="false"/>
                <w:color w:val="222222"/>
                <w:sz w:val="20"/>
                <w:szCs w:val="20"/>
              </w:rPr>
              <w:t xml:space="preserve">Sesiones de aprendizaje (dos)</w:t>
            </w:r>
          </w:p>
        </w:tc>
        <w:tc>
          <w:tcPr>
            <w:tcW w:type="dxa" w:w="1600"/>
            <w:shd w:fill="F7F1F1" w:val="clear"/>
            <w:tcMar>
              <w:top w:type="dxa" w:w="80"/>
              <w:left w:type="dxa" w:w="100"/>
              <w:bottom w:type="dxa" w:w="80"/>
              <w:right w:type="dxa" w:w="100"/>
            </w:tcMar>
            <w:vAlign w:val="center"/>
          </w:tcPr>
          <w:p>
            <w:r>
              <w:rPr>
                <w:b w:val="false"/>
                <w:bCs w:val="false"/>
                <w:color w:val="222222"/>
                <w:sz w:val="20"/>
                <w:szCs w:val="20"/>
              </w:rPr>
              <w:t xml:space="preserve">PDF / DOCX</w:t>
            </w:r>
          </w:p>
        </w:tc>
        <w:tc>
          <w:tcPr>
            <w:tcW w:type="dxa" w:w="2900"/>
            <w:shd w:fill="F7F1F1" w:val="clear"/>
            <w:tcMar>
              <w:top w:type="dxa" w:w="80"/>
              <w:left w:type="dxa" w:w="100"/>
              <w:bottom w:type="dxa" w:w="80"/>
              <w:right w:type="dxa" w:w="100"/>
            </w:tcMar>
            <w:vAlign w:val="center"/>
          </w:tcPr>
          <w:p>
            <w:r>
              <w:rPr>
                <w:b w:val="false"/>
                <w:bCs w:val="false"/>
                <w:color w:val="222222"/>
                <w:sz w:val="20"/>
                <w:szCs w:val="20"/>
              </w:rPr>
              <w:t xml:space="preserve">Entregas mod_assign por sesión</w:t>
            </w:r>
          </w:p>
        </w:tc>
        <w:tc>
          <w:tcPr>
            <w:tcW w:type="dxa" w:w="3000"/>
            <w:shd w:fill="F7F1F1" w:val="clear"/>
            <w:tcMar>
              <w:top w:type="dxa" w:w="80"/>
              <w:left w:type="dxa" w:w="100"/>
              <w:bottom w:type="dxa" w:w="80"/>
              <w:right w:type="dxa" w:w="100"/>
            </w:tcMar>
            <w:vAlign w:val="center"/>
          </w:tcPr>
          <w:p>
            <w:r>
              <w:rPr>
                <w:b w:val="false"/>
                <w:bCs w:val="false"/>
                <w:color w:val="222222"/>
                <w:sz w:val="20"/>
                <w:szCs w:val="20"/>
              </w:rPr>
              <w:t xml:space="preserve">Evidencia de estrategias metodológicas y secuencia didáctica</w:t>
            </w:r>
          </w:p>
        </w:tc>
      </w:tr>
      <w:tr>
        <w:tc>
          <w:tcPr>
            <w:tcW w:type="dxa" w:w="2300"/>
            <w:shd w:fill="FFFFFF" w:val="clear"/>
            <w:tcMar>
              <w:top w:type="dxa" w:w="80"/>
              <w:left w:type="dxa" w:w="100"/>
              <w:bottom w:type="dxa" w:w="80"/>
              <w:right w:type="dxa" w:w="100"/>
            </w:tcMar>
            <w:vAlign w:val="center"/>
          </w:tcPr>
          <w:p>
            <w:r>
              <w:rPr>
                <w:b w:val="false"/>
                <w:bCs w:val="false"/>
                <w:color w:val="222222"/>
                <w:sz w:val="20"/>
                <w:szCs w:val="20"/>
              </w:rPr>
              <w:t xml:space="preserve">Sesión priorizada / video de clase</w:t>
            </w:r>
          </w:p>
        </w:tc>
        <w:tc>
          <w:tcPr>
            <w:tcW w:type="dxa" w:w="1600"/>
            <w:shd w:fill="FFFFFF" w:val="clear"/>
            <w:tcMar>
              <w:top w:type="dxa" w:w="80"/>
              <w:left w:type="dxa" w:w="100"/>
              <w:bottom w:type="dxa" w:w="80"/>
              <w:right w:type="dxa" w:w="100"/>
            </w:tcMar>
            <w:vAlign w:val="center"/>
          </w:tcPr>
          <w:p>
            <w:r>
              <w:rPr>
                <w:b w:val="false"/>
                <w:bCs w:val="false"/>
                <w:color w:val="222222"/>
                <w:sz w:val="20"/>
                <w:szCs w:val="20"/>
              </w:rPr>
              <w:t xml:space="preserve">MP4</w:t>
            </w:r>
          </w:p>
        </w:tc>
        <w:tc>
          <w:tcPr>
            <w:tcW w:type="dxa" w:w="2900"/>
            <w:shd w:fill="FFFFFF" w:val="clear"/>
            <w:tcMar>
              <w:top w:type="dxa" w:w="80"/>
              <w:left w:type="dxa" w:w="100"/>
              <w:bottom w:type="dxa" w:w="80"/>
              <w:right w:type="dxa" w:w="100"/>
            </w:tcMar>
            <w:vAlign w:val="center"/>
          </w:tcPr>
          <w:p>
            <w:r>
              <w:rPr>
                <w:b w:val="false"/>
                <w:bCs w:val="false"/>
                <w:color w:val="222222"/>
                <w:sz w:val="20"/>
                <w:szCs w:val="20"/>
              </w:rPr>
              <w:t xml:space="preserve">Entrega mod_assign de video</w:t>
            </w:r>
          </w:p>
        </w:tc>
        <w:tc>
          <w:tcPr>
            <w:tcW w:type="dxa" w:w="3000"/>
            <w:shd w:fill="FFFFFF" w:val="clear"/>
            <w:tcMar>
              <w:top w:type="dxa" w:w="80"/>
              <w:left w:type="dxa" w:w="100"/>
              <w:bottom w:type="dxa" w:w="80"/>
              <w:right w:type="dxa" w:w="100"/>
            </w:tcMar>
            <w:vAlign w:val="center"/>
          </w:tcPr>
          <w:p>
            <w:r>
              <w:rPr>
                <w:b w:val="false"/>
                <w:bCs w:val="false"/>
                <w:color w:val="222222"/>
                <w:sz w:val="20"/>
                <w:szCs w:val="20"/>
              </w:rPr>
              <w:t xml:space="preserve">Evidencia observable de conducción, preguntas y retroalimentación en el aula</w:t>
            </w:r>
          </w:p>
        </w:tc>
      </w:tr>
      <w:tr>
        <w:tc>
          <w:tcPr>
            <w:tcW w:type="dxa" w:w="2300"/>
            <w:shd w:fill="F7F1F1" w:val="clear"/>
            <w:tcMar>
              <w:top w:type="dxa" w:w="80"/>
              <w:left w:type="dxa" w:w="100"/>
              <w:bottom w:type="dxa" w:w="80"/>
              <w:right w:type="dxa" w:w="100"/>
            </w:tcMar>
            <w:vAlign w:val="center"/>
          </w:tcPr>
          <w:p>
            <w:r>
              <w:rPr>
                <w:b w:val="false"/>
                <w:bCs w:val="false"/>
                <w:color w:val="222222"/>
                <w:sz w:val="20"/>
                <w:szCs w:val="20"/>
              </w:rPr>
              <w:t xml:space="preserve">Instrumentos de evaluación</w:t>
            </w:r>
          </w:p>
        </w:tc>
        <w:tc>
          <w:tcPr>
            <w:tcW w:type="dxa" w:w="1600"/>
            <w:shd w:fill="F7F1F1" w:val="clear"/>
            <w:tcMar>
              <w:top w:type="dxa" w:w="80"/>
              <w:left w:type="dxa" w:w="100"/>
              <w:bottom w:type="dxa" w:w="80"/>
              <w:right w:type="dxa" w:w="100"/>
            </w:tcMar>
            <w:vAlign w:val="center"/>
          </w:tcPr>
          <w:p>
            <w:r>
              <w:rPr>
                <w:b w:val="false"/>
                <w:bCs w:val="false"/>
                <w:color w:val="222222"/>
                <w:sz w:val="20"/>
                <w:szCs w:val="20"/>
              </w:rPr>
              <w:t xml:space="preserve">PDF / DOCX</w:t>
            </w:r>
          </w:p>
        </w:tc>
        <w:tc>
          <w:tcPr>
            <w:tcW w:type="dxa" w:w="2900"/>
            <w:shd w:fill="F7F1F1" w:val="clear"/>
            <w:tcMar>
              <w:top w:type="dxa" w:w="80"/>
              <w:left w:type="dxa" w:w="100"/>
              <w:bottom w:type="dxa" w:w="80"/>
              <w:right w:type="dxa" w:w="100"/>
            </w:tcMar>
            <w:vAlign w:val="center"/>
          </w:tcPr>
          <w:p>
            <w:r>
              <w:rPr>
                <w:b w:val="false"/>
                <w:bCs w:val="false"/>
                <w:color w:val="222222"/>
                <w:sz w:val="20"/>
                <w:szCs w:val="20"/>
              </w:rPr>
              <w:t xml:space="preserve">Entrega mod_assign de evaluación</w:t>
            </w:r>
          </w:p>
        </w:tc>
        <w:tc>
          <w:tcPr>
            <w:tcW w:type="dxa" w:w="3000"/>
            <w:shd w:fill="F7F1F1" w:val="clear"/>
            <w:tcMar>
              <w:top w:type="dxa" w:w="80"/>
              <w:left w:type="dxa" w:w="100"/>
              <w:bottom w:type="dxa" w:w="80"/>
              <w:right w:type="dxa" w:w="100"/>
            </w:tcMar>
            <w:vAlign w:val="center"/>
          </w:tcPr>
          <w:p>
            <w:r>
              <w:rPr>
                <w:b w:val="false"/>
                <w:bCs w:val="false"/>
                <w:color w:val="222222"/>
                <w:sz w:val="20"/>
                <w:szCs w:val="20"/>
              </w:rPr>
              <w:t xml:space="preserve">Sustento de evaluación formativa y criterios de logro</w:t>
            </w:r>
          </w:p>
        </w:tc>
      </w:tr>
      <w:tr>
        <w:tc>
          <w:tcPr>
            <w:tcW w:type="dxa" w:w="2300"/>
            <w:shd w:fill="FFFFFF" w:val="clear"/>
            <w:tcMar>
              <w:top w:type="dxa" w:w="80"/>
              <w:left w:type="dxa" w:w="100"/>
              <w:bottom w:type="dxa" w:w="80"/>
              <w:right w:type="dxa" w:w="100"/>
            </w:tcMar>
            <w:vAlign w:val="center"/>
          </w:tcPr>
          <w:p>
            <w:r>
              <w:rPr>
                <w:b w:val="false"/>
                <w:bCs w:val="false"/>
                <w:color w:val="222222"/>
                <w:sz w:val="20"/>
                <w:szCs w:val="20"/>
              </w:rPr>
              <w:t xml:space="preserve">Trabajos de tres estudiantes</w:t>
            </w:r>
          </w:p>
        </w:tc>
        <w:tc>
          <w:tcPr>
            <w:tcW w:type="dxa" w:w="1600"/>
            <w:shd w:fill="FFFFFF" w:val="clear"/>
            <w:tcMar>
              <w:top w:type="dxa" w:w="80"/>
              <w:left w:type="dxa" w:w="100"/>
              <w:bottom w:type="dxa" w:w="80"/>
              <w:right w:type="dxa" w:w="100"/>
            </w:tcMar>
            <w:vAlign w:val="center"/>
          </w:tcPr>
          <w:p>
            <w:r>
              <w:rPr>
                <w:b w:val="false"/>
                <w:bCs w:val="false"/>
                <w:color w:val="222222"/>
                <w:sz w:val="20"/>
                <w:szCs w:val="20"/>
              </w:rPr>
              <w:t xml:space="preserve">PDF / imagen</w:t>
            </w:r>
          </w:p>
        </w:tc>
        <w:tc>
          <w:tcPr>
            <w:tcW w:type="dxa" w:w="2900"/>
            <w:shd w:fill="FFFFFF" w:val="clear"/>
            <w:tcMar>
              <w:top w:type="dxa" w:w="80"/>
              <w:left w:type="dxa" w:w="100"/>
              <w:bottom w:type="dxa" w:w="80"/>
              <w:right w:type="dxa" w:w="100"/>
            </w:tcMar>
            <w:vAlign w:val="center"/>
          </w:tcPr>
          <w:p>
            <w:r>
              <w:rPr>
                <w:b w:val="false"/>
                <w:bCs w:val="false"/>
                <w:color w:val="222222"/>
                <w:sz w:val="20"/>
                <w:szCs w:val="20"/>
              </w:rPr>
              <w:t xml:space="preserve">Entregas mod_assign de productos</w:t>
            </w:r>
          </w:p>
        </w:tc>
        <w:tc>
          <w:tcPr>
            <w:tcW w:type="dxa" w:w="3000"/>
            <w:shd w:fill="FFFFFF" w:val="clear"/>
            <w:tcMar>
              <w:top w:type="dxa" w:w="80"/>
              <w:left w:type="dxa" w:w="100"/>
              <w:bottom w:type="dxa" w:w="80"/>
              <w:right w:type="dxa" w:w="100"/>
            </w:tcMar>
            <w:vAlign w:val="center"/>
          </w:tcPr>
          <w:p>
            <w:r>
              <w:rPr>
                <w:b w:val="false"/>
                <w:bCs w:val="false"/>
                <w:color w:val="222222"/>
                <w:sz w:val="20"/>
                <w:szCs w:val="20"/>
              </w:rPr>
              <w:t xml:space="preserve">Evidencia de evaluación formativa y retroalimentación aplicada</w:t>
            </w:r>
          </w:p>
        </w:tc>
      </w:tr>
      <w:tr>
        <w:tc>
          <w:tcPr>
            <w:tcW w:type="dxa" w:w="2300"/>
            <w:shd w:fill="F7F1F1" w:val="clear"/>
            <w:tcMar>
              <w:top w:type="dxa" w:w="80"/>
              <w:left w:type="dxa" w:w="100"/>
              <w:bottom w:type="dxa" w:w="80"/>
              <w:right w:type="dxa" w:w="100"/>
            </w:tcMar>
            <w:vAlign w:val="center"/>
          </w:tcPr>
          <w:p>
            <w:r>
              <w:rPr>
                <w:b w:val="false"/>
                <w:bCs w:val="false"/>
                <w:color w:val="222222"/>
                <w:sz w:val="20"/>
                <w:szCs w:val="20"/>
              </w:rPr>
              <w:t xml:space="preserve">Narración reflexiva del docente</w:t>
            </w:r>
          </w:p>
        </w:tc>
        <w:tc>
          <w:tcPr>
            <w:tcW w:type="dxa" w:w="1600"/>
            <w:shd w:fill="F7F1F1" w:val="clear"/>
            <w:tcMar>
              <w:top w:type="dxa" w:w="80"/>
              <w:left w:type="dxa" w:w="100"/>
              <w:bottom w:type="dxa" w:w="80"/>
              <w:right w:type="dxa" w:w="100"/>
            </w:tcMar>
            <w:vAlign w:val="center"/>
          </w:tcPr>
          <w:p>
            <w:r>
              <w:rPr>
                <w:b w:val="false"/>
                <w:bCs w:val="false"/>
                <w:color w:val="222222"/>
                <w:sz w:val="20"/>
                <w:szCs w:val="20"/>
              </w:rPr>
              <w:t xml:space="preserve">DOCX</w:t>
            </w:r>
          </w:p>
        </w:tc>
        <w:tc>
          <w:tcPr>
            <w:tcW w:type="dxa" w:w="2900"/>
            <w:shd w:fill="F7F1F1" w:val="clear"/>
            <w:tcMar>
              <w:top w:type="dxa" w:w="80"/>
              <w:left w:type="dxa" w:w="100"/>
              <w:bottom w:type="dxa" w:w="80"/>
              <w:right w:type="dxa" w:w="100"/>
            </w:tcMar>
            <w:vAlign w:val="center"/>
          </w:tcPr>
          <w:p>
            <w:r>
              <w:rPr>
                <w:b w:val="false"/>
                <w:bCs w:val="false"/>
                <w:color w:val="222222"/>
                <w:sz w:val="20"/>
                <w:szCs w:val="20"/>
              </w:rPr>
              <w:t xml:space="preserve">Entrega mod_assign de reflexión</w:t>
            </w:r>
          </w:p>
        </w:tc>
        <w:tc>
          <w:tcPr>
            <w:tcW w:type="dxa" w:w="3000"/>
            <w:shd w:fill="F7F1F1" w:val="clear"/>
            <w:tcMar>
              <w:top w:type="dxa" w:w="80"/>
              <w:left w:type="dxa" w:w="100"/>
              <w:bottom w:type="dxa" w:w="80"/>
              <w:right w:type="dxa" w:w="100"/>
            </w:tcMar>
            <w:vAlign w:val="center"/>
          </w:tcPr>
          <w:p>
            <w:r>
              <w:rPr>
                <w:b w:val="false"/>
                <w:bCs w:val="false"/>
                <w:color w:val="222222"/>
                <w:sz w:val="20"/>
                <w:szCs w:val="20"/>
              </w:rPr>
              <w:t xml:space="preserve">Evidencia de autocrítica y acciones de mejora</w:t>
            </w:r>
          </w:p>
        </w:tc>
      </w:tr>
    </w:tbl>
    <w:p>
      <w:pPr>
        <w:spacing w:after="160"/>
      </w:pPr>
    </w:p>
    <w:p>
      <w:pPr>
        <w:spacing w:after="160" w:line="300"/>
        <w:jc w:val="both"/>
      </w:pPr>
      <w:r>
        <w:rPr>
          <w:sz w:val="22"/>
          <w:szCs w:val="22"/>
        </w:rPr>
        <w:t xml:space="preserve">La importación desde Moodle admite tres modos de extracción: por identificador de curso (courseid), por identificador de módulo/actividad (cmid) o por lista de hasta cien usuarios (username). En los tres casos la plataforma presenta una vista previa antes de persistir información y agrupa los archivos por docente, evitando duplicar contenido idéntico mediante el cálculo de un hash (content hash) por archivo. El token de acceso a Moodle permanece siempre en el backend: el especialista visualiza los archivos mediante un proxy autenticado, sin exponer credenciales al navegador.</w:t>
      </w:r>
    </w:p>
    <w:p>
      <w:pPr>
        <w:pStyle w:val="Heading2"/>
        <w:spacing w:after="120" w:before="260"/>
      </w:pPr>
      <w:r>
        <w:rPr>
          <w:b/>
          <w:bCs/>
          <w:color w:val="2B2B2B"/>
          <w:sz w:val="24"/>
          <w:szCs w:val="24"/>
        </w:rPr>
        <w:t xml:space="preserve">3.2 Ficha de criterios pedagógicos por actividad</w:t>
      </w:r>
    </w:p>
    <w:p>
      <w:pPr>
        <w:spacing w:after="160" w:line="300"/>
        <w:jc w:val="both"/>
      </w:pPr>
      <w:r>
        <w:rPr>
          <w:sz w:val="22"/>
          <w:szCs w:val="22"/>
        </w:rPr>
        <w:t xml:space="preserve">Para cada actividad (curso + CMID) se registra una ficha de revisión — el equivalente operativo a los “criterios pedagógicos” exigidos por la actividad — compuesta por tres campos obligatorios:</w:t>
      </w:r>
    </w:p>
    <w:p>
      <w:pPr>
        <w:pStyle w:val="ListParagraph"/>
        <w:numPr>
          <w:ilvl w:val="0"/>
          <w:numId w:val="2"/>
        </w:numPr>
        <w:spacing w:after="90" w:line="280"/>
      </w:pPr>
      <w:r>
        <w:rPr>
          <w:b/>
          <w:bCs/>
          <w:sz w:val="22"/>
          <w:szCs w:val="22"/>
        </w:rPr>
        <w:t xml:space="preserve">Descripción: </w:t>
      </w:r>
      <w:r>
        <w:rPr>
          <w:sz w:val="22"/>
          <w:szCs w:val="22"/>
        </w:rPr>
        <w:t xml:space="preserve">qué es la actividad y qué se espera que el docente entregue en ese CMID.</w:t>
      </w:r>
    </w:p>
    <w:p>
      <w:pPr>
        <w:pStyle w:val="ListParagraph"/>
        <w:numPr>
          <w:ilvl w:val="0"/>
          <w:numId w:val="2"/>
        </w:numPr>
        <w:spacing w:after="90" w:line="280"/>
      </w:pPr>
      <w:r>
        <w:rPr>
          <w:b/>
          <w:bCs/>
          <w:sz w:val="22"/>
          <w:szCs w:val="22"/>
        </w:rPr>
        <w:t xml:space="preserve">Evidencia esperada: </w:t>
      </w:r>
      <w:r>
        <w:rPr>
          <w:sz w:val="22"/>
          <w:szCs w:val="22"/>
        </w:rPr>
        <w:t xml:space="preserve">el tipo y las características del producto que debe encontrarse en los archivos entregados.</w:t>
      </w:r>
    </w:p>
    <w:p>
      <w:pPr>
        <w:pStyle w:val="ListParagraph"/>
        <w:numPr>
          <w:ilvl w:val="0"/>
          <w:numId w:val="2"/>
        </w:numPr>
        <w:spacing w:after="90" w:line="280"/>
      </w:pPr>
      <w:r>
        <w:rPr>
          <w:b/>
          <w:bCs/>
          <w:sz w:val="22"/>
          <w:szCs w:val="22"/>
        </w:rPr>
        <w:t xml:space="preserve">Criterios de revisión: </w:t>
      </w:r>
      <w:r>
        <w:rPr>
          <w:sz w:val="22"/>
          <w:szCs w:val="22"/>
        </w:rPr>
        <w:t xml:space="preserve">una lista de criterios pedagógicos puntuales contra los que se evalúa la entrega (por ejemplo, coherencia entre propósito y actividad, presencia de evaluación formativa, pertinencia de las estrategias).</w:t>
      </w:r>
    </w:p>
    <w:p>
      <w:pPr>
        <w:spacing w:after="160" w:line="300"/>
        <w:jc w:val="both"/>
      </w:pPr>
      <w:r>
        <w:rPr>
          <w:sz w:val="22"/>
          <w:szCs w:val="22"/>
        </w:rPr>
        <w:t xml:space="preserve">Esta ficha es una condición previa e ineludible: si el especialista no ha configurado los criterios de un CMID, el expediente no puede analizarse y el sistema devuelve el estado “NEEDS_CONFIGURATION”, señalando explícitamente qué CMID carece de ficha. De este modo se evita generar retroalimentación con criterios genéricos o implícitos: cada actividad del aula virtual tiene su propio marco de revisión, definido por el equipo pedagógico antes de habilitar el análisis automatizado.</w:t>
      </w:r>
    </w:p>
    <w:p>
      <w:pPr>
        <w:pStyle w:val="Heading2"/>
        <w:spacing w:after="120" w:before="260"/>
      </w:pPr>
      <w:r>
        <w:rPr>
          <w:b/>
          <w:bCs/>
          <w:color w:val="2B2B2B"/>
          <w:sz w:val="24"/>
          <w:szCs w:val="24"/>
        </w:rPr>
        <w:t xml:space="preserve">3.3 Marco pedagógico de referencia: rúbrica MBDDL</w:t>
      </w:r>
    </w:p>
    <w:p>
      <w:pPr>
        <w:spacing w:after="160" w:line="300"/>
        <w:jc w:val="both"/>
      </w:pPr>
      <w:r>
        <w:rPr>
          <w:sz w:val="22"/>
          <w:szCs w:val="22"/>
        </w:rPr>
        <w:t xml:space="preserve">Como complemento a los criterios específicos por actividad, la plataforma incorpora una rúbrica institucional transversal —alineada al Marco de Buen Desempeño Docente— con seis dimensiones y cuatro niveles de logro (1 a 4) cada una. Esta rúbrica se aplica de manera homogénea a todas las actividades de un mismo expediente, permitiendo comparar el desempeño observado entre CMID distintos bajo un lenguaje pedagógico común: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7A1F2B" w:val="clear"/>
            <w:tcMar>
              <w:top w:type="dxa" w:w="80"/>
              <w:left w:type="dxa" w:w="100"/>
              <w:bottom w:type="dxa" w:w="80"/>
              <w:right w:type="dxa" w:w="100"/>
            </w:tcMar>
            <w:vAlign w:val="center"/>
          </w:tcPr>
          <w:p>
            <w:r>
              <w:rPr>
                <w:b/>
                <w:bCs/>
                <w:color w:val="FFFFFF"/>
                <w:sz w:val="20"/>
                <w:szCs w:val="20"/>
              </w:rPr>
              <w:t xml:space="preserve">Dimensión</w:t>
            </w:r>
          </w:p>
        </w:tc>
        <w:tc>
          <w:tcPr>
            <w:tcW w:type="dxa" w:w="6900"/>
            <w:shd w:fill="7A1F2B" w:val="clear"/>
            <w:tcMar>
              <w:top w:type="dxa" w:w="80"/>
              <w:left w:type="dxa" w:w="100"/>
              <w:bottom w:type="dxa" w:w="80"/>
              <w:right w:type="dxa" w:w="100"/>
            </w:tcMar>
            <w:vAlign w:val="center"/>
          </w:tcPr>
          <w:p>
            <w:r>
              <w:rPr>
                <w:b/>
                <w:bCs/>
                <w:color w:val="FFFFFF"/>
                <w:sz w:val="20"/>
                <w:szCs w:val="20"/>
              </w:rPr>
              <w:t xml:space="preserve">Criterio evaluado</w:t>
            </w:r>
          </w:p>
        </w:tc>
      </w:tr>
      <w:tr>
        <w:tc>
          <w:tcPr>
            <w:tcW w:type="dxa" w:w="2600"/>
            <w:shd w:fill="FFFFFF" w:val="clear"/>
            <w:tcMar>
              <w:top w:type="dxa" w:w="80"/>
              <w:left w:type="dxa" w:w="100"/>
              <w:bottom w:type="dxa" w:w="80"/>
              <w:right w:type="dxa" w:w="100"/>
            </w:tcMar>
            <w:vAlign w:val="center"/>
          </w:tcPr>
          <w:p>
            <w:r>
              <w:rPr>
                <w:b w:val="false"/>
                <w:bCs w:val="false"/>
                <w:color w:val="222222"/>
                <w:sz w:val="20"/>
                <w:szCs w:val="20"/>
              </w:rPr>
              <w:t xml:space="preserve">Planificación pedagógica</w:t>
            </w:r>
          </w:p>
        </w:tc>
        <w:tc>
          <w:tcPr>
            <w:tcW w:type="dxa" w:w="6900"/>
            <w:shd w:fill="FFFFFF" w:val="clear"/>
            <w:tcMar>
              <w:top w:type="dxa" w:w="80"/>
              <w:left w:type="dxa" w:w="100"/>
              <w:bottom w:type="dxa" w:w="80"/>
              <w:right w:type="dxa" w:w="100"/>
            </w:tcMar>
            <w:vAlign w:val="center"/>
          </w:tcPr>
          <w:p>
            <w:r>
              <w:rPr>
                <w:b w:val="false"/>
                <w:bCs w:val="false"/>
                <w:color w:val="222222"/>
                <w:sz w:val="20"/>
                <w:szCs w:val="20"/>
              </w:rPr>
              <w:t xml:space="preserve">Los propósitos de aprendizaje son claros y coherentes con las competencias y evidencias.</w:t>
            </w:r>
          </w:p>
        </w:tc>
      </w:tr>
      <w:tr>
        <w:tc>
          <w:tcPr>
            <w:tcW w:type="dxa" w:w="2600"/>
            <w:shd w:fill="F7F1F1" w:val="clear"/>
            <w:tcMar>
              <w:top w:type="dxa" w:w="80"/>
              <w:left w:type="dxa" w:w="100"/>
              <w:bottom w:type="dxa" w:w="80"/>
              <w:right w:type="dxa" w:w="100"/>
            </w:tcMar>
            <w:vAlign w:val="center"/>
          </w:tcPr>
          <w:p>
            <w:r>
              <w:rPr>
                <w:b w:val="false"/>
                <w:bCs w:val="false"/>
                <w:color w:val="222222"/>
                <w:sz w:val="20"/>
                <w:szCs w:val="20"/>
              </w:rPr>
              <w:t xml:space="preserve">Contextualización</w:t>
            </w:r>
          </w:p>
        </w:tc>
        <w:tc>
          <w:tcPr>
            <w:tcW w:type="dxa" w:w="6900"/>
            <w:shd w:fill="F7F1F1" w:val="clear"/>
            <w:tcMar>
              <w:top w:type="dxa" w:w="80"/>
              <w:left w:type="dxa" w:w="100"/>
              <w:bottom w:type="dxa" w:w="80"/>
              <w:right w:type="dxa" w:w="100"/>
            </w:tcMar>
            <w:vAlign w:val="center"/>
          </w:tcPr>
          <w:p>
            <w:r>
              <w:rPr>
                <w:b w:val="false"/>
                <w:bCs w:val="false"/>
                <w:color w:val="222222"/>
                <w:sz w:val="20"/>
                <w:szCs w:val="20"/>
              </w:rPr>
              <w:t xml:space="preserve">Considera las características, intereses y necesidades de los estudiantes.</w:t>
            </w:r>
          </w:p>
        </w:tc>
      </w:tr>
      <w:tr>
        <w:tc>
          <w:tcPr>
            <w:tcW w:type="dxa" w:w="2600"/>
            <w:shd w:fill="FFFFFF" w:val="clear"/>
            <w:tcMar>
              <w:top w:type="dxa" w:w="80"/>
              <w:left w:type="dxa" w:w="100"/>
              <w:bottom w:type="dxa" w:w="80"/>
              <w:right w:type="dxa" w:w="100"/>
            </w:tcMar>
            <w:vAlign w:val="center"/>
          </w:tcPr>
          <w:p>
            <w:r>
              <w:rPr>
                <w:b w:val="false"/>
                <w:bCs w:val="false"/>
                <w:color w:val="222222"/>
                <w:sz w:val="20"/>
                <w:szCs w:val="20"/>
              </w:rPr>
              <w:t xml:space="preserve">Estrategias metodológicas</w:t>
            </w:r>
          </w:p>
        </w:tc>
        <w:tc>
          <w:tcPr>
            <w:tcW w:type="dxa" w:w="6900"/>
            <w:shd w:fill="FFFFFF" w:val="clear"/>
            <w:tcMar>
              <w:top w:type="dxa" w:w="80"/>
              <w:left w:type="dxa" w:w="100"/>
              <w:bottom w:type="dxa" w:w="80"/>
              <w:right w:type="dxa" w:w="100"/>
            </w:tcMar>
            <w:vAlign w:val="center"/>
          </w:tcPr>
          <w:p>
            <w:r>
              <w:rPr>
                <w:b w:val="false"/>
                <w:bCs w:val="false"/>
                <w:color w:val="222222"/>
                <w:sz w:val="20"/>
                <w:szCs w:val="20"/>
              </w:rPr>
              <w:t xml:space="preserve">Selecciona estrategias variadas, activas y pertinentes que favorecen el aprendizaje.</w:t>
            </w:r>
          </w:p>
        </w:tc>
      </w:tr>
      <w:tr>
        <w:tc>
          <w:tcPr>
            <w:tcW w:type="dxa" w:w="2600"/>
            <w:shd w:fill="F7F1F1" w:val="clear"/>
            <w:tcMar>
              <w:top w:type="dxa" w:w="80"/>
              <w:left w:type="dxa" w:w="100"/>
              <w:bottom w:type="dxa" w:w="80"/>
              <w:right w:type="dxa" w:w="100"/>
            </w:tcMar>
            <w:vAlign w:val="center"/>
          </w:tcPr>
          <w:p>
            <w:r>
              <w:rPr>
                <w:b w:val="false"/>
                <w:bCs w:val="false"/>
                <w:color w:val="222222"/>
                <w:sz w:val="20"/>
                <w:szCs w:val="20"/>
              </w:rPr>
              <w:t xml:space="preserve">Evaluación formativa</w:t>
            </w:r>
          </w:p>
        </w:tc>
        <w:tc>
          <w:tcPr>
            <w:tcW w:type="dxa" w:w="6900"/>
            <w:shd w:fill="F7F1F1" w:val="clear"/>
            <w:tcMar>
              <w:top w:type="dxa" w:w="80"/>
              <w:left w:type="dxa" w:w="100"/>
              <w:bottom w:type="dxa" w:w="80"/>
              <w:right w:type="dxa" w:w="100"/>
            </w:tcMar>
            <w:vAlign w:val="center"/>
          </w:tcPr>
          <w:p>
            <w:r>
              <w:rPr>
                <w:b w:val="false"/>
                <w:bCs w:val="false"/>
                <w:color w:val="222222"/>
                <w:sz w:val="20"/>
                <w:szCs w:val="20"/>
              </w:rPr>
              <w:t xml:space="preserve">Diseña mecanismos coherentes para recoger evidencias y retroalimentar.</w:t>
            </w:r>
          </w:p>
        </w:tc>
      </w:tr>
      <w:tr>
        <w:tc>
          <w:tcPr>
            <w:tcW w:type="dxa" w:w="2600"/>
            <w:shd w:fill="FFFFFF" w:val="clear"/>
            <w:tcMar>
              <w:top w:type="dxa" w:w="80"/>
              <w:left w:type="dxa" w:w="100"/>
              <w:bottom w:type="dxa" w:w="80"/>
              <w:right w:type="dxa" w:w="100"/>
            </w:tcMar>
            <w:vAlign w:val="center"/>
          </w:tcPr>
          <w:p>
            <w:r>
              <w:rPr>
                <w:b w:val="false"/>
                <w:bCs w:val="false"/>
                <w:color w:val="222222"/>
                <w:sz w:val="20"/>
                <w:szCs w:val="20"/>
              </w:rPr>
              <w:t xml:space="preserve">Inclusión y atención a la diversidad</w:t>
            </w:r>
          </w:p>
        </w:tc>
        <w:tc>
          <w:tcPr>
            <w:tcW w:type="dxa" w:w="6900"/>
            <w:shd w:fill="FFFFFF" w:val="clear"/>
            <w:tcMar>
              <w:top w:type="dxa" w:w="80"/>
              <w:left w:type="dxa" w:w="100"/>
              <w:bottom w:type="dxa" w:w="80"/>
              <w:right w:type="dxa" w:w="100"/>
            </w:tcMar>
            <w:vAlign w:val="center"/>
          </w:tcPr>
          <w:p>
            <w:r>
              <w:rPr>
                <w:b w:val="false"/>
                <w:bCs w:val="false"/>
                <w:color w:val="222222"/>
                <w:sz w:val="20"/>
                <w:szCs w:val="20"/>
              </w:rPr>
              <w:t xml:space="preserve">Incorpora adecuaciones y estrategias inclusivas pertinentes.</w:t>
            </w:r>
          </w:p>
        </w:tc>
      </w:tr>
      <w:tr>
        <w:tc>
          <w:tcPr>
            <w:tcW w:type="dxa" w:w="2600"/>
            <w:shd w:fill="F7F1F1" w:val="clear"/>
            <w:tcMar>
              <w:top w:type="dxa" w:w="80"/>
              <w:left w:type="dxa" w:w="100"/>
              <w:bottom w:type="dxa" w:w="80"/>
              <w:right w:type="dxa" w:w="100"/>
            </w:tcMar>
            <w:vAlign w:val="center"/>
          </w:tcPr>
          <w:p>
            <w:r>
              <w:rPr>
                <w:b w:val="false"/>
                <w:bCs w:val="false"/>
                <w:color w:val="222222"/>
                <w:sz w:val="20"/>
                <w:szCs w:val="20"/>
              </w:rPr>
              <w:t xml:space="preserve">Reflexión pedagógica</w:t>
            </w:r>
          </w:p>
        </w:tc>
        <w:tc>
          <w:tcPr>
            <w:tcW w:type="dxa" w:w="6900"/>
            <w:shd w:fill="F7F1F1" w:val="clear"/>
            <w:tcMar>
              <w:top w:type="dxa" w:w="80"/>
              <w:left w:type="dxa" w:w="100"/>
              <w:bottom w:type="dxa" w:w="80"/>
              <w:right w:type="dxa" w:w="100"/>
            </w:tcMar>
            <w:vAlign w:val="center"/>
          </w:tcPr>
          <w:p>
            <w:r>
              <w:rPr>
                <w:b w:val="false"/>
                <w:bCs w:val="false"/>
                <w:color w:val="222222"/>
                <w:sz w:val="20"/>
                <w:szCs w:val="20"/>
              </w:rPr>
              <w:t xml:space="preserve">Analiza críticamente su práctica y plantea mejoras sustentadas en evidencias.</w:t>
            </w:r>
          </w:p>
        </w:tc>
      </w:tr>
    </w:tbl>
    <w:p>
      <w:pPr>
        <w:spacing w:after="160"/>
      </w:pPr>
    </w:p>
    <w:p>
      <w:pPr>
        <w:spacing w:after="160" w:line="300"/>
        <w:jc w:val="both"/>
      </w:pPr>
      <w:r>
        <w:rPr>
          <w:sz w:val="22"/>
          <w:szCs w:val="22"/>
        </w:rPr>
        <w:t xml:space="preserve">Cada dimensión define de forma explícita qué caracteriza a los niveles 4 (logro destacado), 3 (logro esperado), 2 (en proceso) y 1 (inicio), de manera que la calificación asignada por la IA —siempre propuesta, nunca definitiva— pueda contrastarse contra una descripción textual objetiva y no contra una impresión general.</w:t>
      </w:r>
    </w:p>
    <w:p>
      <w:pPr>
        <w:pStyle w:val="Heading2"/>
        <w:spacing w:after="120" w:before="260"/>
      </w:pPr>
      <w:r>
        <w:rPr>
          <w:b/>
          <w:bCs/>
          <w:color w:val="2B2B2B"/>
          <w:sz w:val="24"/>
          <w:szCs w:val="24"/>
        </w:rPr>
        <w:t xml:space="preserve">3.4 Orientaciones metodológicas para la generación de retroalimentación</w:t>
      </w:r>
    </w:p>
    <w:p>
      <w:pPr>
        <w:spacing w:after="160" w:line="300"/>
        <w:jc w:val="both"/>
      </w:pPr>
      <w:r>
        <w:rPr>
          <w:sz w:val="22"/>
          <w:szCs w:val="22"/>
        </w:rPr>
        <w:t xml:space="preserve">La generación de retroalimentación automatizada se rige por un conjunto de orientaciones metodológicas que buscan preservar el rol del especialista como responsable final de la valoración pedagógica:</w:t>
      </w:r>
    </w:p>
    <w:p>
      <w:pPr>
        <w:pStyle w:val="ListParagraph"/>
        <w:numPr>
          <w:ilvl w:val="0"/>
          <w:numId w:val="2"/>
        </w:numPr>
        <w:spacing w:after="90" w:line="280"/>
      </w:pPr>
      <w:r>
        <w:rPr>
          <w:b/>
          <w:bCs/>
          <w:sz w:val="22"/>
          <w:szCs w:val="22"/>
        </w:rPr>
        <w:t xml:space="preserve">Evidencia antes que conclusión: </w:t>
      </w:r>
      <w:r>
        <w:rPr>
          <w:sz w:val="22"/>
          <w:szCs w:val="22"/>
        </w:rPr>
        <w:t xml:space="preserve">toda señal o hallazgo debe estar acompañado de una referencia verificable (archivo, página, párrafo o intervalo de tiempo en video).</w:t>
      </w:r>
    </w:p>
    <w:p>
      <w:pPr>
        <w:pStyle w:val="ListParagraph"/>
        <w:numPr>
          <w:ilvl w:val="0"/>
          <w:numId w:val="2"/>
        </w:numPr>
        <w:spacing w:after="90" w:line="280"/>
      </w:pPr>
      <w:r>
        <w:rPr>
          <w:b/>
          <w:bCs/>
          <w:sz w:val="22"/>
          <w:szCs w:val="22"/>
        </w:rPr>
        <w:t xml:space="preserve">Ningún indicador es una calificación: </w:t>
      </w:r>
      <w:r>
        <w:rPr>
          <w:sz w:val="22"/>
          <w:szCs w:val="22"/>
        </w:rPr>
        <w:t xml:space="preserve">los estados posibles (“evidencia encontrada”, “posible evidencia”, “no localizada”) describen lo que el sistema pudo localizar, no una valoración del desempeño docente.</w:t>
      </w:r>
    </w:p>
    <w:p>
      <w:pPr>
        <w:pStyle w:val="ListParagraph"/>
        <w:numPr>
          <w:ilvl w:val="0"/>
          <w:numId w:val="2"/>
        </w:numPr>
        <w:spacing w:after="90" w:line="280"/>
      </w:pPr>
      <w:r>
        <w:rPr>
          <w:b/>
          <w:bCs/>
          <w:sz w:val="22"/>
          <w:szCs w:val="22"/>
        </w:rPr>
        <w:t xml:space="preserve">Lenguaje controlado: </w:t>
      </w:r>
      <w:r>
        <w:rPr>
          <w:sz w:val="22"/>
          <w:szCs w:val="22"/>
        </w:rPr>
        <w:t xml:space="preserve">la interfaz utiliza expresiones como “evidencia localizada” o “señal para revisar”, evitando formulaciones deterministas como “el docente tiene” o “la IA comprobó”.</w:t>
      </w:r>
    </w:p>
    <w:p>
      <w:pPr>
        <w:pStyle w:val="ListParagraph"/>
        <w:numPr>
          <w:ilvl w:val="0"/>
          <w:numId w:val="2"/>
        </w:numPr>
        <w:spacing w:after="90" w:line="280"/>
      </w:pPr>
      <w:r>
        <w:rPr>
          <w:b/>
          <w:bCs/>
          <w:sz w:val="22"/>
          <w:szCs w:val="22"/>
        </w:rPr>
        <w:t xml:space="preserve">Validación humana obligatoria: </w:t>
      </w:r>
      <w:r>
        <w:rPr>
          <w:sz w:val="22"/>
          <w:szCs w:val="22"/>
        </w:rPr>
        <w:t xml:space="preserve">toda propuesta de la IA queda en estado “pendiente de revisión humana” hasta que el especialista la confirme, corrija o descarte; solo las decisiones del especialista constituyen el resultado oficial del expediente.</w:t>
      </w:r>
    </w:p>
    <w:p>
      <w:pPr>
        <w:pStyle w:val="ListParagraph"/>
        <w:numPr>
          <w:ilvl w:val="0"/>
          <w:numId w:val="2"/>
        </w:numPr>
        <w:spacing w:after="90" w:line="280"/>
      </w:pPr>
      <w:r>
        <w:rPr>
          <w:b/>
          <w:bCs/>
          <w:sz w:val="22"/>
          <w:szCs w:val="22"/>
        </w:rPr>
        <w:t xml:space="preserve">Evaluación por actividad, no por docente en abstracto: </w:t>
      </w:r>
      <w:r>
        <w:rPr>
          <w:sz w:val="22"/>
          <w:szCs w:val="22"/>
        </w:rPr>
        <w:t xml:space="preserve">cada CMID se analiza únicamente contra su propia ficha de criterios, evitando trasladar expectativas de una actividad a otra.</w:t>
      </w:r>
    </w:p>
    <w:p>
      <w:pPr>
        <w:pStyle w:val="ListParagraph"/>
        <w:numPr>
          <w:ilvl w:val="0"/>
          <w:numId w:val="2"/>
        </w:numPr>
        <w:spacing w:after="90" w:line="280"/>
      </w:pPr>
      <w:r>
        <w:rPr>
          <w:b/>
          <w:bCs/>
          <w:sz w:val="22"/>
          <w:szCs w:val="22"/>
        </w:rPr>
        <w:t xml:space="preserve">Idempotencia y versionamiento: </w:t>
      </w:r>
      <w:r>
        <w:rPr>
          <w:sz w:val="22"/>
          <w:szCs w:val="22"/>
        </w:rPr>
        <w:t xml:space="preserve">una misma entrega puede reprocesarse sin duplicar expedientes ni evidencias, y las actualizaciones de Moodle generan nuevas versiones trazables.</w:t>
      </w:r>
    </w:p>
    <w:p>
      <w:pPr>
        <w:spacing w:after="160" w:line="300"/>
        <w:jc w:val="both"/>
      </w:pPr>
      <w:r>
        <w:rPr>
          <w:sz w:val="22"/>
          <w:szCs w:val="22"/>
        </w:rPr>
        <w:t xml:space="preserve">El ciclo de vida de cada expediente sigue una máquina de estados explícita — descubierto, en procesamiento, listo para revisión, en revisión y revisado — con estados alternos (“parcial” y “fallido”) para escenarios de error técnico, de modo que el avance del análisis sea siempre observable por el especialista.</w:t>
      </w:r>
    </w:p>
    <w:p>
      <w:pPr>
        <w:pStyle w:val="Heading1"/>
        <w:pBdr>
          <w:bottom w:val="single" w:color="7A1F2B" w:sz="8" w:space="4"/>
        </w:pBdr>
        <w:spacing w:after="160" w:before="360"/>
      </w:pPr>
      <w:r>
        <w:rPr>
          <w:b/>
          <w:bCs/>
          <w:color w:val="7A1F2B"/>
          <w:sz w:val="28"/>
          <w:szCs w:val="28"/>
        </w:rPr>
        <w:t xml:space="preserve">4. Parte II — Sistematización de documentos del diplomado con embeddings y rúbricas</w:t>
      </w:r>
    </w:p>
    <w:p>
      <w:pPr>
        <w:pStyle w:val="Heading2"/>
        <w:spacing w:after="120" w:before="260"/>
      </w:pPr>
      <w:r>
        <w:rPr>
          <w:b/>
          <w:bCs/>
          <w:color w:val="2B2B2B"/>
          <w:sz w:val="24"/>
          <w:szCs w:val="24"/>
        </w:rPr>
        <w:t xml:space="preserve">4.1 Documentos como evidencia del compromiso del docente</w:t>
      </w:r>
    </w:p>
    <w:p>
      <w:pPr>
        <w:spacing w:after="160" w:line="300"/>
        <w:jc w:val="both"/>
      </w:pPr>
      <w:r>
        <w:rPr>
          <w:sz w:val="22"/>
          <w:szCs w:val="22"/>
        </w:rPr>
        <w:t xml:space="preserve">Los mismos artefactos que el docente sube a sus actividades de Moodle constituyen, en conjunto, la evidencia de su compromiso con el programa: unidad didáctica, sesiones, video de aula, instrumentos, trabajos de estudiantes y narración reflexiva conforman un único expediente por docente y periodo de medición (Línea Base o Línea Final). Cada archivo se registra como un artefacto con hash de contenido, tipo de evidencia, estado de procesamiento y resumen extraído, lo que permite reconstruir en cualquier momento qué documento sustenta cada hallazgo.</w:t>
      </w:r>
    </w:p>
    <w:p>
      <w:pPr>
        <w:pStyle w:val="Heading2"/>
        <w:spacing w:after="120" w:before="260"/>
      </w:pPr>
      <w:r>
        <w:rPr>
          <w:b/>
          <w:bCs/>
          <w:color w:val="2B2B2B"/>
          <w:sz w:val="24"/>
          <w:szCs w:val="24"/>
        </w:rPr>
        <w:t xml:space="preserve">4.2 Extracción y normalización de contenido</w:t>
      </w:r>
    </w:p>
    <w:p>
      <w:pPr>
        <w:spacing w:after="160" w:line="300"/>
        <w:jc w:val="both"/>
      </w:pPr>
      <w:r>
        <w:rPr>
          <w:sz w:val="22"/>
          <w:szCs w:val="22"/>
        </w:rPr>
        <w:t xml:space="preserve">Antes de comparar o evaluar un documento, la plataforma normaliza su contenido según el formato:</w:t>
      </w:r>
    </w:p>
    <w:p>
      <w:pPr>
        <w:pStyle w:val="ListParagraph"/>
        <w:numPr>
          <w:ilvl w:val="0"/>
          <w:numId w:val="2"/>
        </w:numPr>
        <w:spacing w:after="90" w:line="280"/>
      </w:pPr>
      <w:r>
        <w:rPr>
          <w:b/>
          <w:bCs/>
          <w:sz w:val="22"/>
          <w:szCs w:val="22"/>
        </w:rPr>
        <w:t xml:space="preserve">PDF: </w:t>
      </w:r>
      <w:r>
        <w:rPr>
          <w:sz w:val="22"/>
          <w:szCs w:val="22"/>
        </w:rPr>
        <w:t xml:space="preserve">extracción de texto por página, conservando el conteo de páginas para citar la ubicación exacta del hallazgo.</w:t>
      </w:r>
    </w:p>
    <w:p>
      <w:pPr>
        <w:pStyle w:val="ListParagraph"/>
        <w:numPr>
          <w:ilvl w:val="0"/>
          <w:numId w:val="2"/>
        </w:numPr>
        <w:spacing w:after="90" w:line="280"/>
      </w:pPr>
      <w:r>
        <w:rPr>
          <w:b/>
          <w:bCs/>
          <w:sz w:val="22"/>
          <w:szCs w:val="22"/>
        </w:rPr>
        <w:t xml:space="preserve">DOCX: </w:t>
      </w:r>
      <w:r>
        <w:rPr>
          <w:sz w:val="22"/>
          <w:szCs w:val="22"/>
        </w:rPr>
        <w:t xml:space="preserve">extracción de texto por párrafo.</w:t>
      </w:r>
    </w:p>
    <w:p>
      <w:pPr>
        <w:pStyle w:val="ListParagraph"/>
        <w:numPr>
          <w:ilvl w:val="0"/>
          <w:numId w:val="2"/>
        </w:numPr>
        <w:spacing w:after="90" w:line="280"/>
      </w:pPr>
      <w:r>
        <w:rPr>
          <w:b/>
          <w:bCs/>
          <w:sz w:val="22"/>
          <w:szCs w:val="22"/>
        </w:rPr>
        <w:t xml:space="preserve">Texto plano / CSV: </w:t>
      </w:r>
      <w:r>
        <w:rPr>
          <w:sz w:val="22"/>
          <w:szCs w:val="22"/>
        </w:rPr>
        <w:t xml:space="preserve">lectura directa con codificación controlada.</w:t>
      </w:r>
    </w:p>
    <w:p>
      <w:pPr>
        <w:pStyle w:val="ListParagraph"/>
        <w:numPr>
          <w:ilvl w:val="0"/>
          <w:numId w:val="2"/>
        </w:numPr>
        <w:spacing w:after="90" w:line="280"/>
      </w:pPr>
      <w:r>
        <w:rPr>
          <w:b/>
          <w:bCs/>
          <w:sz w:val="22"/>
          <w:szCs w:val="22"/>
        </w:rPr>
        <w:t xml:space="preserve">Video (MP4/MOV/WEBM): </w:t>
      </w:r>
      <w:r>
        <w:rPr>
          <w:sz w:val="22"/>
          <w:szCs w:val="22"/>
        </w:rPr>
        <w:t xml:space="preserve">obtención de métricas técnicas con ffprobe (duración, resolución, códec, presencia de audio) y muestreo de fotogramas representativos con ffmpeg; en el estado actual del MVP el audio no se transcribe, por lo que ningún hallazgo puede basarse en el contenido hablado sin advertirlo explícitamente.</w:t>
      </w:r>
    </w:p>
    <w:p>
      <w:pPr>
        <w:spacing w:after="160" w:line="300"/>
        <w:jc w:val="both"/>
      </w:pPr>
      <w:r>
        <w:rPr>
          <w:sz w:val="22"/>
          <w:szCs w:val="22"/>
        </w:rPr>
        <w:t xml:space="preserve">Se aplican límites configurables de tamaño (megabytes por archivo y por video) y de caracteres por documento, de modo que el procesamiento sea predecible y no exponga a la plataforma a archivos desproporcionados.</w:t>
      </w:r>
    </w:p>
    <w:p>
      <w:pPr>
        <w:pStyle w:val="Heading2"/>
        <w:spacing w:after="120" w:before="260"/>
      </w:pPr>
      <w:r>
        <w:rPr>
          <w:b/>
          <w:bCs/>
          <w:color w:val="2B2B2B"/>
          <w:sz w:val="24"/>
          <w:szCs w:val="24"/>
        </w:rPr>
        <w:t xml:space="preserve">4.3 Componente de comparación y representación semántica (embeddings)</w:t>
      </w:r>
    </w:p>
    <w:p>
      <w:pPr>
        <w:spacing w:after="160" w:line="300"/>
        <w:jc w:val="both"/>
      </w:pPr>
      <w:r>
        <w:rPr>
          <w:sz w:val="22"/>
          <w:szCs w:val="22"/>
        </w:rPr>
        <w:t xml:space="preserve">Este componente es el que permite pasar de una revisión documento por documento a una retroalimentación consolidada a nivel de expediente, detectando relaciones entre entregas que un análisis aislado no revelaría.</w:t>
      </w:r>
    </w:p>
    <w:p>
      <w:pPr>
        <w:spacing w:after="100" w:before="200"/>
      </w:pPr>
      <w:r>
        <w:rPr>
          <w:b/>
          <w:bCs/>
          <w:i/>
          <w:iCs/>
          <w:color w:val="444444"/>
          <w:sz w:val="22"/>
          <w:szCs w:val="22"/>
        </w:rPr>
        <w:t xml:space="preserve">Estado actual del MVP</w:t>
      </w:r>
    </w:p>
    <w:p>
      <w:pPr>
        <w:spacing w:after="160" w:line="300"/>
        <w:jc w:val="both"/>
      </w:pPr>
      <w:r>
        <w:rPr>
          <w:sz w:val="22"/>
          <w:szCs w:val="22"/>
        </w:rPr>
        <w:t xml:space="preserve">En la implementación vigente, la comparación entre documentos de distintas actividades del mismo expediente se realiza mediante un coeficiente de similitud textual (razón de coincidencia de secuencias) calculado sobre el texto extraído de cada par de documentos. Cuando la similitud entre dos entregas de CMID distintos supera un umbral (75%), se genera una señal de tipo “posible similitud” con el porcentaje calculado, para que el especialista revise si la coincidencia es coherente con la secuencia pedagógica (por ejemplo, una plantilla institucional reutilizada de forma legítima) o si amerita observación.</w:t>
      </w:r>
    </w:p>
    <w:p>
      <w:pPr>
        <w:spacing w:after="100" w:before="200"/>
      </w:pPr>
      <w:r>
        <w:rPr>
          <w:b/>
          <w:bCs/>
          <w:i/>
          <w:iCs/>
          <w:color w:val="444444"/>
          <w:sz w:val="22"/>
          <w:szCs w:val="22"/>
        </w:rPr>
        <w:t xml:space="preserve">Diseño objetivo (arquitectura de referencia)</w:t>
      </w:r>
    </w:p>
    <w:p>
      <w:pPr>
        <w:spacing w:after="160" w:line="300"/>
        <w:jc w:val="both"/>
      </w:pPr>
      <w:r>
        <w:rPr>
          <w:sz w:val="22"/>
          <w:szCs w:val="22"/>
        </w:rPr>
        <w:t xml:space="preserve">La arquitectura institucional del Copiloto define un componente de recuperación semántica basado en vectores (embeddings) sobre PostgreSQL con la extensión pgvector, ya habilitada en la base de datos del proyecto. Su propósito es extender la comparación textual literal hacia una comparación semántica y habilitar:</w:t>
      </w:r>
    </w:p>
    <w:p>
      <w:pPr>
        <w:pStyle w:val="ListParagraph"/>
        <w:numPr>
          <w:ilvl w:val="0"/>
          <w:numId w:val="2"/>
        </w:numPr>
        <w:spacing w:after="90" w:line="280"/>
      </w:pPr>
      <w:r>
        <w:rPr>
          <w:sz w:val="22"/>
          <w:szCs w:val="22"/>
        </w:rPr>
        <w:t xml:space="preserve">Recuperación híbrida (texto completo + vectores) para la consulta conversacional fundamentada sobre el expediente, de modo que el especialista pueda preguntar sobre el conjunto de evidencias y recibir respuestas con cita navegable.</w:t>
      </w:r>
    </w:p>
    <w:p>
      <w:pPr>
        <w:pStyle w:val="ListParagraph"/>
        <w:numPr>
          <w:ilvl w:val="0"/>
          <w:numId w:val="2"/>
        </w:numPr>
        <w:spacing w:after="90" w:line="280"/>
      </w:pPr>
      <w:r>
        <w:rPr>
          <w:sz w:val="22"/>
          <w:szCs w:val="22"/>
        </w:rPr>
        <w:t xml:space="preserve">Comparabilidad semántica entre entregas del mismo docente y del conjunto del diplomado, más robusta frente a paráfrasis que la coincidencia literal de secuencias.</w:t>
      </w:r>
    </w:p>
    <w:p>
      <w:pPr>
        <w:pStyle w:val="ListParagraph"/>
        <w:numPr>
          <w:ilvl w:val="0"/>
          <w:numId w:val="2"/>
        </w:numPr>
        <w:spacing w:after="90" w:line="280"/>
      </w:pPr>
      <w:r>
        <w:rPr>
          <w:sz w:val="22"/>
          <w:szCs w:val="22"/>
        </w:rPr>
        <w:t xml:space="preserve">Apoyo al comparador homologado entre Línea Base y Línea Final, realizado siempre por código de indicador y no por similitud global de documentos.</w:t>
      </w:r>
    </w:p>
    <w:p>
      <w:pPr>
        <w:spacing w:after="160" w:line="300"/>
        <w:jc w:val="both"/>
      </w:pPr>
      <w:r>
        <w:rPr>
          <w:sz w:val="22"/>
          <w:szCs w:val="22"/>
        </w:rPr>
        <w:t xml:space="preserve">Esta capa de embeddings corresponde a una etapa posterior del hoja de ruta institucional (fases de piloto pedagógico y escalamiento) y debe incorporarse sin sustituir los controles de similitud textual ya operativos, sino complementándolos.</w:t>
      </w:r>
    </w:p>
    <w:p>
      <w:pPr>
        <w:pStyle w:val="Heading2"/>
        <w:spacing w:after="120" w:before="260"/>
      </w:pPr>
      <w:r>
        <w:rPr>
          <w:b/>
          <w:bCs/>
          <w:color w:val="2B2B2B"/>
          <w:sz w:val="24"/>
          <w:szCs w:val="24"/>
        </w:rPr>
        <w:t xml:space="preserve">4.4 Aplicación de la rúbrica por actividad (evaluación consolidada)</w:t>
      </w:r>
    </w:p>
    <w:p>
      <w:pPr>
        <w:spacing w:after="160" w:line="300"/>
        <w:jc w:val="both"/>
      </w:pPr>
      <w:r>
        <w:rPr>
          <w:sz w:val="22"/>
          <w:szCs w:val="22"/>
        </w:rPr>
        <w:t xml:space="preserve">Para cada expediente, el motor de análisis produce una valoración por cada combinación de actividad (CMID) y criterio de la rúbrica MBDDL. Cada valoración incluye:</w:t>
      </w:r>
    </w:p>
    <w:p>
      <w:pPr>
        <w:pStyle w:val="ListParagraph"/>
        <w:numPr>
          <w:ilvl w:val="0"/>
          <w:numId w:val="2"/>
        </w:numPr>
        <w:spacing w:after="90" w:line="280"/>
      </w:pPr>
      <w:r>
        <w:rPr>
          <w:b/>
          <w:bCs/>
          <w:sz w:val="22"/>
          <w:szCs w:val="22"/>
        </w:rPr>
        <w:t xml:space="preserve">Nivel propuesto (1 a 4), </w:t>
      </w:r>
      <w:r>
        <w:rPr>
          <w:sz w:val="22"/>
          <w:szCs w:val="22"/>
        </w:rPr>
        <w:t xml:space="preserve">según las descripciones de la rúbrica.</w:t>
      </w:r>
    </w:p>
    <w:p>
      <w:pPr>
        <w:pStyle w:val="ListParagraph"/>
        <w:numPr>
          <w:ilvl w:val="0"/>
          <w:numId w:val="2"/>
        </w:numPr>
        <w:spacing w:after="90" w:line="280"/>
      </w:pPr>
      <w:r>
        <w:rPr>
          <w:b/>
          <w:bCs/>
          <w:sz w:val="22"/>
          <w:szCs w:val="22"/>
        </w:rPr>
        <w:t xml:space="preserve">Confianza técnica, </w:t>
      </w:r>
      <w:r>
        <w:rPr>
          <w:sz w:val="22"/>
          <w:szCs w:val="22"/>
        </w:rPr>
        <w:t xml:space="preserve">expresada entre 0 y 1, que refleja el grado de certeza del modelo, no la calidad pedagógica del trabajo.</w:t>
      </w:r>
    </w:p>
    <w:p>
      <w:pPr>
        <w:pStyle w:val="ListParagraph"/>
        <w:numPr>
          <w:ilvl w:val="0"/>
          <w:numId w:val="2"/>
        </w:numPr>
        <w:spacing w:after="90" w:line="280"/>
      </w:pPr>
      <w:r>
        <w:rPr>
          <w:b/>
          <w:bCs/>
          <w:sz w:val="22"/>
          <w:szCs w:val="22"/>
        </w:rPr>
        <w:t xml:space="preserve">Justificación textual </w:t>
      </w:r>
      <w:r>
        <w:rPr>
          <w:sz w:val="22"/>
          <w:szCs w:val="22"/>
        </w:rPr>
        <w:t xml:space="preserve">y referencia a los artefactos (archivos) que sustentan la propuesta.</w:t>
      </w:r>
    </w:p>
    <w:p>
      <w:pPr>
        <w:pStyle w:val="ListParagraph"/>
        <w:numPr>
          <w:ilvl w:val="0"/>
          <w:numId w:val="2"/>
        </w:numPr>
        <w:spacing w:after="90" w:line="280"/>
      </w:pPr>
      <w:r>
        <w:rPr>
          <w:b/>
          <w:bCs/>
          <w:sz w:val="22"/>
          <w:szCs w:val="22"/>
        </w:rPr>
        <w:t xml:space="preserve">Estado de validación, </w:t>
      </w:r>
      <w:r>
        <w:rPr>
          <w:sz w:val="22"/>
          <w:szCs w:val="22"/>
        </w:rPr>
        <w:t xml:space="preserve">que permanece en “pendiente de revisión humana” hasta que el especialista confirme un nivel validado o registre una observación propia.</w:t>
      </w:r>
    </w:p>
    <w:p>
      <w:pPr>
        <w:spacing w:after="160" w:line="300"/>
        <w:jc w:val="both"/>
      </w:pPr>
      <w:r>
        <w:rPr>
          <w:sz w:val="22"/>
          <w:szCs w:val="22"/>
        </w:rPr>
        <w:t xml:space="preserve">Cuando la evidencia disponible es insuficiente, el sistema debe proponer el nivel más bajo con baja confianza y explicar por qué, en lugar de inferir o inventar evidencia inexistente. Esta regla evita que la ausencia de información se traduzca en una valoración optimista no sustentada.</w:t>
      </w:r>
    </w:p>
    <w:p>
      <w:pPr>
        <w:pStyle w:val="Heading2"/>
        <w:spacing w:after="120" w:before="260"/>
      </w:pPr>
      <w:r>
        <w:rPr>
          <w:b/>
          <w:bCs/>
          <w:color w:val="2B2B2B"/>
          <w:sz w:val="24"/>
          <w:szCs w:val="24"/>
        </w:rPr>
        <w:t xml:space="preserve">4.5 Consolidación de la retroalimentación del expediente</w:t>
      </w:r>
    </w:p>
    <w:p>
      <w:pPr>
        <w:spacing w:after="160" w:line="300"/>
        <w:jc w:val="both"/>
      </w:pPr>
      <w:r>
        <w:rPr>
          <w:sz w:val="22"/>
          <w:szCs w:val="22"/>
        </w:rPr>
        <w:t xml:space="preserve">El resultado del análisis se consolida en un registro único por expediente que integra:</w:t>
      </w:r>
    </w:p>
    <w:p>
      <w:pPr>
        <w:pStyle w:val="ListParagraph"/>
        <w:numPr>
          <w:ilvl w:val="0"/>
          <w:numId w:val="2"/>
        </w:numPr>
        <w:spacing w:after="90" w:line="280"/>
      </w:pPr>
      <w:r>
        <w:rPr>
          <w:b/>
          <w:bCs/>
          <w:sz w:val="22"/>
          <w:szCs w:val="22"/>
        </w:rPr>
        <w:t xml:space="preserve">Un resumen ejecutivo </w:t>
      </w:r>
      <w:r>
        <w:rPr>
          <w:sz w:val="22"/>
          <w:szCs w:val="22"/>
        </w:rPr>
        <w:t xml:space="preserve">redactado por el modelo a partir de toda la evidencia procesada, con fecha y versión del modelo utilizado.</w:t>
      </w:r>
    </w:p>
    <w:p>
      <w:pPr>
        <w:pStyle w:val="ListParagraph"/>
        <w:numPr>
          <w:ilvl w:val="0"/>
          <w:numId w:val="2"/>
        </w:numPr>
        <w:spacing w:after="90" w:line="280"/>
      </w:pPr>
      <w:r>
        <w:rPr>
          <w:b/>
          <w:bCs/>
          <w:sz w:val="22"/>
          <w:szCs w:val="22"/>
        </w:rPr>
        <w:t xml:space="preserve">Una etiqueta de clúster </w:t>
      </w:r>
      <w:r>
        <w:rPr>
          <w:sz w:val="22"/>
          <w:szCs w:val="22"/>
        </w:rPr>
        <w:t xml:space="preserve">y un nivel de riesgo (bajo, medio o alto) de carácter orientador, no clasificatorio del docente.</w:t>
      </w:r>
    </w:p>
    <w:p>
      <w:pPr>
        <w:pStyle w:val="ListParagraph"/>
        <w:numPr>
          <w:ilvl w:val="0"/>
          <w:numId w:val="2"/>
        </w:numPr>
        <w:spacing w:after="90" w:line="280"/>
      </w:pPr>
      <w:r>
        <w:rPr>
          <w:b/>
          <w:bCs/>
          <w:sz w:val="22"/>
          <w:szCs w:val="22"/>
        </w:rPr>
        <w:t xml:space="preserve">Una lista de hallazgos </w:t>
      </w:r>
      <w:r>
        <w:rPr>
          <w:sz w:val="22"/>
          <w:szCs w:val="22"/>
        </w:rPr>
        <w:t xml:space="preserve">tipificados: revisión por CMID, coherencia entre actividades consecutivas, discrepancias de contenido, evidencia incompleta, patrones pedagógicos relevantes, similitud entre documentos, archivos faltantes o archivos duplicados en otros expedientes.</w:t>
      </w:r>
    </w:p>
    <w:p>
      <w:pPr>
        <w:pStyle w:val="ListParagraph"/>
        <w:numPr>
          <w:ilvl w:val="0"/>
          <w:numId w:val="2"/>
        </w:numPr>
        <w:spacing w:after="90" w:line="280"/>
      </w:pPr>
      <w:r>
        <w:rPr>
          <w:b/>
          <w:bCs/>
          <w:sz w:val="22"/>
          <w:szCs w:val="22"/>
        </w:rPr>
        <w:t xml:space="preserve">Las valoraciones de rúbrica </w:t>
      </w:r>
      <w:r>
        <w:rPr>
          <w:sz w:val="22"/>
          <w:szCs w:val="22"/>
        </w:rPr>
        <w:t xml:space="preserve">descritas en el punto anterior, vinculadas a sus criterios y artefactos de evidencia.</w:t>
      </w:r>
    </w:p>
    <w:p>
      <w:pPr>
        <w:spacing w:after="160" w:line="300"/>
        <w:jc w:val="both"/>
      </w:pPr>
      <w:r>
        <w:rPr>
          <w:sz w:val="22"/>
          <w:szCs w:val="22"/>
        </w:rPr>
        <w:t xml:space="preserve">Esta consolidación es lo que el especialista revisa como “retroalimentación preparada por la IA” sobre el compromiso documental del docente: no sustituye su criterio profesional, pero reduce sustancialmente el tiempo dedicado a localizar y organizar la evidencia dispersa entre múltiples archivos y formatos.</w:t>
      </w:r>
    </w:p>
    <w:p>
      <w:pPr>
        <w:pStyle w:val="Heading2"/>
        <w:spacing w:after="120" w:before="260"/>
      </w:pPr>
      <w:r>
        <w:rPr>
          <w:b/>
          <w:bCs/>
          <w:color w:val="2B2B2B"/>
          <w:sz w:val="24"/>
          <w:szCs w:val="24"/>
        </w:rPr>
        <w:t xml:space="preserve">4.6 Trazabilidad y validación humana</w:t>
      </w:r>
    </w:p>
    <w:p>
      <w:pPr>
        <w:spacing w:after="160" w:line="300"/>
        <w:jc w:val="both"/>
      </w:pPr>
      <w:r>
        <w:rPr>
          <w:sz w:val="22"/>
          <w:szCs w:val="22"/>
        </w:rPr>
        <w:t xml:space="preserve">Cada valoración conserva la versión del modelo que la generó y puede ser confirmada, corregida o descartada por el especialista, quien además puede anotar una observación profesional. La propuesta original de la IA se conserva en paralelo a la decisión humana con fines de auditoría, de manera que en cualquier momento pueda reconstruirse qué modelo, qué evidencia y qué criterio originaron una determinada señal, y qué decisión humana la reemplazó o confirmó.</w:t>
      </w:r>
    </w:p>
    <w:p>
      <w:pPr>
        <w:pStyle w:val="Heading1"/>
        <w:pBdr>
          <w:bottom w:val="single" w:color="7A1F2B" w:sz="8" w:space="4"/>
        </w:pBdr>
        <w:spacing w:after="160" w:before="360"/>
      </w:pPr>
      <w:r>
        <w:rPr>
          <w:b/>
          <w:bCs/>
          <w:color w:val="7A1F2B"/>
          <w:sz w:val="28"/>
          <w:szCs w:val="28"/>
        </w:rPr>
        <w:t xml:space="preserve">5. Consideraciones éticas y de gobierno de la IA</w:t>
      </w:r>
    </w:p>
    <w:p>
      <w:pPr>
        <w:pStyle w:val="ListParagraph"/>
        <w:numPr>
          <w:ilvl w:val="0"/>
          <w:numId w:val="2"/>
        </w:numPr>
        <w:spacing w:after="90" w:line="280"/>
      </w:pPr>
      <w:r>
        <w:rPr>
          <w:b/>
          <w:bCs/>
          <w:sz w:val="22"/>
          <w:szCs w:val="22"/>
        </w:rPr>
        <w:t xml:space="preserve">Humano al mando: </w:t>
      </w:r>
      <w:r>
        <w:rPr>
          <w:sz w:val="22"/>
          <w:szCs w:val="22"/>
        </w:rPr>
        <w:t xml:space="preserve">ninguna salida de la IA se convierte por sí sola en una valoración oficial; el especialista siempre decide.</w:t>
      </w:r>
    </w:p>
    <w:p>
      <w:pPr>
        <w:pStyle w:val="ListParagraph"/>
        <w:numPr>
          <w:ilvl w:val="0"/>
          <w:numId w:val="2"/>
        </w:numPr>
        <w:spacing w:after="90" w:line="280"/>
      </w:pPr>
      <w:r>
        <w:rPr>
          <w:b/>
          <w:bCs/>
          <w:sz w:val="22"/>
          <w:szCs w:val="22"/>
        </w:rPr>
        <w:t xml:space="preserve">Moodle como fuente de verdad: </w:t>
      </w:r>
      <w:r>
        <w:rPr>
          <w:sz w:val="22"/>
          <w:szCs w:val="22"/>
        </w:rPr>
        <w:t xml:space="preserve">la plataforma no modifica ni elimina la evidencia original; solo trabaja con copias de análisis.</w:t>
      </w:r>
    </w:p>
    <w:p>
      <w:pPr>
        <w:pStyle w:val="ListParagraph"/>
        <w:numPr>
          <w:ilvl w:val="0"/>
          <w:numId w:val="2"/>
        </w:numPr>
        <w:spacing w:after="90" w:line="280"/>
      </w:pPr>
      <w:r>
        <w:rPr>
          <w:b/>
          <w:bCs/>
          <w:sz w:val="22"/>
          <w:szCs w:val="22"/>
        </w:rPr>
        <w:t xml:space="preserve">Minimización y separación de identidad: </w:t>
      </w:r>
      <w:r>
        <w:rPr>
          <w:sz w:val="22"/>
          <w:szCs w:val="22"/>
        </w:rPr>
        <w:t xml:space="preserve">el diseño institucional establece trabajar con un seudónimo docente en el pipeline de IA y conservar la identidad nominal en una zona separada; esta es una recomendación de evolución del MVP hacia el diseño objetivo de privacidad por diseño.</w:t>
      </w:r>
    </w:p>
    <w:p>
      <w:pPr>
        <w:pStyle w:val="ListParagraph"/>
        <w:numPr>
          <w:ilvl w:val="0"/>
          <w:numId w:val="2"/>
        </w:numPr>
        <w:spacing w:after="90" w:line="280"/>
      </w:pPr>
      <w:r>
        <w:rPr>
          <w:b/>
          <w:bCs/>
          <w:sz w:val="22"/>
          <w:szCs w:val="22"/>
        </w:rPr>
        <w:t xml:space="preserve">Defensa ante instrucciones incrustadas en documentos: </w:t>
      </w:r>
      <w:r>
        <w:rPr>
          <w:sz w:val="22"/>
          <w:szCs w:val="22"/>
        </w:rPr>
        <w:t xml:space="preserve">el contenido de los archivos se trata siempre como evidencia, nunca como una instrucción para el modelo, evitando así que un documento intente alterar el comportamiento del analista automatizado.</w:t>
      </w:r>
    </w:p>
    <w:p>
      <w:pPr>
        <w:pStyle w:val="ListParagraph"/>
        <w:numPr>
          <w:ilvl w:val="0"/>
          <w:numId w:val="2"/>
        </w:numPr>
        <w:spacing w:after="90" w:line="280"/>
      </w:pPr>
      <w:r>
        <w:rPr>
          <w:b/>
          <w:bCs/>
          <w:sz w:val="22"/>
          <w:szCs w:val="22"/>
        </w:rPr>
        <w:t xml:space="preserve">Transparencia del límite del sistema: </w:t>
      </w:r>
      <w:r>
        <w:rPr>
          <w:sz w:val="22"/>
          <w:szCs w:val="22"/>
        </w:rPr>
        <w:t xml:space="preserve">cuando no se transcribe audio, no se detecta emoción o no se identifica a estudiantes, el sistema lo declara explícitamente en lugar de omitirlo.</w:t>
      </w:r>
    </w:p>
    <w:p>
      <w:pPr>
        <w:pStyle w:val="ListParagraph"/>
        <w:numPr>
          <w:ilvl w:val="0"/>
          <w:numId w:val="2"/>
        </w:numPr>
        <w:spacing w:after="90" w:line="280"/>
      </w:pPr>
      <w:r>
        <w:rPr>
          <w:b/>
          <w:bCs/>
          <w:sz w:val="22"/>
          <w:szCs w:val="22"/>
        </w:rPr>
        <w:t xml:space="preserve">Auditoría: </w:t>
      </w:r>
      <w:r>
        <w:rPr>
          <w:sz w:val="22"/>
          <w:szCs w:val="22"/>
        </w:rPr>
        <w:t xml:space="preserve">toda decisión humana, todo reprocesamiento y todo cambio de estado del expediente queda registrado con su fecha y autor.</w:t>
      </w:r>
    </w:p>
    <w:p>
      <w:pPr>
        <w:pStyle w:val="Heading1"/>
        <w:pBdr>
          <w:bottom w:val="single" w:color="7A1F2B" w:sz="8" w:space="4"/>
        </w:pBdr>
        <w:spacing w:after="160" w:before="360"/>
      </w:pPr>
      <w:r>
        <w:rPr>
          <w:b/>
          <w:bCs/>
          <w:color w:val="7A1F2B"/>
          <w:sz w:val="28"/>
          <w:szCs w:val="28"/>
        </w:rPr>
        <w:t xml:space="preserve">6. Conclusiones</w:t>
      </w:r>
    </w:p>
    <w:p>
      <w:pPr>
        <w:spacing w:after="160" w:line="300"/>
        <w:jc w:val="both"/>
      </w:pPr>
      <w:r>
        <w:rPr>
          <w:sz w:val="22"/>
          <w:szCs w:val="22"/>
        </w:rPr>
        <w:t xml:space="preserve">La sistematización desarrollada muestra que los criterios pedagógicos, las orientaciones metodológicas y las fuentes documentales requeridas para la retroalimentación no son un conjunto de reglas implícitas dentro de un modelo de lenguaje, sino artefactos explícitos y configurables: una ficha de criterios por actividad (CMID), una rúbrica institucional transversal y un catálogo cerrado de fuentes documentales admitidas provenientes de Moodle. Esta explicitación permite que la retroalimentación generada sea auditable, comparable entre actividades y modificable por el equipo pedagógico sin intervenir en el código del sistema.</w:t>
      </w:r>
    </w:p>
    <w:p>
      <w:pPr>
        <w:spacing w:after="160" w:line="300"/>
        <w:jc w:val="both"/>
      </w:pPr>
      <w:r>
        <w:rPr>
          <w:sz w:val="22"/>
          <w:szCs w:val="22"/>
        </w:rPr>
        <w:t xml:space="preserve">En cuanto a la sistematización de los documentos del diplomado que el docente sube como compromiso con el programa, el reporte evidencia que la plataforma ya combina extracción estructurada de contenido, comparación textual entre entregas y una rúbrica aplicada por actividad para producir una retroalimentación consolidada por expediente, con trazabilidad completa hacia la evidencia y validación humana obligatoria. El componente de representación semántica mediante embeddings está definido en la arquitectura de referencia y cuenta con la extensión pgvector habilitada en la base de datos, y constituye el siguiente paso de evolución del sistema para enriquecer tanto la comparación entre documentos como la consulta conversacional fundamentada sobre el expediente.</w:t>
      </w:r>
    </w:p>
    <w:p>
      <w:pPr>
        <w:spacing w:after="160" w:line="300"/>
        <w:jc w:val="both"/>
      </w:pPr>
      <w:r>
        <w:rPr>
          <w:sz w:val="22"/>
          <w:szCs w:val="22"/>
        </w:rPr>
        <w:t xml:space="preserve">En conjunto, ambos componentes de la actividad —criterios y fuentes para la retroalimentación en Moodle, y sistematización de documentos del diplomado con rúbricas y embeddings— convergen en un mismo principio: la inteligencia artificial organiza y propone; el especialista pedagógico decide.</w:t>
      </w:r>
    </w:p>
    <w:p>
      <w:pPr>
        <w:pStyle w:val="Heading1"/>
        <w:pBdr>
          <w:bottom w:val="single" w:color="7A1F2B" w:sz="8" w:space="4"/>
        </w:pBdr>
        <w:spacing w:after="160" w:before="360"/>
      </w:pPr>
      <w:r>
        <w:rPr>
          <w:b/>
          <w:bCs/>
          <w:color w:val="7A1F2B"/>
          <w:sz w:val="28"/>
          <w:szCs w:val="28"/>
        </w:rPr>
        <w:t xml:space="preserve">7. Referencias</w:t>
      </w:r>
    </w:p>
    <w:p>
      <w:pPr>
        <w:pStyle w:val="ListParagraph"/>
        <w:numPr>
          <w:ilvl w:val="0"/>
          <w:numId w:val="2"/>
        </w:numPr>
        <w:spacing w:after="90" w:line="280"/>
      </w:pPr>
      <w:r>
        <w:rPr>
          <w:sz w:val="22"/>
          <w:szCs w:val="22"/>
        </w:rPr>
        <w:t xml:space="preserve">Documento de arquitectura: </w:t>
      </w:r>
      <w:r>
        <w:rPr>
          <w:rFonts w:ascii="Consolas" w:cs="Consolas" w:eastAsia="Consolas" w:hAnsi="Consolas"/>
          <w:color w:val="7A1F2B"/>
          <w:sz w:val="20"/>
          <w:szCs w:val="20"/>
        </w:rPr>
        <w:t xml:space="preserve">docs/arquitectura-copiloto-pedagogico-difods.md</w:t>
      </w:r>
    </w:p>
    <w:p>
      <w:pPr>
        <w:pStyle w:val="ListParagraph"/>
        <w:numPr>
          <w:ilvl w:val="0"/>
          <w:numId w:val="2"/>
        </w:numPr>
        <w:spacing w:after="90" w:line="280"/>
      </w:pPr>
      <w:r>
        <w:rPr>
          <w:sz w:val="22"/>
          <w:szCs w:val="22"/>
        </w:rPr>
        <w:t xml:space="preserve">Definición de la rúbrica institucional: </w:t>
      </w:r>
      <w:r>
        <w:rPr>
          <w:rFonts w:ascii="Consolas" w:cs="Consolas" w:eastAsia="Consolas" w:hAnsi="Consolas"/>
          <w:color w:val="7A1F2B"/>
          <w:sz w:val="20"/>
          <w:szCs w:val="20"/>
        </w:rPr>
        <w:t xml:space="preserve">apps/api/app/rubric.py</w:t>
      </w:r>
    </w:p>
    <w:p>
      <w:pPr>
        <w:pStyle w:val="ListParagraph"/>
        <w:numPr>
          <w:ilvl w:val="0"/>
          <w:numId w:val="2"/>
        </w:numPr>
        <w:spacing w:after="90" w:line="280"/>
      </w:pPr>
      <w:r>
        <w:rPr>
          <w:sz w:val="22"/>
          <w:szCs w:val="22"/>
        </w:rPr>
        <w:t xml:space="preserve">Motor de análisis de IA y consolidación de hallazgos: </w:t>
      </w:r>
      <w:r>
        <w:rPr>
          <w:rFonts w:ascii="Consolas" w:cs="Consolas" w:eastAsia="Consolas" w:hAnsi="Consolas"/>
          <w:color w:val="7A1F2B"/>
          <w:sz w:val="20"/>
          <w:szCs w:val="20"/>
        </w:rPr>
        <w:t xml:space="preserve">apps/api/app/ai_analysis.py</w:t>
      </w:r>
    </w:p>
    <w:p>
      <w:pPr>
        <w:pStyle w:val="ListParagraph"/>
        <w:numPr>
          <w:ilvl w:val="0"/>
          <w:numId w:val="2"/>
        </w:numPr>
        <w:spacing w:after="90" w:line="280"/>
      </w:pPr>
      <w:r>
        <w:rPr>
          <w:sz w:val="22"/>
          <w:szCs w:val="22"/>
        </w:rPr>
        <w:t xml:space="preserve">Modelo de datos del expediente, artefactos y valoraciones: </w:t>
      </w:r>
      <w:r>
        <w:rPr>
          <w:rFonts w:ascii="Consolas" w:cs="Consolas" w:eastAsia="Consolas" w:hAnsi="Consolas"/>
          <w:color w:val="7A1F2B"/>
          <w:sz w:val="20"/>
          <w:szCs w:val="20"/>
        </w:rPr>
        <w:t xml:space="preserve">apps/api/app/models.py</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2026-09-15T04:42:25.645Z</dcterms:created>
  <dcterms:modified xsi:type="dcterms:W3CDTF">2026-09-15T04:42:25.647Z</dcterms:modified>
</cp:coreProperties>
</file>

<file path=docProps/custom.xml><?xml version="1.0" encoding="utf-8"?>
<Properties xmlns="http://schemas.openxmlformats.org/officeDocument/2006/custom-properties" xmlns:vt="http://schemas.openxmlformats.org/officeDocument/2006/docPropsVTypes"/>
</file>