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UC_XửLýHóaĐơn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Xử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lý hóa đơn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quản lý các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“Xuất hóa đơn”.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lý hóa đơn với các hóa đơn chưa và đã được thanh toán.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hóa đơn muốn xem.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thông tin chi tiết hóa đơn.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là đơn hàng thanh toán bằng tiền mặt thì hiển thị nút “Register payment”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vào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“Register payment”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thanh toán bằng phương thức tiền mặt.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vào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payment”.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Xác nhận thanh toán và thay đổi trạng thái hóa đơn sang đã thanh toán.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 mục “Xuất hóa đơn”.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thông tin chi tiết hóa đơn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783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83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