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shd w:val="clear" w:color="auto" w:fill="E7E6E6"/>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[X] 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shd w:val="clear" w:color="auto" w:fill="E7E6E6"/>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b/>
                <w:color w:val="000000" w:themeColor="text1"/>
              </w:rPr>
              <w:t xml:space="preserve">[X] 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shd w:val="clear" w:color="auto" w:fill="E7E6E6"/>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[X] 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shd w:val="clear" w:color="auto" w:fill="E7E6E6"/>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[X] 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shd w:val="clear" w:color="auto" w:fill="E7E6E6"/>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[X] 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shd w:val="clear" w:color="auto" w:fill="E7E6E6"/>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[X] 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shd w:val="clear" w:color="auto" w:fill="E7E6E6"/>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[X]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shd w:val="clear" w:color="auto" w:fill="E7E6E6"/>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[X] 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shd w:val="clear" w:color="auto" w:fill="E7E6E6"/>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[X] 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shd w:val="clear" w:color="auto" w:fill="E7E6E6"/>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[X] 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shd w:val="clear" w:color="auto" w:fill="E7E6E6"/>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lang w:eastAsia="es-CL"/>
              </w:rPr>
              <w:t>[X] 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w:t>
            </w:r>
            <w:r w:rsidRPr="00286901">
              <w:rPr>
                <w:rFonts w:asciiTheme="minorHAnsi" w:eastAsiaTheme="minorEastAsia" w:hAnsiTheme="minorHAnsi" w:cstheme="minorBidi"/>
                <w:color w:val="000000" w:themeColor="text1"/>
                <w:lang w:eastAsia="es-CL"/>
              </w:rPr>
              <w:t xml:space="preserve">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shd w:val="clear" w:color="auto" w:fill="E7E6E6"/>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b/>
              </w:rPr>
              <w:t xml:space="preserve">[X] 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p>
      <w:pPr>
        <w:spacing w:before="200" w:after="80"/>
      </w:pPr>
      <w:r>
        <w:rPr>
          <w:rFonts w:ascii="Calibri" w:hAnsi="Calibri" w:eastAsia="Calibri"/>
          <w:b/>
          <w:color w:val="1C1C1C"/>
          <w:sz w:val="22"/>
        </w:rPr>
        <w:t>Justificación de la autoevaluación</w:t>
      </w:r>
    </w:p>
    <w:p>
      <w:pPr>
        <w:spacing w:after="80"/>
        <w:ind w:left="283" w:hanging="227"/>
        <w:jc w:val="both"/>
      </w:pPr>
      <w:r>
        <w:rPr>
          <w:rFonts w:ascii="Calibri" w:hAnsi="Calibri" w:eastAsia="Calibri"/>
          <w:color w:val="1C1C1C"/>
          <w:sz w:val="20"/>
        </w:rPr>
        <w:t>• Indicadores 1 a 8: la Guía 1.5 describe el proyecto y su relevancia, lo relaciona con las cuatro competencias del perfil de egreso indicando cómo se usa cada una, argumenta la factibilidad con tiempo, materiales y factores externos, y trae objetivos, metodología, plan de trabajo con recursos y obstaculizadores, y evidencias justificadas.</w:t>
      </w:r>
    </w:p>
    <w:p>
      <w:pPr>
        <w:spacing w:after="80"/>
        <w:ind w:left="283" w:hanging="227"/>
        <w:jc w:val="both"/>
      </w:pPr>
      <w:r>
        <w:rPr>
          <w:rFonts w:ascii="Calibri" w:hAnsi="Calibri" w:eastAsia="Calibri"/>
          <w:color w:val="1C1C1C"/>
          <w:sz w:val="20"/>
        </w:rPr>
        <w:t>• Indicador 9 (Logrado): el documento fue revisado, pero al ser un informe extenso con citas normativas y técnicas no puedo asegurar cero errores de redacción o de formato de referencias.</w:t>
      </w:r>
    </w:p>
    <w:p>
      <w:pPr>
        <w:spacing w:after="80"/>
        <w:ind w:left="283" w:hanging="227"/>
        <w:jc w:val="both"/>
      </w:pPr>
      <w:r>
        <w:rPr>
          <w:rFonts w:ascii="Calibri" w:hAnsi="Calibri" w:eastAsia="Calibri"/>
          <w:color w:val="1C1C1C"/>
          <w:sz w:val="20"/>
        </w:rPr>
        <w:t>• Indicador 11 (Logrado): los indicadores de calidad 3.2 (implementa modelos de datos) y 4.3 (implanta la solución) se evidencian recién en la Fase 2; en la Fase 1 están diseñados, no ejecutados.</w:t>
      </w:r>
    </w:p>
    <w:p>
      <w:pPr>
        <w:spacing w:after="80"/>
        <w:ind w:left="283" w:hanging="227"/>
        <w:jc w:val="both"/>
      </w:pPr>
      <w:r>
        <w:rPr>
          <w:rFonts w:ascii="Calibri" w:hAnsi="Calibri" w:eastAsia="Calibri"/>
          <w:color w:val="1C1C1C"/>
          <w:sz w:val="20"/>
        </w:rPr>
        <w:t>• Indicador 12: el abstract, las conclusiones individuales y la reflexión se redactaron en inglés con secuencia lógica y vocabulario técnico.</w:t>
      </w: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19E0C" w14:textId="77777777" w:rsidR="00A65098" w:rsidRDefault="00A65098" w:rsidP="00B2162E">
      <w:r>
        <w:separator/>
      </w:r>
    </w:p>
  </w:endnote>
  <w:endnote w:type="continuationSeparator" w:id="0">
    <w:p w14:paraId="534C6997" w14:textId="77777777" w:rsidR="00A65098" w:rsidRDefault="00A6509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E9302" w14:textId="77777777" w:rsidR="00A65098" w:rsidRDefault="00A65098" w:rsidP="00B2162E">
      <w:r>
        <w:separator/>
      </w:r>
    </w:p>
  </w:footnote>
  <w:footnote w:type="continuationSeparator" w:id="0">
    <w:p w14:paraId="396849F3" w14:textId="77777777" w:rsidR="00A65098" w:rsidRDefault="00A6509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81</cp:revision>
  <cp:lastPrinted>2021-11-25T12:30:00Z</cp:lastPrinted>
  <dcterms:created xsi:type="dcterms:W3CDTF">2022-08-25T15:56:00Z</dcterms:created>
  <dcterms:modified xsi:type="dcterms:W3CDTF">2023-06-30T20:51:00Z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