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100" w:lineRule="auto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Instituto Profesional Duoc UC</w:t>
      </w: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1300" w:lineRule="auto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54"/>
          <w:szCs w:val="54"/>
          <w:rtl w:val="0"/>
        </w:rPr>
        <w:t xml:space="preserve">GUARDIÁN EPP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200" w:lineRule="auto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Reporte de Pruebas Manuales y Automatizadas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100" w:lineRule="auto"/>
        <w:jc w:val="center"/>
        <w:rPr>
          <w:color w:val="000000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Sistema de Monitoreo de Seguridad Operacional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520" w:lineRule="auto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PROYECTO CAPSTONE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900" w:lineRule="auto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br w:type="textWrapping"/>
      </w:r>
      <w:r w:rsidDel="00000000" w:rsidR="00000000" w:rsidRPr="00000000">
        <w:rPr>
          <w:color w:val="000000"/>
          <w:rtl w:val="0"/>
        </w:rPr>
        <w:t xml:space="preserve">Edgar Tolentino, Miguel Ortega, Lian Grandón</w:t>
      </w:r>
    </w:p>
    <w:p w:rsidR="00000000" w:rsidDel="00000000" w:rsidP="00000000" w:rsidRDefault="00000000" w:rsidRPr="00000000" w14:paraId="00000007">
      <w:pPr>
        <w:spacing w:before="900" w:lineRule="auto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840" w:lineRule="auto"/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Santiago de Chile</w:t>
        <w:br w:type="textWrapping"/>
        <w:t xml:space="preserve">2026</w:t>
      </w:r>
    </w:p>
    <w:p w:rsidR="00000000" w:rsidDel="00000000" w:rsidP="00000000" w:rsidRDefault="00000000" w:rsidRPr="00000000" w14:paraId="00000009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Resumen del Plan de Pruebas</w:t>
      </w:r>
    </w:p>
    <w:p w:rsidR="00000000" w:rsidDel="00000000" w:rsidP="00000000" w:rsidRDefault="00000000" w:rsidRPr="00000000" w14:paraId="0000000B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Fecha de ejecución: </w:t>
      </w:r>
      <w:r w:rsidDel="00000000" w:rsidR="00000000" w:rsidRPr="00000000">
        <w:rPr>
          <w:color w:val="000000"/>
          <w:rtl w:val="0"/>
        </w:rPr>
        <w:t xml:space="preserve">2026-09-28</w:t>
      </w:r>
    </w:p>
    <w:p w:rsidR="00000000" w:rsidDel="00000000" w:rsidP="00000000" w:rsidRDefault="00000000" w:rsidRPr="00000000" w14:paraId="0000000C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general: </w:t>
      </w:r>
      <w:r w:rsidDel="00000000" w:rsidR="00000000" w:rsidRPr="00000000">
        <w:rPr>
          <w:color w:val="000000"/>
          <w:rtl w:val="0"/>
        </w:rPr>
        <w:t xml:space="preserve">8 de 8 casos aprobados (100 % de éxito).</w:t>
      </w:r>
    </w:p>
    <w:p w:rsidR="00000000" w:rsidDel="00000000" w:rsidP="00000000" w:rsidRDefault="00000000" w:rsidRPr="00000000" w14:paraId="0000000D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Entorno de ejecución: </w:t>
      </w:r>
      <w:r w:rsidDel="00000000" w:rsidR="00000000" w:rsidRPr="00000000">
        <w:rPr>
          <w:color w:val="000000"/>
          <w:rtl w:val="0"/>
        </w:rPr>
        <w:t xml:space="preserve">Interfaz web en Chromium; API simulada con rutas y datos de prueba.</w:t>
      </w:r>
    </w:p>
    <w:p w:rsidR="00000000" w:rsidDel="00000000" w:rsidP="00000000" w:rsidRDefault="00000000" w:rsidRPr="00000000" w14:paraId="0000000E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Alcance: </w:t>
      </w:r>
      <w:r w:rsidDel="00000000" w:rsidR="00000000" w:rsidRPr="00000000">
        <w:rPr>
          <w:color w:val="000000"/>
          <w:rtl w:val="0"/>
        </w:rPr>
        <w:t xml:space="preserve">Las capturas se tomaron de estados reales de la interfaz durante la ejecución automatizada. Cada caso incluye pasos, resultados y evidencias visuales.</w:t>
      </w:r>
    </w:p>
    <w:p w:rsidR="00000000" w:rsidDel="00000000" w:rsidP="00000000" w:rsidRDefault="00000000" w:rsidRPr="00000000" w14:paraId="0000000F">
      <w:pPr>
        <w:keepLines w:val="1"/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10.0" w:type="dxa"/>
        <w:jc w:val="left"/>
        <w:tblInd w:w="-108.0" w:type="dxa"/>
        <w:tblBorders>
          <w:top w:color="4f81bd" w:space="0" w:sz="8" w:val="single"/>
          <w:bottom w:color="4f81bd" w:space="0" w:sz="8" w:val="single"/>
        </w:tblBorders>
        <w:tblLayout w:type="fixed"/>
        <w:tblLook w:val="04A0"/>
      </w:tblPr>
      <w:tblGrid>
        <w:gridCol w:w="2265"/>
        <w:gridCol w:w="4275"/>
        <w:gridCol w:w="3270"/>
        <w:tblGridChange w:id="0">
          <w:tblGrid>
            <w:gridCol w:w="2265"/>
            <w:gridCol w:w="4275"/>
            <w:gridCol w:w="3270"/>
          </w:tblGrid>
        </w:tblGridChange>
      </w:tblGrid>
      <w:tr>
        <w:trPr>
          <w:cantSplit w:val="0"/>
          <w:tblHeader w:val="0"/>
        </w:trPr>
        <w:tc>
          <w:tcPr>
            <w:shd w:fill="16324f" w:val="clear"/>
            <w:vAlign w:val="center"/>
          </w:tcPr>
          <w:p w:rsidR="00000000" w:rsidDel="00000000" w:rsidP="00000000" w:rsidRDefault="00000000" w:rsidRPr="00000000" w14:paraId="00000010">
            <w:pPr>
              <w:spacing w:after="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Caso</w:t>
            </w:r>
          </w:p>
        </w:tc>
        <w:tc>
          <w:tcPr>
            <w:shd w:fill="16324f" w:val="clear"/>
            <w:vAlign w:val="center"/>
          </w:tcPr>
          <w:p w:rsidR="00000000" w:rsidDel="00000000" w:rsidP="00000000" w:rsidRDefault="00000000" w:rsidRPr="00000000" w14:paraId="00000011">
            <w:pPr>
              <w:spacing w:after="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Prueba</w:t>
            </w:r>
          </w:p>
        </w:tc>
        <w:tc>
          <w:tcPr>
            <w:shd w:fill="16324f" w:val="clear"/>
            <w:vAlign w:val="center"/>
          </w:tcPr>
          <w:p w:rsidR="00000000" w:rsidDel="00000000" w:rsidP="00000000" w:rsidRDefault="00000000" w:rsidRPr="00000000" w14:paraId="00000012">
            <w:pPr>
              <w:spacing w:after="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PT-01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Bandeja y selección múltiple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APROBADO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PT-02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Navegación y cierre del visor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APROBADO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PT-03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Confirmación con atajo de teclado (c)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APROBADO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PT-04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Registro de falso positivo con justificación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APROBADO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F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PT-05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Seleccionar todo y limpiar selección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APROBADO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PT-06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Navegación por teclado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APROBADO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PT-07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Cancelar falso positivo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APROBADO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PT-08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Permisos de solo lectura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after="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APROBADO</w:t>
            </w:r>
          </w:p>
        </w:tc>
      </w:tr>
    </w:tbl>
    <w:p w:rsidR="00000000" w:rsidDel="00000000" w:rsidP="00000000" w:rsidRDefault="00000000" w:rsidRPr="00000000" w14:paraId="0000002B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PT-01: Bandeja y selección múltiple</w:t>
      </w:r>
    </w:p>
    <w:p w:rsidR="00000000" w:rsidDel="00000000" w:rsidP="00000000" w:rsidRDefault="00000000" w:rsidRPr="00000000" w14:paraId="0000002D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Verificar que la bandeja permita seleccionar varios hallazgos y que la barra de acciones refleje el total seleccionado.</w:t>
      </w:r>
    </w:p>
    <w:p w:rsidR="00000000" w:rsidDel="00000000" w:rsidP="00000000" w:rsidRDefault="00000000" w:rsidRPr="00000000" w14:paraId="0000002E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2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Abrir la bandeja principal de hallazgos.</w:t>
      </w:r>
    </w:p>
    <w:p w:rsidR="00000000" w:rsidDel="00000000" w:rsidP="00000000" w:rsidRDefault="00000000" w:rsidRPr="00000000" w14:paraId="00000030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Marcar la casilla del hallazgo H-101.</w:t>
      </w:r>
    </w:p>
    <w:p w:rsidR="00000000" w:rsidDel="00000000" w:rsidP="00000000" w:rsidRDefault="00000000" w:rsidRPr="00000000" w14:paraId="00000031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Marcar la casilla del hallazgo H-102.</w:t>
      </w:r>
    </w:p>
    <w:p w:rsidR="00000000" w:rsidDel="00000000" w:rsidP="00000000" w:rsidRDefault="00000000" w:rsidRPr="00000000" w14:paraId="00000032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Se muestran ambos hallazgos. La barra de acciones aparece y actualiza el contador de 1 a 2 seleccionados.</w:t>
      </w:r>
    </w:p>
    <w:p w:rsidR="00000000" w:rsidDel="00000000" w:rsidP="00000000" w:rsidRDefault="00000000" w:rsidRPr="00000000" w14:paraId="00000033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Se visualizaron ambos casos y la barra mostró el conteo esperado en cada selección.</w:t>
      </w:r>
    </w:p>
    <w:p w:rsidR="00000000" w:rsidDel="00000000" w:rsidP="00000000" w:rsidRDefault="00000000" w:rsidRPr="00000000" w14:paraId="00000034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2"/>
        <w:tblW w:w="9808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04"/>
        <w:gridCol w:w="4904"/>
        <w:tblGridChange w:id="0">
          <w:tblGrid>
            <w:gridCol w:w="4904"/>
            <w:gridCol w:w="49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21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Bandeja inicial con ambos hallazgos.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2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Selección múltiple con dos casos.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PT-02: Navegación y cierre del visor</w:t>
      </w:r>
    </w:p>
    <w:p w:rsidR="00000000" w:rsidDel="00000000" w:rsidP="00000000" w:rsidRDefault="00000000" w:rsidRPr="00000000" w14:paraId="0000003B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Validar que se pueda avanzar entre hallazgos en el visor y que, al cerrarlo, la bandeja conserve su estado.</w:t>
      </w:r>
    </w:p>
    <w:p w:rsidR="00000000" w:rsidDel="00000000" w:rsidP="00000000" w:rsidRDefault="00000000" w:rsidRPr="00000000" w14:paraId="0000003C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3D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Abrir H-101 desde la bandeja.</w:t>
      </w:r>
    </w:p>
    <w:p w:rsidR="00000000" w:rsidDel="00000000" w:rsidP="00000000" w:rsidRDefault="00000000" w:rsidRPr="00000000" w14:paraId="0000003E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Avanzar al hallazgo siguiente, H-102.</w:t>
      </w:r>
    </w:p>
    <w:p w:rsidR="00000000" w:rsidDel="00000000" w:rsidP="00000000" w:rsidRDefault="00000000" w:rsidRPr="00000000" w14:paraId="0000003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Cerrar el visor presionando Escape.</w:t>
      </w:r>
    </w:p>
    <w:p w:rsidR="00000000" w:rsidDel="00000000" w:rsidP="00000000" w:rsidRDefault="00000000" w:rsidRPr="00000000" w14:paraId="00000040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El visor cambia de H-101 a H-102. Al cerrarlo, se vuelve a la bandeja con los hallazgos pendientes disponibles.</w:t>
      </w:r>
    </w:p>
    <w:p w:rsidR="00000000" w:rsidDel="00000000" w:rsidP="00000000" w:rsidRDefault="00000000" w:rsidRPr="00000000" w14:paraId="00000041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Se mostró H-101, luego H-102; Escape cerró el visor y la bandeja siguió disponible.</w:t>
      </w:r>
    </w:p>
    <w:p w:rsidR="00000000" w:rsidDel="00000000" w:rsidP="00000000" w:rsidRDefault="00000000" w:rsidRPr="00000000" w14:paraId="00000042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3"/>
        <w:tblW w:w="9807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69"/>
        <w:gridCol w:w="3269"/>
        <w:gridCol w:w="3269"/>
        <w:tblGridChange w:id="0">
          <w:tblGrid>
            <w:gridCol w:w="3269"/>
            <w:gridCol w:w="3269"/>
            <w:gridCol w:w="32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Visor abierto en H-101.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Visor avanzado a H-102.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4" name="image14.png"/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Bandeja tras cerrar el visor.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PT-03: Confirmación con atajo de teclado (c)</w:t>
      </w:r>
    </w:p>
    <w:p w:rsidR="00000000" w:rsidDel="00000000" w:rsidP="00000000" w:rsidRDefault="00000000" w:rsidRPr="00000000" w14:paraId="0000004B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Comprobar que el atajo c confirme el hallazgo abierto y avance al siguiente caso de la cola.</w:t>
      </w:r>
    </w:p>
    <w:p w:rsidR="00000000" w:rsidDel="00000000" w:rsidP="00000000" w:rsidRDefault="00000000" w:rsidRPr="00000000" w14:paraId="0000004C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4D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Abrir H-101 en el visor de evidencia.</w:t>
      </w:r>
    </w:p>
    <w:p w:rsidR="00000000" w:rsidDel="00000000" w:rsidP="00000000" w:rsidRDefault="00000000" w:rsidRPr="00000000" w14:paraId="0000004E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Presionar la tecla c.</w:t>
      </w:r>
    </w:p>
    <w:p w:rsidR="00000000" w:rsidDel="00000000" w:rsidP="00000000" w:rsidRDefault="00000000" w:rsidRPr="00000000" w14:paraId="0000004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Verificar el avance a H-102; cerrar el visor y revisar la bandeja.</w:t>
      </w:r>
    </w:p>
    <w:p w:rsidR="00000000" w:rsidDel="00000000" w:rsidP="00000000" w:rsidRDefault="00000000" w:rsidRPr="00000000" w14:paraId="00000050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Se registra la decisión confirmado, H-101 sale de pendientes, el visor avanza a H-102 y la bandeja se actualiza.</w:t>
      </w:r>
    </w:p>
    <w:p w:rsidR="00000000" w:rsidDel="00000000" w:rsidP="00000000" w:rsidRDefault="00000000" w:rsidRPr="00000000" w14:paraId="00000051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La decisión se registró como confirmado; el visor avanzó a H-102 y la bandeja quedó con H-102 pendiente.</w:t>
      </w:r>
    </w:p>
    <w:p w:rsidR="00000000" w:rsidDel="00000000" w:rsidP="00000000" w:rsidRDefault="00000000" w:rsidRPr="00000000" w14:paraId="00000052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4"/>
        <w:tblW w:w="9807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69"/>
        <w:gridCol w:w="3269"/>
        <w:gridCol w:w="3269"/>
        <w:tblGridChange w:id="0">
          <w:tblGrid>
            <w:gridCol w:w="3269"/>
            <w:gridCol w:w="3269"/>
            <w:gridCol w:w="32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H-101 antes de confirmar.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6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Confirmación registrada y avance a H-102.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9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Bandeja actualizada después de confirmar.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PT-04: Registro de falso positivo con justificación</w:t>
      </w:r>
    </w:p>
    <w:p w:rsidR="00000000" w:rsidDel="00000000" w:rsidP="00000000" w:rsidRDefault="00000000" w:rsidRPr="00000000" w14:paraId="0000005B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Verificar que una decisión de falso positivo se registre con el motivo escrito por quien revisa.</w:t>
      </w:r>
    </w:p>
    <w:p w:rsidR="00000000" w:rsidDel="00000000" w:rsidP="00000000" w:rsidRDefault="00000000" w:rsidRPr="00000000" w14:paraId="0000005C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5D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Abrir H-101 en el visor.</w:t>
      </w:r>
    </w:p>
    <w:p w:rsidR="00000000" w:rsidDel="00000000" w:rsidP="00000000" w:rsidRDefault="00000000" w:rsidRPr="00000000" w14:paraId="0000005E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Seleccionar Falso positivo.</w:t>
      </w:r>
    </w:p>
    <w:p w:rsidR="00000000" w:rsidDel="00000000" w:rsidP="00000000" w:rsidRDefault="00000000" w:rsidRPr="00000000" w14:paraId="0000005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Ingresar El casco está cubierto por la estructura y guardar la decisión.</w:t>
      </w:r>
    </w:p>
    <w:p w:rsidR="00000000" w:rsidDel="00000000" w:rsidP="00000000" w:rsidRDefault="00000000" w:rsidRPr="00000000" w14:paraId="00000060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</w:t>
      </w:r>
      <w:r w:rsidDel="00000000" w:rsidR="00000000" w:rsidRPr="00000000">
        <w:rPr>
          <w:color w:val="000000"/>
          <w:rtl w:val="0"/>
        </w:rPr>
        <w:t xml:space="preserve">Verificar el avance al siguiente caso.</w:t>
      </w:r>
    </w:p>
    <w:p w:rsidR="00000000" w:rsidDel="00000000" w:rsidP="00000000" w:rsidRDefault="00000000" w:rsidRPr="00000000" w14:paraId="00000061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Se solicita el motivo, se envía falso_positivo con el texto ingresado y el visor avanza al siguiente caso.</w:t>
      </w:r>
    </w:p>
    <w:p w:rsidR="00000000" w:rsidDel="00000000" w:rsidP="00000000" w:rsidRDefault="00000000" w:rsidRPr="00000000" w14:paraId="00000062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El motivo se guardó con la decisión y el visor avanzó a H-102.</w:t>
      </w:r>
    </w:p>
    <w:p w:rsidR="00000000" w:rsidDel="00000000" w:rsidP="00000000" w:rsidRDefault="00000000" w:rsidRPr="00000000" w14:paraId="00000063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5"/>
        <w:tblW w:w="9807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69"/>
        <w:gridCol w:w="3269"/>
        <w:gridCol w:w="3269"/>
        <w:tblGridChange w:id="0">
          <w:tblGrid>
            <w:gridCol w:w="3269"/>
            <w:gridCol w:w="3269"/>
            <w:gridCol w:w="32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8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Diálogo de falso positivo.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32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Motivo ingresado antes de guardar.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30" name="image13.png"/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Decisión guardada y avance a H-102.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PT-05: Seleccionar todo y limpiar selección</w:t>
      </w:r>
    </w:p>
    <w:p w:rsidR="00000000" w:rsidDel="00000000" w:rsidP="00000000" w:rsidRDefault="00000000" w:rsidRPr="00000000" w14:paraId="0000006C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Comprobar el checkbox general de la tabla y la acción para limpiar la selección.</w:t>
      </w:r>
    </w:p>
    <w:p w:rsidR="00000000" w:rsidDel="00000000" w:rsidP="00000000" w:rsidRDefault="00000000" w:rsidRPr="00000000" w14:paraId="0000006D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6E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Abrir la bandeja de hallazgos.</w:t>
      </w:r>
    </w:p>
    <w:p w:rsidR="00000000" w:rsidDel="00000000" w:rsidP="00000000" w:rsidRDefault="00000000" w:rsidRPr="00000000" w14:paraId="0000006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Marcar Seleccionar todos en la cabecera.</w:t>
      </w:r>
    </w:p>
    <w:p w:rsidR="00000000" w:rsidDel="00000000" w:rsidP="00000000" w:rsidRDefault="00000000" w:rsidRPr="00000000" w14:paraId="00000070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Pulsar Limpiar selección en la barra de acciones.</w:t>
      </w:r>
    </w:p>
    <w:p w:rsidR="00000000" w:rsidDel="00000000" w:rsidP="00000000" w:rsidRDefault="00000000" w:rsidRPr="00000000" w14:paraId="00000071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Se marcan ambos casos y la barra indica 2 seleccionados. Al limpiar, las casillas quedan desmarcadas y la barra desaparece.</w:t>
      </w:r>
    </w:p>
    <w:p w:rsidR="00000000" w:rsidDel="00000000" w:rsidP="00000000" w:rsidRDefault="00000000" w:rsidRPr="00000000" w14:paraId="00000072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La selección global marcó ambos casos; al limpiar, la barra desapareció y H-101 quedó desmarcado.</w:t>
      </w:r>
    </w:p>
    <w:p w:rsidR="00000000" w:rsidDel="00000000" w:rsidP="00000000" w:rsidRDefault="00000000" w:rsidRPr="00000000" w14:paraId="00000073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6"/>
        <w:tblW w:w="9808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04"/>
        <w:gridCol w:w="4904"/>
        <w:tblGridChange w:id="0">
          <w:tblGrid>
            <w:gridCol w:w="4904"/>
            <w:gridCol w:w="49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31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Todos los hallazgos seleccionados.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33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Bandeja tras limpiar la selección.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PT-06: Navegación por teclado</w:t>
      </w:r>
    </w:p>
    <w:p w:rsidR="00000000" w:rsidDel="00000000" w:rsidP="00000000" w:rsidRDefault="00000000" w:rsidRPr="00000000" w14:paraId="0000007A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Validar que j y k cambien el hallazgo activo en la bandeja y que se pueda abrir el seleccionado.</w:t>
      </w:r>
    </w:p>
    <w:p w:rsidR="00000000" w:rsidDel="00000000" w:rsidP="00000000" w:rsidRDefault="00000000" w:rsidRPr="00000000" w14:paraId="0000007B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7C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Enfocar la bandeja con H-101 como caso activo.</w:t>
      </w:r>
    </w:p>
    <w:p w:rsidR="00000000" w:rsidDel="00000000" w:rsidP="00000000" w:rsidRDefault="00000000" w:rsidRPr="00000000" w14:paraId="0000007D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Presionar j y comprobar que H-102 queda activo.</w:t>
      </w:r>
    </w:p>
    <w:p w:rsidR="00000000" w:rsidDel="00000000" w:rsidP="00000000" w:rsidRDefault="00000000" w:rsidRPr="00000000" w14:paraId="0000007E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Presionar k y comprobar que vuelve a H-101.</w:t>
      </w:r>
    </w:p>
    <w:p w:rsidR="00000000" w:rsidDel="00000000" w:rsidP="00000000" w:rsidRDefault="00000000" w:rsidRPr="00000000" w14:paraId="0000007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</w:t>
      </w:r>
      <w:r w:rsidDel="00000000" w:rsidR="00000000" w:rsidRPr="00000000">
        <w:rPr>
          <w:color w:val="000000"/>
          <w:rtl w:val="0"/>
        </w:rPr>
        <w:t xml:space="preserve">Volver a H-102 y abrirlo con su botón de evidencia.</w:t>
      </w:r>
    </w:p>
    <w:p w:rsidR="00000000" w:rsidDel="00000000" w:rsidP="00000000" w:rsidRDefault="00000000" w:rsidRPr="00000000" w14:paraId="00000080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La fila activa cambia entre H-101 y H-102; al abrir el caso seleccionado, el visor muestra H-102.</w:t>
      </w:r>
    </w:p>
    <w:p w:rsidR="00000000" w:rsidDel="00000000" w:rsidP="00000000" w:rsidRDefault="00000000" w:rsidRPr="00000000" w14:paraId="00000081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j y k actualizaron la fila activa y se abrió el visor de H-102.</w:t>
      </w:r>
    </w:p>
    <w:p w:rsidR="00000000" w:rsidDel="00000000" w:rsidP="00000000" w:rsidRDefault="00000000" w:rsidRPr="00000000" w14:paraId="00000082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7"/>
        <w:tblW w:w="9807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69"/>
        <w:gridCol w:w="3269"/>
        <w:gridCol w:w="3269"/>
        <w:tblGridChange w:id="0">
          <w:tblGrid>
            <w:gridCol w:w="3269"/>
            <w:gridCol w:w="3269"/>
            <w:gridCol w:w="32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34" name="image16.png"/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H-102 activo después de j.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35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H-101 activo después de k.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3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Visor abierto en H-102.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PT-07: Cancelar falso positivo</w:t>
      </w:r>
    </w:p>
    <w:p w:rsidR="00000000" w:rsidDel="00000000" w:rsidP="00000000" w:rsidRDefault="00000000" w:rsidRPr="00000000" w14:paraId="0000008B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Comprobar que cancelar el diálogo no aplique una decisión ni cierre el visor.</w:t>
      </w:r>
    </w:p>
    <w:p w:rsidR="00000000" w:rsidDel="00000000" w:rsidP="00000000" w:rsidRDefault="00000000" w:rsidRPr="00000000" w14:paraId="0000008C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8D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Abrir H-101 en el visor.</w:t>
      </w:r>
    </w:p>
    <w:p w:rsidR="00000000" w:rsidDel="00000000" w:rsidP="00000000" w:rsidRDefault="00000000" w:rsidRPr="00000000" w14:paraId="0000008E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Abrir el diálogo de Falso positivo.</w:t>
      </w:r>
    </w:p>
    <w:p w:rsidR="00000000" w:rsidDel="00000000" w:rsidP="00000000" w:rsidRDefault="00000000" w:rsidRPr="00000000" w14:paraId="0000008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Pulsar Cancelar.</w:t>
      </w:r>
    </w:p>
    <w:p w:rsidR="00000000" w:rsidDel="00000000" w:rsidP="00000000" w:rsidRDefault="00000000" w:rsidRPr="00000000" w14:paraId="00000090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El diálogo se cierra, H-101 permanece abierto, el foco vuelve al control que abrió el diálogo y no se envía una decisión.</w:t>
      </w:r>
    </w:p>
    <w:p w:rsidR="00000000" w:rsidDel="00000000" w:rsidP="00000000" w:rsidRDefault="00000000" w:rsidRPr="00000000" w14:paraId="00000091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El diálogo se cerró, H-101 permaneció abierto, se restauró el foco y no se registró ninguna decisión.</w:t>
      </w:r>
    </w:p>
    <w:p w:rsidR="00000000" w:rsidDel="00000000" w:rsidP="00000000" w:rsidRDefault="00000000" w:rsidRPr="00000000" w14:paraId="00000092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8"/>
        <w:tblW w:w="9808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04"/>
        <w:gridCol w:w="4904"/>
        <w:tblGridChange w:id="0">
          <w:tblGrid>
            <w:gridCol w:w="4904"/>
            <w:gridCol w:w="49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37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Diálogo de falso positivo antes de cancelar.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38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Visor conservado tras cancelar.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PT-08: Permisos de solo lectura</w:t>
      </w:r>
    </w:p>
    <w:p w:rsidR="00000000" w:rsidDel="00000000" w:rsidP="00000000" w:rsidRDefault="00000000" w:rsidRPr="00000000" w14:paraId="00000099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Verificar que una sesión sin permiso de triage pueda consultar evidencia, pero no seleccionar ni decidir hallazgos.</w:t>
      </w:r>
    </w:p>
    <w:p w:rsidR="00000000" w:rsidDel="00000000" w:rsidP="00000000" w:rsidRDefault="00000000" w:rsidRPr="00000000" w14:paraId="0000009A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9B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Iniciar la aplicación con permisos ver_hallazgos y ver_evidencia, sin triar_hallazgos.</w:t>
      </w:r>
    </w:p>
    <w:p w:rsidR="00000000" w:rsidDel="00000000" w:rsidP="00000000" w:rsidRDefault="00000000" w:rsidRPr="00000000" w14:paraId="0000009C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Comprobar que la selección de H-101 está deshabilitada.</w:t>
      </w:r>
    </w:p>
    <w:p w:rsidR="00000000" w:rsidDel="00000000" w:rsidP="00000000" w:rsidRDefault="00000000" w:rsidRPr="00000000" w14:paraId="0000009D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Abrir H-101 y revisar las acciones del visor.</w:t>
      </w:r>
    </w:p>
    <w:p w:rsidR="00000000" w:rsidDel="00000000" w:rsidP="00000000" w:rsidRDefault="00000000" w:rsidRPr="00000000" w14:paraId="0000009E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La selección y las acciones Confirmar/Falso positivo no están disponibles; la evidencia sí se puede consultar.</w:t>
      </w:r>
    </w:p>
    <w:p w:rsidR="00000000" w:rsidDel="00000000" w:rsidP="00000000" w:rsidRDefault="00000000" w:rsidRPr="00000000" w14:paraId="0000009F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La selección quedó deshabilitada, el visor abrió y no mostró acciones de triage.</w:t>
      </w:r>
    </w:p>
    <w:p w:rsidR="00000000" w:rsidDel="00000000" w:rsidP="00000000" w:rsidRDefault="00000000" w:rsidRPr="00000000" w14:paraId="000000A0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9"/>
        <w:tblW w:w="9808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04"/>
        <w:gridCol w:w="4904"/>
        <w:tblGridChange w:id="0">
          <w:tblGrid>
            <w:gridCol w:w="4904"/>
            <w:gridCol w:w="49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39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Bandeja en sesión de solo lectura.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40" name="image15.png"/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2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Visor sin acciones de triage.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sectPr>
      <w:headerReference r:id="rId23" w:type="default"/>
      <w:footerReference r:id="rId24" w:type="default"/>
      <w:pgSz w:h="16838" w:w="11906" w:orient="portrait"/>
      <w:pgMar w:bottom="935" w:top="935" w:left="1049" w:right="1049" w:header="425" w:footer="425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02833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6573"/>
        <w:sz w:val="16"/>
        <w:szCs w:val="16"/>
        <w:u w:val="none"/>
        <w:shd w:fill="auto" w:val="clear"/>
        <w:vertAlign w:val="baseline"/>
        <w:rtl w:val="0"/>
      </w:rPr>
      <w:t xml:space="preserve">Duoc UC  ·  Reporte de pruebas  ·  Página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02833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02833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6573"/>
        <w:sz w:val="16"/>
        <w:szCs w:val="16"/>
        <w:u w:val="none"/>
        <w:shd w:fill="auto" w:val="clear"/>
        <w:vertAlign w:val="baseline"/>
        <w:rtl w:val="0"/>
      </w:rPr>
      <w:t xml:space="preserve">GUARDIÁN EPP  |  PROYECTO CAPSTONE 2026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02833"/>
        <w:sz w:val="19"/>
        <w:szCs w:val="19"/>
        <w:lang w:val="en"/>
      </w:rPr>
    </w:rPrDefault>
    <w:pPrDefault>
      <w:pPr>
        <w:spacing w:after="1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16324f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9e1b32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b w:val="1"/>
      <w:bCs w:val="1"/>
      <w:color w:val="16324f"/>
      <w:sz w:val="50"/>
      <w:szCs w:val="50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 w:val="1"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Textoindependiente">
    <w:name w:val="Body Text"/>
    <w:basedOn w:val="Normal"/>
    <w:link w:val="TextoindependienteCar"/>
    <w:uiPriority w:val="99"/>
    <w:unhideWhenUsed w:val="1"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 w:val="1"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aconnmeros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Continuarlista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macro">
    <w:name w:val="macro"/>
    <w:link w:val="Texto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 w:val="1"/>
      <w:iCs w:val="1"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Descripci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 w:val="1"/>
    <w:rsid w:val="00FC693F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FC693F"/>
    <w:rPr>
      <w:i w:val="1"/>
      <w:iCs w:val="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issutil">
    <w:name w:val="Subtle Emphasis"/>
    <w:basedOn w:val="Fuentedeprrafopredeter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isintenso">
    <w:name w:val="Intense Emphasis"/>
    <w:basedOn w:val="Fuentedeprrafopredeter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enciasutil">
    <w:name w:val="Subtle Reference"/>
    <w:basedOn w:val="Fuentedeprrafopredeter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TDC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rPr>
      <w:color w:val="36609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left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cBorders>
        <w:shd w:fill="d3dfee" w:val="clear"/>
      </w:tcPr>
    </w:tblStylePr>
    <w:tblStylePr w:type="band1Vert">
      <w:tcPr>
        <w:tcBorders>
          <w:left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cBorders>
        <w:shd w:fill="d3dfee" w:val="clear"/>
      </w:tcPr>
    </w:tblStylePr>
    <w:tblStylePr w:type="firstCol">
      <w:rPr>
        <w:b w:val="1"/>
        <w:bCs w:val="1"/>
      </w:rPr>
    </w:tblStylePr>
    <w:tblStylePr w:type="firstRow">
      <w:pPr>
        <w:spacing w:after="0" w:before="0" w:line="240" w:lineRule="auto"/>
      </w:pPr>
      <w:rPr>
        <w:b w:val="1"/>
        <w:bCs w:val="1"/>
      </w:rPr>
      <w:tcPr>
        <w:tcBorders>
          <w:top w:color="4f81bd" w:space="0" w:sz="8" w:val="single"/>
          <w:left w:color="000000" w:space="0" w:sz="0" w:val="nil"/>
          <w:bottom w:color="4f81bd" w:space="0" w:sz="8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after="0" w:before="0" w:line="240" w:lineRule="auto"/>
      </w:pPr>
      <w:rPr>
        <w:b w:val="1"/>
        <w:bCs w:val="1"/>
      </w:rPr>
      <w:tcPr>
        <w:tcBorders>
          <w:top w:color="4f81bd" w:space="0" w:sz="8" w:val="single"/>
          <w:left w:color="000000" w:space="0" w:sz="0" w:val="nil"/>
          <w:bottom w:color="4f81bd" w:space="0" w:sz="8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11" Type="http://schemas.openxmlformats.org/officeDocument/2006/relationships/image" Target="media/image14.png"/><Relationship Id="rId22" Type="http://schemas.openxmlformats.org/officeDocument/2006/relationships/image" Target="media/image15.png"/><Relationship Id="rId10" Type="http://schemas.openxmlformats.org/officeDocument/2006/relationships/image" Target="media/image3.png"/><Relationship Id="rId21" Type="http://schemas.openxmlformats.org/officeDocument/2006/relationships/image" Target="media/image5.png"/><Relationship Id="rId13" Type="http://schemas.openxmlformats.org/officeDocument/2006/relationships/image" Target="media/image2.png"/><Relationship Id="rId24" Type="http://schemas.openxmlformats.org/officeDocument/2006/relationships/footer" Target="footer1.xml"/><Relationship Id="rId12" Type="http://schemas.openxmlformats.org/officeDocument/2006/relationships/image" Target="media/image10.png"/><Relationship Id="rId23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7" Type="http://schemas.openxmlformats.org/officeDocument/2006/relationships/image" Target="media/image7.png"/><Relationship Id="rId16" Type="http://schemas.openxmlformats.org/officeDocument/2006/relationships/image" Target="media/image13.png"/><Relationship Id="rId5" Type="http://schemas.openxmlformats.org/officeDocument/2006/relationships/styles" Target="styles.xml"/><Relationship Id="rId19" Type="http://schemas.openxmlformats.org/officeDocument/2006/relationships/image" Target="media/image12.png"/><Relationship Id="rId6" Type="http://schemas.openxmlformats.org/officeDocument/2006/relationships/customXml" Target="../customXML/item1.xml"/><Relationship Id="rId18" Type="http://schemas.openxmlformats.org/officeDocument/2006/relationships/image" Target="media/image16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4fBwrGCcudNpbT8zB+0Rrwon2A==">CgMxLjA4AHIhMUZtd05DYjJZUHNGbmxvam1GZUVEVVdpdFFNQmtITUJf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Proyecto Capstone 2026 - S10</dc:creator>
</cp:coreProperties>
</file>