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1394F"/>
          <w:sz w:val="28"/>
        </w:rPr>
        <w:t>Diseño de producto v0.2</w:t>
      </w:r>
    </w:p>
    <w:p>
      <w:pPr>
        <w:pStyle w:val="Title"/>
        <w:jc w:val="center"/>
      </w:pPr>
      <w:r>
        <w:t xml:space="preserve">Sitemap y journeys de Fase A</w:t>
      </w:r>
    </w:p>
    <w:p>
      <w:pPr>
        <w:jc w:val="center"/>
      </w:pPr>
      <w:r>
        <w:rPr>
          <w:i/>
          <w:sz w:val="24"/>
        </w:rPr>
        <w:t xml:space="preserve">Plataforma digital de herramientas, contenidos, captación y servicios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2592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768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>
              <w:t>0.2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>
              <w:t>Flujos aprobados incorporados; decisiones restantes identificadas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>
              <w:t>13 de octubre de 2026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Documento fuente</w:t>
            </w:r>
          </w:p>
        </w:tc>
        <w:tc>
          <w:tcPr>
            <w:tcW w:type="dxa" w:w="6768"/>
            <w:vAlign w:val="center"/>
          </w:tcPr>
          <w:p>
            <w:r>
              <w:t>BRD v0.6; Arquitectura v0.5; Concepto v0.8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Prioridad de producto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PyMEs (P1)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Modelo de acceso</w:t>
            </w:r>
          </w:p>
        </w:tc>
        <w:tc>
          <w:tcPr>
            <w:tcW w:type="dxa" w:w="6768"/>
            <w:vAlign w:val="center"/>
          </w:tcPr>
          <w:p>
            <w:r>
              <w:t>Sin cuentas. Check inmediato; magic links de recursos y compras.</w:t>
            </w:r>
          </w:p>
        </w:tc>
      </w:tr>
    </w:tbl>
    <w:p/>
    <w:p>
      <w:pPr>
        <w:jc w:val="center"/>
      </w:pPr>
      <w:r>
        <w:rPr>
          <w:sz w:val="20"/>
        </w:rPr>
        <w:t xml:space="preserve">Objetivo: traducir los requerimientos de la Fase A del BRD en páginas y recorridos concretos, listos para wireframes, diseño y backlog.</w:t>
      </w:r>
    </w:p>
    <w:p>
      <w:r>
        <w:br w:type="page"/>
      </w:r>
    </w:p>
    <w:p>
      <w:pPr>
        <w:pStyle w:val="Heading1"/>
        <w:keepNext/>
      </w:pPr>
      <w:r>
        <w:t xml:space="preserve">1. Alcance y principios</w:t>
      </w:r>
    </w:p>
    <w:p>
      <w:r>
        <w:t>Cubre Fase A RF-A01 a RF-A17, con RF-A15 retirado, y documenta el contrato de compra B para su extensión futura. Los flujos restantes conservan alcance y pendientes propios.</w:t>
      </w:r>
    </w:p>
    <w:p>
      <w:pPr>
        <w:pStyle w:val="ListBullet"/>
        <w:spacing w:after="20"/>
      </w:pPr>
      <w:r>
        <w:t xml:space="preserve">Un CTA primario por página: el Check PyME en el contenido y el siguiente paso natural en las herramientas.</w:t>
      </w:r>
    </w:p>
    <w:p>
      <w:pPr>
        <w:pStyle w:val="ListBullet"/>
        <w:spacing w:after="20"/>
      </w:pPr>
      <w:r>
        <w:t>Sin cuentas públicas. El Check no se recupera. Los magic links permanecen en lead magnets y compras y en los flujos futuros habilitados.</w:t>
      </w:r>
    </w:p>
    <w:p>
      <w:pPr>
        <w:pStyle w:val="ListBullet"/>
        <w:spacing w:after="20"/>
      </w:pPr>
      <w:r>
        <w:t xml:space="preserve">Fricción mínima: la calculadora no pide datos personales y el Check no pide estados financieros.</w:t>
      </w:r>
    </w:p>
    <w:p>
      <w:pPr>
        <w:pStyle w:val="ListBullet"/>
        <w:spacing w:after="20"/>
      </w:pPr>
      <w:r>
        <w:t>Antes de capturar datos el Check solo muestra “Tu informe está listo”; resultado completo después del envío.</w:t>
      </w:r>
    </w:p>
    <w:p>
      <w:pPr>
        <w:pStyle w:val="ListBullet"/>
        <w:spacing w:after="20"/>
      </w:pPr>
      <w:r>
        <w:t xml:space="preserve">Móvil primero: una pregunta por pantalla en el Check, botones grandes y sin ventanas emergentes.</w:t>
      </w:r>
    </w:p>
    <w:p>
      <w:pPr>
        <w:pStyle w:val="ListBullet"/>
        <w:spacing w:after="20"/>
      </w:pPr>
      <w:r>
        <w:t xml:space="preserve">Cada recorrido emite eventos que alimentan los gates de validación (sección 4).</w:t>
      </w:r>
    </w:p>
    <w:p>
      <w:pPr>
        <w:pStyle w:val="Heading1"/>
        <w:keepNext/>
      </w:pPr>
      <w:r>
        <w:t xml:space="preserve">2. Sitemap de Fase A</w:t>
      </w:r>
    </w:p>
    <w:p>
      <w:pPr>
        <w:pStyle w:val="Heading2"/>
        <w:keepNext/>
      </w:pPr>
      <w:r>
        <w:t xml:space="preserve">2.1 Páginas públicas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1900"/>
        <w:gridCol w:w="4188"/>
        <w:gridCol w:w="1500"/>
        <w:gridCol w:w="1000"/>
      </w:tblGrid>
      <w:tr>
        <w:trPr>
          <w:tblHeader/>
          <w:cantSplit/>
        </w:trPr>
        <w:tc>
          <w:tcPr>
            <w:tcW w:type="dxa" w:w="25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URL</w:t>
            </w:r>
          </w:p>
        </w:tc>
        <w:tc>
          <w:tcPr>
            <w:tcW w:type="dxa" w:w="19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Página</w:t>
            </w:r>
          </w:p>
        </w:tc>
        <w:tc>
          <w:tcPr>
            <w:tcW w:type="dxa" w:w="4188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Propósito</w:t>
            </w:r>
          </w:p>
        </w:tc>
        <w:tc>
          <w:tcPr>
            <w:tcW w:type="dxa" w:w="15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Ref.</w:t>
            </w:r>
          </w:p>
        </w:tc>
        <w:tc>
          <w:tcPr>
            <w:tcW w:type="dxa" w:w="10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Indexar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Home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Propuesta de valor, accesos al Check, a la calculadora y al lead magnet, artículos recientes y video destacado.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RF-A01, A07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/check-pyme/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Check PyME (entrada)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Explicar qué evalúa, qué se obtiene y qué no es; iniciar el cuestionario.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RF-A04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/check-pyme/diagnostico/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Cuestionario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8 preguntas, una por pantalla en móvil, con avance visible.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RF-A04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>
              <w:t>/check-pyme/resultado/</w:t>
            </w:r>
          </w:p>
        </w:tc>
        <w:tc>
          <w:tcPr>
            <w:tcW w:type="dxa" w:w="1900"/>
            <w:vAlign w:val="center"/>
          </w:tcPr>
          <w:p>
            <w:r>
              <w:t>Informe listo y captura</w:t>
            </w:r>
          </w:p>
        </w:tc>
        <w:tc>
          <w:tcPr>
            <w:tcW w:type="dxa" w:w="4188"/>
            <w:vAlign w:val="center"/>
          </w:tcPr>
          <w:p>
            <w:r>
              <w:t>“Tu informe está listo”; nombre/correo/empresa obligatorios, WhatsApp opcional. Tras envío válido muestra resultado completo y PDF.</w:t>
            </w:r>
          </w:p>
        </w:tc>
        <w:tc>
          <w:tcPr>
            <w:tcW w:type="dxa" w:w="1500"/>
            <w:vAlign w:val="center"/>
          </w:tcPr>
          <w:p>
            <w:r>
              <w:t>RF-A05, A09, A17</w:t>
            </w:r>
          </w:p>
        </w:tc>
        <w:tc>
          <w:tcPr>
            <w:tcW w:type="dxa" w:w="1000"/>
            <w:vAlign w:val="center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/herramientas/{calculadora}/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Calculadora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Cálculo inmediato sin registro; CTA al Check PyME.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RF-A02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/recursos/{lead-magnet}/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Lead magnet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Describir el recurso y capturar nombre, correo y consentimientos.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RF-A03, A09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/recursos/{lead-magnet}/gracias/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Gracias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Confirma el envío al correo y sugiere el Check PyME.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RF-A03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/blog/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Blog (listado)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Artículos por fecha y categoría.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RF-A06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/blog/{slug}/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Artículo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Contenido con CTA contextual y video embebido cuando aplique.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RF-A06, A07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/contacto/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Comentarios y solicitudes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Formulario categorizado.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RF-A08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/acerca/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Acerca de (propuesta)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Quién está detrás de la plataforma; genera confianza antes de dejar datos.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/privacidad/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Aviso de privacidad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Texto vigente enlazado desde todos los formularios.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RF-A09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/terminos/</w:t>
            </w:r>
          </w:p>
        </w:tc>
        <w:tc>
          <w:tcPr>
            <w:tcW w:type="dxa" w:w="19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Términos de uso (propuesta)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Alcance del Check y disclaimer: no es calificación crediticia ni diagnóstico integral.</w:t>
            </w:r>
          </w:p>
        </w:tc>
        <w:tc>
          <w:tcPr>
            <w:tcW w:type="dxa" w:w="15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RF-A04</w:t>
            </w:r>
          </w:p>
        </w:tc>
        <w:tc>
          <w:tcPr>
            <w:tcW w:type="dxa" w:w="1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Sí</w:t>
            </w:r>
          </w:p>
        </w:tc>
      </w:tr>
    </w:tbl>
    <w:p/>
    <w:p>
      <w:pPr>
        <w:pStyle w:val="Heading2"/>
        <w:keepNext/>
      </w:pPr>
      <w:r>
        <w:t xml:space="preserve">2.2 Páginas de acceso (sin cuenta, no indexables)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2300"/>
        <w:gridCol w:w="4188"/>
        <w:gridCol w:w="1600"/>
      </w:tblGrid>
      <w:tr>
        <w:trPr>
          <w:tblHeader/>
          <w:cantSplit/>
        </w:trPr>
        <w:tc>
          <w:tcPr>
            <w:tcW w:type="dxa" w:w="30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URL</w:t>
            </w:r>
          </w:p>
        </w:tc>
        <w:tc>
          <w:tcPr>
            <w:tcW w:type="dxa" w:w="23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Página</w:t>
            </w:r>
          </w:p>
        </w:tc>
        <w:tc>
          <w:tcPr>
            <w:tcW w:type="dxa" w:w="4188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Propósito</w:t>
            </w:r>
          </w:p>
        </w:tc>
        <w:tc>
          <w:tcPr>
            <w:tcW w:type="dxa" w:w="16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Ref.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>
              <w:t>/acceso/{token}/</w:t>
            </w:r>
          </w:p>
        </w:tc>
        <w:tc>
          <w:tcPr>
            <w:tcW w:type="dxa" w:w="2300"/>
            <w:vAlign w:val="center"/>
          </w:tcPr>
          <w:p>
            <w:r>
              <w:t>Confirmación del recurso</w:t>
            </w:r>
          </w:p>
        </w:tc>
        <w:tc>
          <w:tcPr>
            <w:tcW w:type="dxa" w:w="4188"/>
            <w:vAlign w:val="center"/>
          </w:tcPr>
          <w:p>
            <w:r>
              <w:t>Magic links de lead magnets y compras futuras; GET no consume. No permite acceder al Check.</w:t>
            </w:r>
          </w:p>
        </w:tc>
        <w:tc>
          <w:tcPr>
            <w:tcW w:type="dxa" w:w="1600"/>
            <w:vAlign w:val="center"/>
          </w:tcPr>
          <w:p>
            <w:r>
              <w:t>RN-002, RN-007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>
              <w:t>/diagnostico/{DIA-AAAA-NNNNNN}/</w:t>
            </w:r>
          </w:p>
        </w:tc>
        <w:tc>
          <w:tcPr>
            <w:tcW w:type="dxa" w:w="2300"/>
            <w:vAlign w:val="center"/>
          </w:tcPr>
          <w:p>
            <w:r>
              <w:t>Endpoint de resultado activo</w:t>
            </w:r>
          </w:p>
        </w:tc>
        <w:tc>
          <w:tcPr>
            <w:tcW w:type="dxa" w:w="4188"/>
            <w:vAlign w:val="center"/>
          </w:tcPr>
          <w:p>
            <w:r>
              <w:t>Uso interno del recorrido activo. ID solo no autoriza. No es URL de recuperación ni se comparte por correo.</w:t>
            </w:r>
          </w:p>
        </w:tc>
        <w:tc>
          <w:tcPr>
            <w:tcW w:type="dxa" w:w="1600"/>
            <w:vAlign w:val="center"/>
          </w:tcPr>
          <w:p>
            <w:r>
              <w:t>RF-A05, A17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>
              <w:t>/diagnostico/{id}/orientacion/</w:t>
            </w:r>
          </w:p>
        </w:tc>
        <w:tc>
          <w:tcPr>
            <w:tcW w:type="dxa" w:w="2300"/>
            <w:vAlign w:val="center"/>
          </w:tcPr>
          <w:p>
            <w:r>
              <w:t>Orientación desde resultado</w:t>
            </w:r>
          </w:p>
        </w:tc>
        <w:tc>
          <w:tcPr>
            <w:tcW w:type="dxa" w:w="4188"/>
            <w:vAlign w:val="center"/>
          </w:tcPr>
          <w:p>
            <w:r>
              <w:t>Acción dentro de la misma pantalla, con datos precargados y autorización del contexto activo.</w:t>
            </w:r>
          </w:p>
        </w:tc>
        <w:tc>
          <w:tcPr>
            <w:tcW w:type="dxa" w:w="1600"/>
            <w:vAlign w:val="center"/>
          </w:tcPr>
          <w:p>
            <w:r>
              <w:t>RF-A14, A17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/baja/{token}/</w:t>
            </w:r>
          </w:p>
        </w:tc>
        <w:tc>
          <w:tcPr>
            <w:tcW w:type="dxa" w:w="23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Baja de comunicaciones</w:t>
            </w:r>
          </w:p>
        </w:tc>
        <w:tc>
          <w:tcPr>
            <w:tcW w:type="dxa" w:w="41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Confirma la baja de envíos comerciales.</w:t>
            </w:r>
          </w:p>
        </w:tc>
        <w:tc>
          <w:tcPr>
            <w:tcW w:type="dxa" w:w="1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RF-A10</w:t>
            </w:r>
          </w:p>
        </w:tc>
      </w:tr>
    </w:tbl>
    <w:p/>
    <w:p>
      <w:pPr>
        <w:pStyle w:val="Heading2"/>
        <w:keepNext/>
      </w:pPr>
      <w:r>
        <w:t xml:space="preserve">2.3 Técnicas y operativas</w:t>
      </w:r>
    </w:p>
    <w:p>
      <w:r>
        <w:t xml:space="preserve">Técnicas: /sitemap.xml, /robots.txt, /health/ para monitoreo y páginas 404 y 500 con enlace a la Home y al Check PyME. Operativa: /admin/ (backoffice con MFA, no indexable). Los nombres {calculadora} y {lead-magnet} están por definir.</w:t>
      </w:r>
    </w:p>
    <w:p>
      <w:pPr>
        <w:pStyle w:val="Heading2"/>
        <w:keepNext/>
      </w:pPr>
      <w:r>
        <w:t xml:space="preserve">2.4 Navegación</w:t>
      </w:r>
    </w:p>
    <w:p>
      <w:pPr>
        <w:pStyle w:val="ListBullet"/>
        <w:spacing w:after="20"/>
      </w:pPr>
      <w:r>
        <w:t xml:space="preserve">Encabezado: Check PyME (destacado), Herramientas (enlaza directo a la calculadora mientras sea una sola), Blog y Contacto.</w:t>
      </w:r>
    </w:p>
    <w:p>
      <w:pPr>
        <w:pStyle w:val="ListBullet"/>
        <w:spacing w:after="20"/>
      </w:pPr>
      <w:r>
        <w:t>Pie: Acerca de, Privacidad y Términos; no incluye “Recuperar mi diagnóstico”. Recuperación de compras se agregará en B bajo un recorrido específico.</w:t>
      </w:r>
    </w:p>
    <w:p>
      <w:pPr>
        <w:pStyle w:val="ListBullet"/>
        <w:spacing w:after="20"/>
      </w:pPr>
      <w:r>
        <w:t xml:space="preserve">El lead magnet no va en el menú: se ofrece en la Home, en artículos y tras la calculadora.</w:t>
      </w:r>
    </w:p>
    <w:p>
      <w:pPr>
        <w:pStyle w:val="Heading1"/>
        <w:keepNext/>
      </w:pPr>
      <w:r>
        <w:t xml:space="preserve">3. Journeys de Fase A</w:t>
      </w:r>
    </w:p>
    <w:p>
      <w:pPr>
        <w:pStyle w:val="Heading2"/>
        <w:keepNext/>
      </w:pPr>
      <w:r>
        <w:t xml:space="preserve">3.1 J1 · Check PyME completo (P-02)</w:t>
      </w:r>
    </w:p>
    <w:p>
      <w:r>
        <w:rPr>
          <w:b/>
        </w:rPr>
        <w:t xml:space="preserve">Objetivo: </w:t>
      </w:r>
      <w:r>
        <w:t xml:space="preserve">que una persona de PyME llegue a su resultado completo con la menor fricción posible.</w:t>
      </w:r>
    </w:p>
    <w:p>
      <w:r>
        <w:rPr>
          <w:b/>
        </w:rPr>
        <w:t xml:space="preserve">Entrada: </w:t>
      </w:r>
      <w:r>
        <w:t xml:space="preserve">Home, artículos, calculadora, página de gracias del lead magnet y campañas.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0"/>
        <w:gridCol w:w="2200"/>
        <w:gridCol w:w="4094"/>
        <w:gridCol w:w="4094"/>
      </w:tblGrid>
      <w:tr>
        <w:trPr>
          <w:tblHeader/>
          <w:cantSplit/>
        </w:trPr>
        <w:tc>
          <w:tcPr>
            <w:tcW w:type="dxa" w:w="7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Paso</w:t>
            </w:r>
          </w:p>
        </w:tc>
        <w:tc>
          <w:tcPr>
            <w:tcW w:type="dxa" w:w="22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Pantalla / URL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La persona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El sistema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2200"/>
          </w:tcPr>
          <w:p>
            <w:r>
              <w:t>/check-pyme/</w:t>
            </w:r>
          </w:p>
        </w:tc>
        <w:tc>
          <w:tcPr>
            <w:tcW w:type="dxa" w:w="4094"/>
          </w:tcPr>
          <w:p>
            <w:r>
              <w:t>Lee qué evalúa y comienza.</w:t>
            </w:r>
          </w:p>
        </w:tc>
        <w:tc>
          <w:tcPr>
            <w:tcW w:type="dxa" w:w="4094"/>
          </w:tcPr>
          <w:p>
            <w:r>
              <w:t>PAGE_VIEW, CHECK_STARTED; nueva ejecución.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2</w:t>
            </w:r>
          </w:p>
        </w:tc>
        <w:tc>
          <w:tcPr>
            <w:tcW w:type="dxa" w:w="2200"/>
          </w:tcPr>
          <w:p>
            <w:r>
              <w:t>/check-pyme/diagnostico/</w:t>
            </w:r>
          </w:p>
        </w:tc>
        <w:tc>
          <w:tcPr>
            <w:tcW w:type="dxa" w:w="4094"/>
          </w:tcPr>
          <w:p>
            <w:r>
              <w:t>Contesta ocho preguntas; puede volver atrás.</w:t>
            </w:r>
          </w:p>
        </w:tc>
        <w:tc>
          <w:tcPr>
            <w:tcW w:type="dxa" w:w="4094"/>
          </w:tcPr>
          <w:p>
            <w:r>
              <w:t>Conserva contexto temporal del recorrido, sin cuenta.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3</w:t>
            </w:r>
          </w:p>
        </w:tc>
        <w:tc>
          <w:tcPr>
            <w:tcW w:type="dxa" w:w="2200"/>
          </w:tcPr>
          <w:p>
            <w:r>
              <w:t>/check-pyme/resultado/</w:t>
            </w:r>
          </w:p>
        </w:tc>
        <w:tc>
          <w:tcPr>
            <w:tcW w:type="dxa" w:w="4094"/>
          </w:tcPr>
          <w:p>
            <w:r>
              <w:t>Ve “Tu informe está listo”.</w:t>
            </w:r>
          </w:p>
        </w:tc>
        <w:tc>
          <w:tcPr>
            <w:tcW w:type="dxa" w:w="4094"/>
          </w:tcPr>
          <w:p>
            <w:r>
              <w:t>CHECK_COMPLETED; calcula internamente sin mostrar score ni hallazgos.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4</w:t>
            </w:r>
          </w:p>
        </w:tc>
        <w:tc>
          <w:tcPr>
            <w:tcW w:type="dxa" w:w="2200"/>
          </w:tcPr>
          <w:p>
            <w:r>
              <w:t>Misma pantalla</w:t>
            </w:r>
          </w:p>
        </w:tc>
        <w:tc>
          <w:tcPr>
            <w:tcW w:type="dxa" w:w="4094"/>
          </w:tcPr>
          <w:p>
            <w:r>
              <w:t>Ingresa nombre, correo, empresa; WhatsApp opcional y consentimientos separados.</w:t>
            </w:r>
          </w:p>
        </w:tc>
        <w:tc>
          <w:tcPr>
            <w:tcW w:type="dxa" w:w="4094"/>
          </w:tcPr>
          <w:p>
            <w:r>
              <w:t>Valida y persiste captura/respuestas/resultado. LEAD_CREATED solo si nuevo; CHECK_CONTACT_SUBMITTED por ejecución.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2200"/>
          </w:tcPr>
          <w:p>
            <w:r>
              <w:t>Misma pantalla</w:t>
            </w:r>
          </w:p>
        </w:tc>
        <w:tc>
          <w:tcPr>
            <w:tcW w:type="dxa" w:w="4094"/>
          </w:tcPr>
          <w:p>
            <w:r>
              <w:t>Consulta resultado completo y pulsa Descargar PDF.</w:t>
            </w:r>
          </w:p>
        </w:tc>
        <w:tc>
          <w:tcPr>
            <w:tcW w:type="dxa" w:w="4094"/>
          </w:tcPr>
          <w:p>
            <w:r>
              <w:t>DIAGNOSIS_RELEASED una vez; PDF_DOWNLOADED al completar entrega. Sin correo/magic link.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6</w:t>
            </w:r>
          </w:p>
        </w:tc>
        <w:tc>
          <w:tcPr>
            <w:tcW w:type="dxa" w:w="2200"/>
          </w:tcPr>
          <w:p>
            <w:r>
              <w:t>Misma pantalla</w:t>
            </w:r>
          </w:p>
        </w:tc>
        <w:tc>
          <w:tcPr>
            <w:tcW w:type="dxa" w:w="4094"/>
          </w:tcPr>
          <w:p>
            <w:r>
              <w:t>Reintenta si falla; puede solicitar orientación con datos capturados.</w:t>
            </w:r>
          </w:p>
        </w:tc>
        <w:tc>
          <w:tcPr>
            <w:tcW w:type="dxa" w:w="4094"/>
          </w:tcPr>
          <w:p>
            <w:r>
              <w:t>Misma ejecución; no duplicar registros. ORIENTATION_REQUESTED si la solicita.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7</w:t>
            </w:r>
          </w:p>
        </w:tc>
        <w:tc>
          <w:tcPr>
            <w:tcW w:type="dxa" w:w="2200"/>
          </w:tcPr>
          <w:p>
            <w:r>
              <w:t>Salida del resultado</w:t>
            </w:r>
          </w:p>
        </w:tc>
        <w:tc>
          <w:tcPr>
            <w:tcW w:type="dxa" w:w="4094"/>
          </w:tcPr>
          <w:p>
            <w:r>
              <w:t>Sale; para otro informe inicia nuevo Check.</w:t>
            </w:r>
          </w:p>
        </w:tc>
        <w:tc>
          <w:tcPr>
            <w:tcW w:type="dxa" w:w="4094"/>
          </w:tcPr>
          <w:p>
            <w:r>
              <w:t>No recuperar ni reenviar el informe; conservar internamente 12 meses.</w:t>
            </w:r>
          </w:p>
        </w:tc>
      </w:tr>
    </w:tbl>
    <w:p/>
    <w:p>
      <w:r>
        <w:rPr>
          <w:b/>
        </w:rPr>
        <w:t xml:space="preserve">Éxito: </w:t>
      </w:r>
      <w:r>
        <w:t xml:space="preserve">diagnóstico liberado. Cuenta para el gate: finalización del Check ≥ 40% y ≥ 15 diagnósticos liberados.</w:t>
      </w:r>
    </w:p>
    <w:p>
      <w:r>
        <w:rPr>
          <w:b/>
        </w:rPr>
        <w:t xml:space="preserve">Excepciones: </w:t>
      </w:r>
      <w:r>
        <w:t xml:space="preserve"/>
      </w:r>
    </w:p>
    <w:p>
      <w:pPr>
        <w:pStyle w:val="ListBullet"/>
        <w:spacing w:after="20"/>
      </w:pPr>
      <w:r>
        <w:t>Abandona el recorrido: vuelve a iniciar para obtener un informe nuevo. La duración técnica del contexto temporal se cierra en arquitectura; no ofrecer borradores o resultados como recuperación pública.</w:t>
      </w:r>
    </w:p>
    <w:p>
      <w:pPr>
        <w:pStyle w:val="ListBullet"/>
        <w:spacing w:after="20"/>
      </w:pPr>
      <w:r>
        <w:t>Abandona tras “Tu informe está listo”: medir CHECK_COMPLETED frente a CHECK_CONTACT_SUBMITTED y DIAGNOSIS_RELEASED, sin confundir leads nuevos con capturas.</w:t>
      </w:r>
    </w:p>
    <w:p>
      <w:pPr>
        <w:pStyle w:val="ListBullet"/>
        <w:spacing w:after="20"/>
      </w:pPr>
      <w:r>
        <w:t>Correo mal escrito: validar formato en formulario y permitir corregir antes de enviar. La descarga no depende de un correo enviado; no afirmar que el email fue verificado.</w:t>
      </w:r>
    </w:p>
    <w:p>
      <w:pPr>
        <w:pStyle w:val="ListBullet"/>
        <w:spacing w:after="20"/>
      </w:pPr>
      <w:r>
        <w:t>Sale del resultado: no hay enlace de recuperación. Un nuevo informe exige cuestionario y captura nuevos.</w:t>
      </w:r>
    </w:p>
    <w:p>
      <w:pPr>
        <w:pStyle w:val="ListBullet"/>
        <w:spacing w:after="20"/>
      </w:pPr>
      <w:r>
        <w:t xml:space="preserve">Doble envío o recarga del formulario: la operación es idempotente; un correo es un lead.</w:t>
      </w:r>
    </w:p>
    <w:p>
      <w:pPr>
        <w:pStyle w:val="ListBullet"/>
        <w:spacing w:after="20"/>
      </w:pPr>
      <w:r>
        <w:t xml:space="preserve">Falla la generación del PDF: se muestra el resultado en pantalla, se registra ERROR_OPERATIONAL y se ofrece reintentar.</w:t>
      </w:r>
    </w:p>
    <w:p>
      <w:r>
        <w:rPr>
          <w:b/>
        </w:rPr>
        <w:t>Eventos J1: PAGE_VIEW, CHECK_STARTED, CHECK_COMPLETED, CHECK_CONTACT_SUBMITTED, LEAD_CREATED si nuevo, DIAGNOSIS_RELEASED, PDF_DOWNLOADED y ERROR_OPERATIONAL.</w:t>
      </w:r>
      <w:r/>
    </w:p>
    <w:p>
      <w:pPr>
        <w:pStyle w:val="Heading2"/>
        <w:keepNext/>
      </w:pPr>
      <w:r>
        <w:t>3 2 J2 retirado recuperación del Check</w:t>
      </w:r>
    </w:p>
    <w:p>
      <w:pPr/>
      <w:r>
        <w:t>La recuperación del diagnóstico se retira. Se conserva J2 como referencia histórica; no hay página ni búsqueda por correo. Reintentar PDF se hace dentro de J1 mientras permanezca en resultado.</w:t>
      </w:r>
    </w:p>
    <w:p>
      <w:pPr>
        <w:pStyle w:val="Heading2"/>
        <w:keepNext/>
      </w:pPr>
      <w:r>
        <w:t xml:space="preserve">3.3 J3 · Solicitud de orientación (RF-A14)</w:t>
      </w:r>
    </w:p>
    <w:p>
      <w:r>
        <w:rPr>
          <w:b/>
        </w:rPr>
        <w:t xml:space="preserve">Objetivo: </w:t>
      </w:r>
      <w:r>
        <w:t xml:space="preserve">que quien ya vio su diagnóstico pida una conversación; es la primera señal comercial real.</w:t>
      </w:r>
    </w:p>
    <w:p>
      <w:r>
        <w:rPr>
          <w:b/>
        </w:rPr>
        <w:t>Entrada: botón “Solicitar orientación” en la pantalla del resultado completo; no abandonar esa pantalla para capturar de nuevo.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0"/>
        <w:gridCol w:w="2200"/>
        <w:gridCol w:w="4094"/>
        <w:gridCol w:w="4094"/>
      </w:tblGrid>
      <w:tr>
        <w:trPr>
          <w:tblHeader/>
          <w:cantSplit/>
        </w:trPr>
        <w:tc>
          <w:tcPr>
            <w:tcW w:type="dxa" w:w="7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Paso</w:t>
            </w:r>
          </w:p>
        </w:tc>
        <w:tc>
          <w:tcPr>
            <w:tcW w:type="dxa" w:w="22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Pantalla / URL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La persona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El sistema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2200"/>
          </w:tcPr>
          <w:p>
            <w:r>
              <w:t>Mismo resultado</w:t>
            </w:r>
          </w:p>
        </w:tc>
        <w:tc>
          <w:tcPr>
            <w:tcW w:type="dxa" w:w="4094"/>
          </w:tcPr>
          <w:p>
            <w:r>
              <w:t>Solicita orientación; ve datos capturados y puede explicar su necesidad.</w:t>
            </w:r>
          </w:p>
        </w:tc>
        <w:tc>
          <w:tcPr>
            <w:tcW w:type="dxa" w:w="4094"/>
          </w:tcPr>
          <w:p>
            <w:r>
              <w:t>Comprueba contexto activo; usa nombre/correo/empresa y WhatsApp si existe.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2</w:t>
            </w:r>
          </w:p>
        </w:tc>
        <w:tc>
          <w:tcPr>
            <w:tcW w:type="dxa" w:w="2200"/>
          </w:tcPr>
          <w:p>
            <w:r>
              <w:t>Misma pantalla</w:t>
            </w:r>
          </w:p>
        </w:tc>
        <w:tc>
          <w:tcPr>
            <w:tcW w:type="dxa" w:w="4094"/>
          </w:tcPr>
          <w:p>
            <w:r>
              <w:t>Envía solicitud explícita y ve confirmación.</w:t>
            </w:r>
          </w:p>
        </w:tc>
        <w:tc>
          <w:tcPr>
            <w:tcW w:type="dxa" w:w="4094"/>
          </w:tcPr>
          <w:p>
            <w:r>
              <w:t>Solicitud ligada al diagnóstico y lead; notificación interna, ORIENTATION_REQUESTED. No suscribir a marketing.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t>3</w:t>
            </w:r>
          </w:p>
        </w:tc>
        <w:tc>
          <w:tcPr>
            <w:tcW w:type="dxa" w:w="2200"/>
          </w:tcPr>
          <w:p>
            <w:r>
              <w:t>Backoffice</w:t>
            </w:r>
          </w:p>
        </w:tc>
        <w:tc>
          <w:tcPr>
            <w:tcW w:type="dxa" w:w="4094"/>
          </w:tcPr>
          <w:p>
            <w:r>
              <w:t>—</w:t>
            </w:r>
          </w:p>
        </w:tc>
        <w:tc>
          <w:tcPr>
            <w:tcW w:type="dxa" w:w="4094"/>
          </w:tcPr>
          <w:p>
            <w:r>
              <w:t>Seguimiento manual nuevo/contactado/cerrado. Sin recuperación pública del informe.</w:t>
            </w:r>
          </w:p>
        </w:tc>
      </w:tr>
    </w:tbl>
    <w:p/>
    <w:p>
      <w:r>
        <w:rPr>
          <w:b/>
        </w:rPr>
        <w:t xml:space="preserve">Éxito: </w:t>
      </w:r>
      <w:r>
        <w:t xml:space="preserve">solicitud registrada y notificada. Cuenta para el gate: ≥ 3 solicitudes.</w:t>
      </w:r>
    </w:p>
    <w:p>
      <w:r>
        <w:rPr>
          <w:b/>
        </w:rPr>
        <w:t xml:space="preserve">Excepciones: </w:t>
      </w:r>
      <w:r>
        <w:t xml:space="preserve"/>
      </w:r>
    </w:p>
    <w:p>
      <w:pPr>
        <w:pStyle w:val="ListBullet"/>
        <w:spacing w:after="20"/>
      </w:pPr>
      <w:r>
        <w:t xml:space="preserve">Envíos repetidos en 24 horas: se agrupan en la solicitud abierta (propuesta).</w:t>
      </w:r>
    </w:p>
    <w:p>
      <w:pPr>
        <w:pStyle w:val="ListBullet"/>
        <w:spacing w:after="20"/>
      </w:pPr>
      <w:r>
        <w:t xml:space="preserve">Falla la notificación interna: la solicitud queda visible en el backoffice y se registra EMAIL_FAILED.</w:t>
      </w:r>
    </w:p>
    <w:p>
      <w:r>
        <w:rPr>
          <w:b/>
        </w:rPr>
        <w:t xml:space="preserve">Pendiente: </w:t>
      </w:r>
      <w:r>
        <w:t xml:space="preserve">responsable, canal y plazo de respuesta del seguimiento (BRD, sección 16).</w:t>
      </w:r>
    </w:p>
    <w:p>
      <w:r>
        <w:rPr>
          <w:b/>
        </w:rPr>
        <w:t xml:space="preserve">Eventos: </w:t>
      </w:r>
      <w:r>
        <w:t xml:space="preserve">ORIENTATION_REQUESTED, EMAIL_FAILED.</w:t>
      </w:r>
    </w:p>
    <w:p>
      <w:pPr>
        <w:pStyle w:val="Heading2"/>
        <w:keepNext/>
      </w:pPr>
      <w:r>
        <w:t xml:space="preserve">3.4 J4 · Lead magnet (P-01, RF-A03)</w:t>
      </w:r>
    </w:p>
    <w:p>
      <w:r>
        <w:rPr>
          <w:b/>
        </w:rPr>
        <w:t xml:space="preserve">Objetivo: </w:t>
      </w:r>
      <w:r>
        <w:t xml:space="preserve">entregar un recurso gratuito a cambio de datos mínimos y sugerir el Check PyME.</w:t>
      </w:r>
    </w:p>
    <w:p>
      <w:r>
        <w:rPr>
          <w:b/>
        </w:rPr>
        <w:t xml:space="preserve">Entrada: </w:t>
      </w:r>
      <w:r>
        <w:t xml:space="preserve">Home, artículos, página de resultado de la calculadora y campañas.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0"/>
        <w:gridCol w:w="2200"/>
        <w:gridCol w:w="4094"/>
        <w:gridCol w:w="4094"/>
      </w:tblGrid>
      <w:tr>
        <w:trPr>
          <w:tblHeader/>
          <w:cantSplit/>
        </w:trPr>
        <w:tc>
          <w:tcPr>
            <w:tcW w:type="dxa" w:w="7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Paso</w:t>
            </w:r>
          </w:p>
        </w:tc>
        <w:tc>
          <w:tcPr>
            <w:tcW w:type="dxa" w:w="22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Pantalla / URL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La persona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El sistema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1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/recursos/{lead-magnet}/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Lee qué incluye el recurso y para quién es.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Registra PAGE_VIEW.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2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Misma pantalla (formulario)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Deja nombre y correo; acepta el consentimiento necesario y, si quiere, el comercial.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Crea o actualiza el lead por correo (RN-015); registra consentimientos; envía el correo de entrega.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3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/recursos/{lead-magnet}/gracias/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Ve que debe revisar su correo y una sugerencia para hacer el Check PyME.</w:t>
            </w:r>
          </w:p>
        </w:tc>
        <w:tc>
          <w:tcPr>
            <w:tcW w:type="dxa" w:w="4094"/>
            <w:vAlign w:val="center"/>
          </w:tcPr>
          <w:p>
            <w:r>
              <w:t>Confirma envío. LEAD_CREATED se emite solo al crear lead, no en cada visita a gracias.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4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Correo → /acceso/{token}/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Pulsa “Descargar”.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El POST entrega el archivo por URL firmada de corta duración y registra LEADMAGNET_DELIVERED.</w:t>
            </w:r>
          </w:p>
        </w:tc>
      </w:tr>
    </w:tbl>
    <w:p/>
    <w:p>
      <w:r>
        <w:rPr>
          <w:b/>
        </w:rPr>
        <w:t xml:space="preserve">Éxito: </w:t>
      </w:r>
      <w:r>
        <w:t xml:space="preserve">recurso entregado.</w:t>
      </w:r>
    </w:p>
    <w:p>
      <w:r>
        <w:rPr>
          <w:b/>
        </w:rPr>
        <w:t xml:space="preserve">Excepciones: </w:t>
      </w:r>
      <w:r>
        <w:t xml:space="preserve"/>
      </w:r>
    </w:p>
    <w:p>
      <w:pPr>
        <w:pStyle w:val="ListBullet"/>
        <w:spacing w:after="20"/>
      </w:pPr>
      <w:r>
        <w:t xml:space="preserve">Correo ya registrado: no se duplica el lead y el recurso se entrega igual.</w:t>
      </w:r>
    </w:p>
    <w:p>
      <w:pPr>
        <w:pStyle w:val="ListBullet"/>
        <w:spacing w:after="20"/>
      </w:pPr>
      <w:r>
        <w:t xml:space="preserve">Perdió el enlace: vuelve a enviar el formulario con el mismo correo y recibe uno nuevo.</w:t>
      </w:r>
    </w:p>
    <w:p>
      <w:r>
        <w:rPr>
          <w:b/>
        </w:rPr>
        <w:t>Eventos J4: PAGE_VIEW, LEAD_CREATED solo al crear lead, LEADMAGNET_DELIVERED y EMAIL_FAILED. Interacciones de leads existentes no duplican altas.</w:t>
      </w:r>
      <w:r/>
    </w:p>
    <w:p>
      <w:pPr>
        <w:pStyle w:val="Heading2"/>
        <w:keepNext/>
      </w:pPr>
      <w:r>
        <w:t xml:space="preserve">3.5 J5 · Calculadora (RF-A02)</w:t>
      </w:r>
    </w:p>
    <w:p>
      <w:r>
        <w:rPr>
          <w:b/>
        </w:rPr>
        <w:t xml:space="preserve">Objetivo: </w:t>
      </w:r>
      <w:r>
        <w:t xml:space="preserve">dar valor inmediato sin pedir datos y empujar al Check PyME.</w:t>
      </w:r>
    </w:p>
    <w:p>
      <w:r>
        <w:rPr>
          <w:b/>
        </w:rPr>
        <w:t xml:space="preserve">Entrada: </w:t>
      </w:r>
      <w:r>
        <w:t xml:space="preserve">buscadores, artículos y la Home.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0"/>
        <w:gridCol w:w="2200"/>
        <w:gridCol w:w="4094"/>
        <w:gridCol w:w="4094"/>
      </w:tblGrid>
      <w:tr>
        <w:trPr>
          <w:tblHeader/>
          <w:cantSplit/>
        </w:trPr>
        <w:tc>
          <w:tcPr>
            <w:tcW w:type="dxa" w:w="7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Paso</w:t>
            </w:r>
          </w:p>
        </w:tc>
        <w:tc>
          <w:tcPr>
            <w:tcW w:type="dxa" w:w="22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Pantalla / URL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La persona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El sistema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1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/herramientas/{calculadora}/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Ingresa los valores; el formulario valida mientras escribe.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Registra TOOL_STARTED.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2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Misma pantalla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Ve el resultado de inmediato, sin dejar correo.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Calcula en servidor y registra TOOL_COMPLETED.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3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Misma pantalla (bajo el resultado)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Ve el CTA contextual: hacer el Check PyME o descargar el recurso relacionado.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Registra el clic en el CTA.</w:t>
            </w:r>
          </w:p>
        </w:tc>
      </w:tr>
    </w:tbl>
    <w:p/>
    <w:p>
      <w:r>
        <w:rPr>
          <w:b/>
        </w:rPr>
        <w:t xml:space="preserve">Éxito: </w:t>
      </w:r>
      <w:r>
        <w:t xml:space="preserve">resultado visto y clic en el CTA.</w:t>
      </w:r>
    </w:p>
    <w:p>
      <w:r>
        <w:rPr>
          <w:b/>
        </w:rPr>
        <w:t xml:space="preserve">Excepciones: </w:t>
      </w:r>
      <w:r>
        <w:t xml:space="preserve"/>
      </w:r>
    </w:p>
    <w:p>
      <w:pPr>
        <w:pStyle w:val="ListBullet"/>
        <w:spacing w:after="20"/>
      </w:pPr>
      <w:r>
        <w:t xml:space="preserve">Entradas inválidas: mensaje junto al campo, sin perder los demás valores.</w:t>
      </w:r>
    </w:p>
    <w:p>
      <w:pPr>
        <w:pStyle w:val="ListBullet"/>
        <w:spacing w:after="20"/>
      </w:pPr>
      <w:r>
        <w:t xml:space="preserve">Sin JavaScript: el formulario se envía y la página se recarga con el resultado (renderizado en servidor).</w:t>
      </w:r>
    </w:p>
    <w:p>
      <w:r>
        <w:rPr>
          <w:b/>
        </w:rPr>
        <w:t xml:space="preserve">Decisión de diseño: </w:t>
      </w:r>
      <w:r>
        <w:t xml:space="preserve">la calculadora no captura datos personales; la captura ocurre en el Check y en el lead magnet.</w:t>
      </w:r>
    </w:p>
    <w:p>
      <w:r>
        <w:rPr>
          <w:b/>
        </w:rPr>
        <w:t xml:space="preserve">Eventos: </w:t>
      </w:r>
      <w:r>
        <w:t xml:space="preserve">PAGE_VIEW, TOOL_STARTED, TOOL_COMPLETED.</w:t>
      </w:r>
    </w:p>
    <w:p>
      <w:pPr>
        <w:pStyle w:val="Heading2"/>
        <w:keepNext/>
      </w:pPr>
      <w:r>
        <w:t xml:space="preserve">3.6 J6 · Blog y videos (RF-A06, RF-A07)</w:t>
      </w:r>
    </w:p>
    <w:p>
      <w:r>
        <w:rPr>
          <w:b/>
        </w:rPr>
        <w:t xml:space="preserve">Objetivo: </w:t>
      </w:r>
      <w:r>
        <w:t xml:space="preserve">convertir lectores de contenido en usuarios del Check PyME o del lead magnet.</w:t>
      </w:r>
    </w:p>
    <w:p>
      <w:r>
        <w:rPr>
          <w:b/>
        </w:rPr>
        <w:t xml:space="preserve">Entrada: </w:t>
      </w:r>
      <w:r>
        <w:t xml:space="preserve">búsqueda orgánica y redes.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0"/>
        <w:gridCol w:w="2200"/>
        <w:gridCol w:w="4094"/>
        <w:gridCol w:w="4094"/>
      </w:tblGrid>
      <w:tr>
        <w:trPr>
          <w:tblHeader/>
          <w:cantSplit/>
        </w:trPr>
        <w:tc>
          <w:tcPr>
            <w:tcW w:type="dxa" w:w="7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Paso</w:t>
            </w:r>
          </w:p>
        </w:tc>
        <w:tc>
          <w:tcPr>
            <w:tcW w:type="dxa" w:w="22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Pantalla / URL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La persona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El sistema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1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/blog/{slug}/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Lee el artículo; ve un video embebido si el tema lo incluye.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Registra PAGE_VIEW; el video se carga solo al pulsar reproducir.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2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Misma pantalla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Encuentra un CTA contextual a mitad del artículo y otro al final (Check PyME o lead magnet, según el tema).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Registra el clic en el CTA.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3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/blog/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Si quiere más, navega el listado.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Muestra los artículos por fecha y categoría.</w:t>
            </w:r>
          </w:p>
        </w:tc>
      </w:tr>
    </w:tbl>
    <w:p/>
    <w:p>
      <w:r>
        <w:rPr>
          <w:b/>
        </w:rPr>
        <w:t xml:space="preserve">Éxito: </w:t>
      </w:r>
      <w:r>
        <w:t xml:space="preserve">clic en un CTA hacia J1 o J4.</w:t>
      </w:r>
    </w:p>
    <w:p>
      <w:r>
        <w:rPr>
          <w:b/>
        </w:rPr>
        <w:t xml:space="preserve">Excepciones: </w:t>
      </w:r>
      <w:r>
        <w:t xml:space="preserve"/>
      </w:r>
    </w:p>
    <w:p>
      <w:pPr>
        <w:pStyle w:val="ListBullet"/>
        <w:spacing w:after="20"/>
      </w:pPr>
      <w:r>
        <w:t xml:space="preserve">Artículo sin CTA configurado: usa el CTA por defecto (Check PyME).</w:t>
      </w:r>
    </w:p>
    <w:p>
      <w:r>
        <w:rPr>
          <w:b/>
        </w:rPr>
        <w:t xml:space="preserve">Eventos: </w:t>
      </w:r>
      <w:r>
        <w:t xml:space="preserve">PAGE_VIEW.</w:t>
      </w:r>
    </w:p>
    <w:p>
      <w:pPr>
        <w:pStyle w:val="Heading2"/>
        <w:keepNext/>
      </w:pPr>
      <w:r>
        <w:t xml:space="preserve">3.7 J7 · Comentarios y solicitudes (P-06, RF-A08)</w:t>
      </w:r>
    </w:p>
    <w:p>
      <w:r>
        <w:rPr>
          <w:b/>
        </w:rPr>
        <w:t xml:space="preserve">Objetivo: </w:t>
      </w:r>
      <w:r>
        <w:t xml:space="preserve">recibir comentarios y solicitudes categorizados con seguimiento manual.</w:t>
      </w:r>
    </w:p>
    <w:p>
      <w:r>
        <w:rPr>
          <w:b/>
        </w:rPr>
        <w:t xml:space="preserve">Entrada: </w:t>
      </w:r>
      <w:r>
        <w:t xml:space="preserve">“Contacto” en el encabezado, pantalla de correo que no llega y el pie de página.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0"/>
        <w:gridCol w:w="2200"/>
        <w:gridCol w:w="4094"/>
        <w:gridCol w:w="4094"/>
      </w:tblGrid>
      <w:tr>
        <w:trPr>
          <w:tblHeader/>
          <w:cantSplit/>
        </w:trPr>
        <w:tc>
          <w:tcPr>
            <w:tcW w:type="dxa" w:w="7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Paso</w:t>
            </w:r>
          </w:p>
        </w:tc>
        <w:tc>
          <w:tcPr>
            <w:tcW w:type="dxa" w:w="22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Pantalla / URL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La persona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El sistema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1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/contacto/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Elige categoría y escribe su mensaje; los datos de contacto son opcionales para comentarios y obligatorios si espera respuesta.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Valida; aplica CAPTCHA y límite de envíos.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2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Misma pantalla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Ve la confirmación de envío.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Registra fecha, categoría, contenido, contacto y estado interno; notifica por correo interno; registra FORM_SUBMITTED.</w:t>
            </w:r>
          </w:p>
        </w:tc>
      </w:tr>
    </w:tbl>
    <w:p/>
    <w:p>
      <w:r>
        <w:rPr>
          <w:b/>
        </w:rPr>
        <w:t xml:space="preserve">Éxito: </w:t>
      </w:r>
      <w:r>
        <w:t xml:space="preserve">mensaje registrado y notificado.</w:t>
      </w:r>
    </w:p>
    <w:p>
      <w:r>
        <w:rPr>
          <w:b/>
        </w:rPr>
        <w:t xml:space="preserve">Excepciones: </w:t>
      </w:r>
      <w:r>
        <w:t xml:space="preserve"/>
      </w:r>
    </w:p>
    <w:p>
      <w:pPr>
        <w:pStyle w:val="ListBullet"/>
        <w:spacing w:after="20"/>
      </w:pPr>
      <w:r>
        <w:t xml:space="preserve">Spam: lo frenan el CAPTCHA y el límite de envíos.</w:t>
      </w:r>
    </w:p>
    <w:p>
      <w:r>
        <w:rPr>
          <w:b/>
        </w:rPr>
        <w:t xml:space="preserve">Eventos: </w:t>
      </w:r>
      <w:r>
        <w:t xml:space="preserve">FORM_SUBMITTED, EMAIL_FAILED.</w:t>
      </w:r>
    </w:p>
    <w:p>
      <w:pPr>
        <w:pStyle w:val="Heading2"/>
        <w:keepNext/>
      </w:pPr>
      <w:r>
        <w:t xml:space="preserve">3.8 J8 · Baja de comunicaciones (RF-A10)</w:t>
      </w:r>
    </w:p>
    <w:p>
      <w:r>
        <w:rPr>
          <w:b/>
        </w:rPr>
        <w:t xml:space="preserve">Objetivo: </w:t>
      </w:r>
      <w:r>
        <w:t xml:space="preserve">permitir la baja inmediata de envíos comerciales sin afectar los correos transaccionales.</w:t>
      </w:r>
    </w:p>
    <w:p>
      <w:r>
        <w:rPr>
          <w:b/>
        </w:rPr>
        <w:t xml:space="preserve">Entrada: </w:t>
      </w:r>
      <w:r>
        <w:t xml:space="preserve">enlace de baja en cada correo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0"/>
        <w:gridCol w:w="2200"/>
        <w:gridCol w:w="4094"/>
        <w:gridCol w:w="4094"/>
      </w:tblGrid>
      <w:tr>
        <w:trPr>
          <w:tblHeader/>
          <w:cantSplit/>
        </w:trPr>
        <w:tc>
          <w:tcPr>
            <w:tcW w:type="dxa" w:w="7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Paso</w:t>
            </w:r>
          </w:p>
        </w:tc>
        <w:tc>
          <w:tcPr>
            <w:tcW w:type="dxa" w:w="22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Pantalla / URL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La persona</w:t>
            </w:r>
          </w:p>
        </w:tc>
        <w:tc>
          <w:tcPr>
            <w:tcW w:type="dxa" w:w="4094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El sistema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1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/baja/{token}/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Ve la página y pulsa “Dejar de recibir comunicaciones comerciales”.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El GET no ejecuta la baja; el POST sí, con efecto inmediato.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2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Misma pantalla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Ve la confirmación y que seguirá recibiendo correos necesarios del servicio (por ejemplo, un magic link que solicite).</w:t>
            </w:r>
          </w:p>
        </w:tc>
        <w:tc>
          <w:tcPr>
            <w:tcW w:type="dxa" w:w="409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Conserva evidencia mínima de la baja (BRD, sección 12).</w:t>
            </w:r>
          </w:p>
        </w:tc>
      </w:tr>
    </w:tbl>
    <w:p/>
    <w:p>
      <w:r>
        <w:rPr>
          <w:b/>
        </w:rPr>
        <w:t xml:space="preserve">Excepciones: </w:t>
      </w:r>
      <w:r>
        <w:t xml:space="preserve"/>
      </w:r>
    </w:p>
    <w:p>
      <w:pPr>
        <w:pStyle w:val="ListBullet"/>
        <w:spacing w:after="20"/>
      </w:pPr>
      <w:r>
        <w:t xml:space="preserve">Enlace inválido: mensaje genérico y enlace a /contacto/.</w:t>
      </w:r>
    </w:p>
    <w:p>
      <w:pPr>
        <w:pStyle w:val="Heading2"/>
        <w:keepNext/>
      </w:pPr>
      <w:r>
        <w:t xml:space="preserve">3.9 J9 · Operación del administrador (RF-A12, RF-A13)</w:t>
      </w:r>
    </w:p>
    <w:p>
      <w:r>
        <w:t xml:space="preserve">Tareas recurrentes en el backoffice. La frecuencia es una sugerencia para la etapa de validación.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800"/>
        <w:gridCol w:w="2288"/>
      </w:tblGrid>
      <w:tr>
        <w:trPr>
          <w:tblHeader/>
          <w:cantSplit/>
        </w:trPr>
        <w:tc>
          <w:tcPr>
            <w:tcW w:type="dxa" w:w="60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Tarea</w:t>
            </w:r>
          </w:p>
        </w:tc>
        <w:tc>
          <w:tcPr>
            <w:tcW w:type="dxa" w:w="28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Frecuencia sugerida</w:t>
            </w:r>
          </w:p>
        </w:tc>
        <w:tc>
          <w:tcPr>
            <w:tcW w:type="dxa" w:w="2288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6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Revisar solicitudes de orientación nuevas y darles seguimiento</w:t>
            </w:r>
          </w:p>
        </w:tc>
        <w:tc>
          <w:tcPr>
            <w:tcW w:type="dxa" w:w="2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Diaria</w:t>
            </w:r>
          </w:p>
        </w:tc>
        <w:tc>
          <w:tcPr>
            <w:tcW w:type="dxa" w:w="2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RF-A14</w:t>
            </w:r>
          </w:p>
        </w:tc>
      </w:tr>
      <w:tr>
        <w:trPr>
          <w:cantSplit/>
        </w:trPr>
        <w:tc>
          <w:tcPr>
            <w:tcW w:type="dxa" w:w="6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Revisar comentarios y solicitudes de /contacto/</w:t>
            </w:r>
          </w:p>
        </w:tc>
        <w:tc>
          <w:tcPr>
            <w:tcW w:type="dxa" w:w="2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Semanal</w:t>
            </w:r>
          </w:p>
        </w:tc>
        <w:tc>
          <w:tcPr>
            <w:tcW w:type="dxa" w:w="2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RF-A08</w:t>
            </w:r>
          </w:p>
        </w:tc>
      </w:tr>
      <w:tr>
        <w:trPr>
          <w:cantSplit/>
        </w:trPr>
        <w:tc>
          <w:tcPr>
            <w:tcW w:type="dxa" w:w="6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Revisar correos fallidos o rebotados</w:t>
            </w:r>
          </w:p>
        </w:tc>
        <w:tc>
          <w:tcPr>
            <w:tcW w:type="dxa" w:w="2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Semanal</w:t>
            </w:r>
          </w:p>
        </w:tc>
        <w:tc>
          <w:tcPr>
            <w:tcW w:type="dxa" w:w="2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RF-A11</w:t>
            </w:r>
          </w:p>
        </w:tc>
      </w:tr>
      <w:tr>
        <w:trPr>
          <w:cantSplit/>
        </w:trPr>
        <w:tc>
          <w:tcPr>
            <w:tcW w:type="dxa" w:w="6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Revisar el reporte de KPIs del gate</w:t>
            </w:r>
          </w:p>
        </w:tc>
        <w:tc>
          <w:tcPr>
            <w:tcW w:type="dxa" w:w="2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Semanal</w:t>
            </w:r>
          </w:p>
        </w:tc>
        <w:tc>
          <w:tcPr>
            <w:tcW w:type="dxa" w:w="2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RF-A13</w:t>
            </w:r>
          </w:p>
        </w:tc>
      </w:tr>
      <w:tr>
        <w:trPr>
          <w:cantSplit/>
        </w:trPr>
        <w:tc>
          <w:tcPr>
            <w:tcW w:type="dxa" w:w="6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Publicar o editar artículos, recursos y testimonios</w:t>
            </w:r>
          </w:p>
        </w:tc>
        <w:tc>
          <w:tcPr>
            <w:tcW w:type="dxa" w:w="2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Según calendario</w:t>
            </w:r>
          </w:p>
        </w:tc>
        <w:tc>
          <w:tcPr>
            <w:tcW w:type="dxa" w:w="2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RF-A12</w:t>
            </w:r>
          </w:p>
        </w:tc>
      </w:tr>
      <w:tr>
        <w:trPr>
          <w:cantSplit/>
        </w:trPr>
        <w:tc>
          <w:tcPr>
            <w:tcW w:type="dxa" w:w="6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Exportar leads (con registro de auditoría)</w:t>
            </w:r>
          </w:p>
        </w:tc>
        <w:tc>
          <w:tcPr>
            <w:tcW w:type="dxa" w:w="2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Bajo demanda</w:t>
            </w:r>
          </w:p>
        </w:tc>
        <w:tc>
          <w:tcPr>
            <w:tcW w:type="dxa" w:w="2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RF-A12</w:t>
            </w:r>
          </w:p>
        </w:tc>
      </w:tr>
    </w:tbl>
    <w:p/>
    <w:p>
      <w:pPr>
        <w:pStyle w:val="Heading1"/>
        <w:keepNext/>
      </w:pPr>
      <w:r>
        <w:t xml:space="preserve">4. Embudo y métricas de los gates</w:t>
      </w:r>
    </w:p>
    <w:p>
      <w:r>
        <w:t xml:space="preserve">Cada etapa del funnel se mide con un evento del BRD (sección 13) y se contrasta con el gate de Fase A (BRD, sección 14).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4400"/>
        <w:gridCol w:w="3688"/>
      </w:tblGrid>
      <w:tr>
        <w:trPr>
          <w:tblHeader/>
          <w:cantSplit/>
        </w:trPr>
        <w:tc>
          <w:tcPr>
            <w:tcW w:type="dxa" w:w="30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Etapa</w:t>
            </w:r>
          </w:p>
        </w:tc>
        <w:tc>
          <w:tcPr>
            <w:tcW w:type="dxa" w:w="44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Evento</w:t>
            </w:r>
          </w:p>
        </w:tc>
        <w:tc>
          <w:tcPr>
            <w:tcW w:type="dxa" w:w="3688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Métrica del gate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Sesión calificada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PAGE_VIEW y eventos de herramienta (≥ 2 páginas o interacción, sin bots ni tráfico interno)</w:t>
            </w:r>
          </w:p>
        </w:tc>
        <w:tc>
          <w:tcPr>
            <w:tcW w:type="dxa" w:w="3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≥ 500 sesiones calificadas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Lead creado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LEAD_CREATED</w:t>
            </w:r>
          </w:p>
        </w:tc>
        <w:tc>
          <w:tcPr>
            <w:tcW w:type="dxa" w:w="3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Conversión visitante→lead ≥ 5%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Check iniciado y completado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CHECK_STARTED, CHECK_COMPLETED</w:t>
            </w:r>
          </w:p>
        </w:tc>
        <w:tc>
          <w:tcPr>
            <w:tcW w:type="dxa" w:w="3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Finalización ≥ 40% de quienes inician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Diagnóstico liberado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DIAGNOSIS_RELEASED</w:t>
            </w:r>
          </w:p>
        </w:tc>
        <w:tc>
          <w:tcPr>
            <w:tcW w:type="dxa" w:w="3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≥ 15 diagnósticos liberados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Orientación solicitada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ORIENTATION_REQUESTED</w:t>
            </w:r>
          </w:p>
        </w:tc>
        <w:tc>
          <w:tcPr>
            <w:tcW w:type="dxa" w:w="3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≥ 3 solicitudes</w:t>
            </w:r>
          </w:p>
        </w:tc>
      </w:tr>
    </w:tbl>
    <w:p/>
    <w:p>
      <w:r>
        <w:t>Medir abandono: inicio→fin del cuestionario, informe listo→captura válida y resultado habilitado→PDF. El Check no tiene paso de confirmación por correo. Contar diagnósticos únicos y leads únicos por separado; el periodo del gate sigue pendiente.</w:t>
      </w:r>
    </w:p>
    <w:p>
      <w:pPr>
        <w:pStyle w:val="Heading1"/>
        <w:keepNext/>
      </w:pPr>
      <w:r>
        <w:t xml:space="preserve">5. Bloques de las páginas clave</w:t>
      </w:r>
    </w:p>
    <w:p>
      <w:r>
        <w:t xml:space="preserve">Contenido mínimo y orden sugerido, como insumo para los wireframes.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0"/>
        <w:gridCol w:w="8488"/>
      </w:tblGrid>
      <w:tr>
        <w:trPr>
          <w:tblHeader/>
          <w:cantSplit/>
        </w:trPr>
        <w:tc>
          <w:tcPr>
            <w:tcW w:type="dxa" w:w="26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Página</w:t>
            </w:r>
          </w:p>
        </w:tc>
        <w:tc>
          <w:tcPr>
            <w:tcW w:type="dxa" w:w="8488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Bloques, en orden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Home</w:t>
            </w:r>
          </w:p>
        </w:tc>
        <w:tc>
          <w:tcPr>
            <w:tcW w:type="dxa" w:w="8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1. Propuesta de valor y CTA “Hacer el Check PyME”</w:t>
            </w:r>
            <w:r>
              <w:rPr>
                <w:rFonts w:ascii="Aptos" w:hAnsi="Aptos"/>
                <w:b w:val="0"/>
                <w:sz w:val="17"/>
              </w:rPr>
              <w:br/>
              <w:t xml:space="preserve">2. Tres accesos: Check PyME, calculadora y recurso descargable</w:t>
            </w:r>
            <w:r>
              <w:rPr>
                <w:rFonts w:ascii="Aptos" w:hAnsi="Aptos"/>
                <w:b w:val="0"/>
                <w:sz w:val="17"/>
              </w:rPr>
              <w:br/>
              <w:t xml:space="preserve">3. Cómo funciona el Check en tres pasos</w:t>
            </w:r>
            <w:r>
              <w:rPr>
                <w:rFonts w:ascii="Aptos" w:hAnsi="Aptos"/>
                <w:b w:val="0"/>
                <w:sz w:val="17"/>
              </w:rPr>
              <w:br/>
              <w:t xml:space="preserve">4. Artículos recientes (3)</w:t>
            </w:r>
            <w:r>
              <w:rPr>
                <w:rFonts w:ascii="Aptos" w:hAnsi="Aptos"/>
                <w:b w:val="0"/>
                <w:sz w:val="17"/>
              </w:rPr>
              <w:br/>
              <w:t xml:space="preserve">5. Video destacado (opcional)</w:t>
            </w:r>
            <w:r>
              <w:rPr>
                <w:rFonts w:ascii="Aptos" w:hAnsi="Aptos"/>
                <w:b w:val="0"/>
                <w:sz w:val="17"/>
              </w:rPr>
              <w:br/>
              <w:t xml:space="preserve">6. Testimonios, solo reales; si aún no hay, se omite el bloque</w:t>
            </w:r>
            <w:r>
              <w:rPr>
                <w:rFonts w:ascii="Aptos" w:hAnsi="Aptos"/>
                <w:b w:val="0"/>
                <w:sz w:val="17"/>
              </w:rPr>
              <w:br/>
              <w:t xml:space="preserve">7. CTA final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/check-pyme/</w:t>
            </w:r>
          </w:p>
        </w:tc>
        <w:tc>
          <w:tcPr>
            <w:tcW w:type="dxa" w:w="8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1. Qué evalúa, en lenguaje simple (8 dimensiones)</w:t>
            </w:r>
            <w:r>
              <w:rPr>
                <w:rFonts w:ascii="Aptos" w:hAnsi="Aptos"/>
                <w:b w:val="0"/>
                <w:sz w:val="17"/>
              </w:rPr>
              <w:br/>
              <w:t xml:space="preserve">2. Qué recibes: score, nivel, fortalezas, brechas, acciones a 30 días y PDF</w:t>
            </w:r>
            <w:r>
              <w:rPr>
                <w:rFonts w:ascii="Aptos" w:hAnsi="Aptos"/>
                <w:b w:val="0"/>
                <w:sz w:val="17"/>
              </w:rPr>
              <w:br/>
              <w:t xml:space="preserve">3. Qué no es: no es calificación crediticia ni diagnóstico financiero integral, y no pide estados financieros</w:t>
            </w:r>
            <w:r>
              <w:rPr>
                <w:rFonts w:ascii="Aptos" w:hAnsi="Aptos"/>
                <w:b w:val="0"/>
                <w:sz w:val="17"/>
              </w:rPr>
              <w:br/>
              <w:t xml:space="preserve">4. Privacidad en una línea con enlace al aviso</w:t>
            </w:r>
            <w:r>
              <w:rPr>
                <w:rFonts w:ascii="Aptos" w:hAnsi="Aptos"/>
                <w:b w:val="0"/>
                <w:sz w:val="17"/>
              </w:rPr>
              <w:br/>
              <w:t xml:space="preserve">5. CTA para iniciar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/diagnostico/{id}/</w:t>
            </w:r>
          </w:p>
        </w:tc>
        <w:tc>
          <w:tcPr>
            <w:tcW w:type="dxa" w:w="8488"/>
            <w:vAlign w:val="center"/>
          </w:tcPr>
          <w:p>
            <w:r>
              <w:t>1. Score y nivel tras captura</w:t>
              <w:br/>
              <w:t>2. Desglose</w:t>
              <w:br/>
              <w:t>3. Hasta dos fortalezas y hasta dos brechas</w:t>
              <w:br/>
              <w:t>4. Tres acciones del catálogo aprobado</w:t>
              <w:br/>
              <w:t>5. Descargar PDF y reintentar</w:t>
              <w:br/>
              <w:t>6. Solicitar orientación dentro de la pantalla</w:t>
              <w:br/>
              <w:t>7. Disclaimer y aviso de que no podrá recuperar el informe después de salir.</w:t>
            </w:r>
          </w:p>
        </w:tc>
      </w:tr>
    </w:tbl>
    <w:p/>
    <w:p>
      <w:pPr>
        <w:pStyle w:val="Heading1"/>
        <w:keepNext/>
      </w:pPr>
      <w:r>
        <w:t xml:space="preserve">6. Estados y mensajes de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4800"/>
        <w:gridCol w:w="3288"/>
      </w:tblGrid>
      <w:tr>
        <w:trPr>
          <w:tblHeader/>
          <w:cantSplit/>
        </w:trPr>
        <w:tc>
          <w:tcPr>
            <w:tcW w:type="dxa" w:w="30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Situación</w:t>
            </w:r>
          </w:p>
        </w:tc>
        <w:tc>
          <w:tcPr>
            <w:tcW w:type="dxa" w:w="4800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Qué ve la persona</w:t>
            </w:r>
          </w:p>
        </w:tc>
        <w:tc>
          <w:tcPr>
            <w:tcW w:type="dxa" w:w="3288"/>
            <w:shd w:fill="21394F" w:val="clear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Salida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Enlace expirado o agotado</w:t>
            </w:r>
          </w:p>
        </w:tc>
        <w:tc>
          <w:tcPr>
            <w:tcW w:type="dxa" w:w="4800"/>
            <w:vAlign w:val="center"/>
          </w:tcPr>
          <w:p>
            <w:r>
              <w:t>Solo recursos entregados por magic link, no el Check.</w:t>
            </w:r>
          </w:p>
        </w:tc>
        <w:tc>
          <w:tcPr>
            <w:tcW w:type="dxa" w:w="3288"/>
            <w:vAlign w:val="center"/>
          </w:tcPr>
          <w:p>
            <w:r>
              <w:t>Reemisión conforme al propósito; en B no reinicia límites.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Enlace inválido</w:t>
            </w:r>
          </w:p>
        </w:tc>
        <w:tc>
          <w:tcPr>
            <w:tcW w:type="dxa" w:w="4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Mensaje genérico, sin datos de ninguna operación</w:t>
            </w:r>
          </w:p>
        </w:tc>
        <w:tc>
          <w:tcPr>
            <w:tcW w:type="dxa" w:w="3288"/>
            <w:vAlign w:val="center"/>
          </w:tcPr>
          <w:p>
            <w:r>
              <w:t>Home o contacto; no ofrecer recuperar diagnóstico.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Límite de solicitudes superado</w:t>
            </w:r>
          </w:p>
        </w:tc>
        <w:tc>
          <w:tcPr>
            <w:tcW w:type="dxa" w:w="4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“Intenta de nuevo en unos minutos”, sin revelar si el correo existe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Reintentar después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El correo no llega</w:t>
            </w:r>
          </w:p>
        </w:tc>
        <w:tc>
          <w:tcPr>
            <w:tcW w:type="dxa" w:w="4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Consejos (revisar spam y confirmar el correo escrito)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Reenvío limitado o /contacto/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Error al generar el PDF</w:t>
            </w:r>
          </w:p>
        </w:tc>
        <w:tc>
          <w:tcPr>
            <w:tcW w:type="dxa" w:w="4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El resultado completo en pantalla y un aviso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Botón para reintentar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Error inesperado (500)</w:t>
            </w:r>
          </w:p>
        </w:tc>
        <w:tc>
          <w:tcPr>
            <w:tcW w:type="dxa" w:w="4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Página de error sobria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Enlaces a la Home y al Check PyME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Sin JavaScript</w:t>
            </w:r>
          </w:p>
        </w:tc>
        <w:tc>
          <w:tcPr>
            <w:tcW w:type="dxa" w:w="4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Formularios y calculadora funcionan con envío tradicional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—</w:t>
            </w:r>
          </w:p>
        </w:tc>
      </w:tr>
    </w:tbl>
    <w:p/>
    <w:p>
      <w:pPr>
        <w:pStyle w:val="Heading1"/>
        <w:keepNext/>
      </w:pPr>
      <w:r>
        <w:t>7 Decisiones pendientes y cambios incorporados</w:t>
      </w:r>
    </w:p>
    <w:p>
      <w:pPr/>
      <w:r>
        <w:t>Pendientes: calculadora y lead magnet definitivos, Acerca de y Términos, textos finales, responsable/canal/SLA de orientación, duración técnica del contexto activo y periodo de medición. Captura del Check, entrega inmediata, retención interna y compras 14 días/tres descargas ya están aprobados.</w:t>
      </w:r>
    </w:p>
    <w:p>
      <w:pPr/>
      <w:r>
        <w:t>Cambios v0.2: J1 inmediato; J2 y RF-A15 retirados; J3 en la pantalla activa; CTA_CLICK/PDF_DOWNLOADED ya presentes en BRD; LEAD_CREATED solo al crear; sin borrador recuperable ni magic link del Check.</w:t>
      </w:r>
    </w:p>
    <w:p>
      <w:pPr>
        <w:pStyle w:val="Heading1"/>
        <w:keepNext/>
      </w:pPr>
      <w:r>
        <w:t xml:space="preserve">8. Siguiente paso</w:t>
      </w:r>
    </w:p>
    <w:p>
      <w:r>
        <w:t>Siguiente entregable: wireframes de J1 completo y estados de error, Home y entrada al Check; modelo lógico y backlog según BRD v0.6. No reabrir preguntas ni catálogo de acciones aprobados.</w:t>
      </w:r>
    </w:p>
    <w:p>
      <w:pPr>
        <w:pStyle w:val="Heading1"/>
        <w:keepNext/>
        <w:pageBreakBefore/>
      </w:pPr>
      <w:r>
        <w:t>9 Contrato de compra digital para Fase B</w:t>
      </w:r>
    </w:p>
    <w:p>
      <w:r>
        <w:t>Producto → Comprar → Stripe Checkout captura correo → webhook válido confirma pago → orden pagada con correo asociado → correo con magic link → confirmación explícita y descarga controlada.</w:t>
      </w:r>
    </w:p>
    <w:p>
      <w:r>
        <w:t>Acceso durante 14 días exactos desde la confirmación del pago y hasta tres descargas exitosas por derecho de entrega de la compra. Abrir el enlace, confirmar acceso sin descargar o un fallo técnico no descuenta descargas. Reemitir el magic link conserva el vencimiento y el saldo restante. Soporte puede autorizar excepciones documentadas y auditadas.</w:t>
      </w:r>
    </w:p>
    <w:p>
      <w:r>
        <w:t>Rutas sugeridas de B: producto, estado de pago, acceso y recuperación de compra. Sin cuentas ni recuperación del Check; GET no consume y pago pendiente/fallido no entrega.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trabajo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6"/>
      </w:rPr>
      <w:t>SITEMAP Y JOURNEYS | PLATAFORMA DIGITAL |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9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39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39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139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Sitemap y journeys de Fase A v0.2</dc:title>
  <dc:subject>Método Productivo; flujos aprobados del Check PyME y compras digitales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