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00"/>
        <w:jc w:val="center"/>
      </w:pPr>
      <w:r>
        <w:drawing>
          <wp:inline xmlns:a="http://schemas.openxmlformats.org/drawingml/2006/main" xmlns:pic="http://schemas.openxmlformats.org/drawingml/2006/picture">
            <wp:extent cx="6309360" cy="35509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tipo_método_productiv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50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 Display" w:hAnsi="Aptos Display"/>
          <w:b/>
          <w:color w:val="07345F"/>
          <w:sz w:val="40"/>
        </w:rPr>
        <w:t>PROPUESTA DE MARCA Y ECOSISTEMA DIGITAL</w:t>
      </w:r>
    </w:p>
    <w:p>
      <w:pPr>
        <w:jc w:val="center"/>
      </w:pPr>
      <w:r>
        <w:rPr>
          <w:color w:val="66717D"/>
          <w:sz w:val="22"/>
        </w:rPr>
        <w:t>Método Productivo · Productividad con sentido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blHeader/>
          <w:cantSplit/>
        </w:trPr>
        <w:tc>
          <w:tcPr>
            <w:tcW w:type="dxa" w:w="10166"/>
            <w:shd w:fill="E8F6F2"/>
            <w:tcBorders>
              <w:top w:val="single" w:sz="8" w:color="00A987"/>
              <w:left w:val="single" w:sz="8" w:color="00A987"/>
              <w:bottom w:val="single" w:sz="8" w:color="00A987"/>
              <w:right w:val="single" w:sz="8" w:color="00A987"/>
            </w:tcBorders>
          </w:tcPr>
          <w:p>
            <w:r>
              <w:rPr>
                <w:b/>
                <w:color w:val="07345F"/>
              </w:rPr>
              <w:t xml:space="preserve">Tesis de marca  </w:t>
            </w:r>
            <w:r>
              <w:t>Convertir conocimiento, datos, tecnología y disciplina de gestión en mejores decisiones y mejores resultados, sin caer en la productividad por la productividad.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Aptos Display" w:hAnsi="Aptos Display"/>
          <w:b/>
          <w:color w:val="07345F"/>
        </w:rPr>
        <w:t>1. Resumen de la propuesta</w:t>
      </w:r>
    </w:p>
    <w:p>
      <w:pPr>
        <w:pStyle w:val="BodyText"/>
      </w:pPr>
      <w:r>
        <w:t>Método Productivo se plantea como una marca paraguas orientada a personas, profesionales, emprendedores y PyMEs que buscan mejorar su capacidad para decidir, aprender, organizar, medir, automatizar y ejecutar. La productividad se entiende como uso inteligente de recursos —dinero, tiempo, información, procesos y tecnología— para obtener mejores resultados.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blHeader/>
          <w:cantSplit/>
        </w:trPr>
        <w:tc>
          <w:tcPr>
            <w:tcW w:type="dxa" w:w="10166"/>
            <w:shd w:fill="E8F6F2"/>
            <w:tcBorders>
              <w:top w:val="single" w:sz="8" w:color="00A987"/>
              <w:left w:val="single" w:sz="8" w:color="00A987"/>
              <w:bottom w:val="single" w:sz="8" w:color="00A987"/>
              <w:right w:val="single" w:sz="8" w:color="00A987"/>
            </w:tcBorders>
          </w:tcPr>
          <w:p>
            <w:r>
              <w:rPr>
                <w:b/>
                <w:color w:val="07345F"/>
              </w:rPr>
              <w:t xml:space="preserve">Promesa central  </w:t>
            </w:r>
            <w:r>
              <w:t>Herramientas, conocimiento y método para trabajar y decidir mejor.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  <w:cantSplit/>
        </w:trPr>
        <w:tc>
          <w:tcPr>
            <w:tcW w:type="dxa" w:w="2592"/>
            <w:shd w:fill="07345F"/>
            <w:tcBorders>
              <w:top w:val="single" w:sz="6" w:color="07345F"/>
              <w:left w:val="single" w:sz="6" w:color="07345F"/>
              <w:bottom w:val="single" w:sz="6" w:color="07345F"/>
              <w:right w:val="single" w:sz="6" w:color="07345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776"/>
            <w:shd w:fill="07345F"/>
            <w:tcBorders>
              <w:top w:val="single" w:sz="6" w:color="07345F"/>
              <w:left w:val="single" w:sz="6" w:color="07345F"/>
              <w:bottom w:val="single" w:sz="6" w:color="07345F"/>
              <w:right w:val="single" w:sz="6" w:color="07345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Propuesta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vAlign w:val="top"/>
          </w:tcPr>
          <w:p>
            <w:pPr>
              <w:spacing w:after="40"/>
            </w:pPr>
            <w:r>
              <w:rPr>
                <w:color w:val="17212B"/>
                <w:sz w:val="18"/>
              </w:rPr>
              <w:t>Marca paraguas</w:t>
            </w:r>
          </w:p>
        </w:tc>
        <w:tc>
          <w:tcPr>
            <w:tcW w:type="dxa" w:w="7776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vAlign w:val="top"/>
          </w:tcPr>
          <w:p>
            <w:pPr>
              <w:spacing w:after="40"/>
            </w:pPr>
            <w:r>
              <w:rPr>
                <w:color w:val="17212B"/>
                <w:sz w:val="18"/>
              </w:rPr>
              <w:t>Método Productivo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shd w:fill="F5F7F9"/>
            <w:vAlign w:val="top"/>
          </w:tcPr>
          <w:p>
            <w:pPr>
              <w:spacing w:after="40"/>
            </w:pPr>
            <w:r>
              <w:rPr>
                <w:color w:val="17212B"/>
                <w:sz w:val="18"/>
              </w:rPr>
              <w:t>Tagline</w:t>
            </w:r>
          </w:p>
        </w:tc>
        <w:tc>
          <w:tcPr>
            <w:tcW w:type="dxa" w:w="7776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shd w:fill="F5F7F9"/>
            <w:vAlign w:val="top"/>
          </w:tcPr>
          <w:p>
            <w:pPr>
              <w:spacing w:after="40"/>
            </w:pPr>
            <w:r>
              <w:rPr>
                <w:color w:val="17212B"/>
                <w:sz w:val="18"/>
              </w:rPr>
              <w:t>Productividad con sentido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vAlign w:val="top"/>
          </w:tcPr>
          <w:p>
            <w:pPr>
              <w:spacing w:after="40"/>
            </w:pPr>
            <w:r>
              <w:rPr>
                <w:color w:val="17212B"/>
                <w:sz w:val="18"/>
              </w:rPr>
              <w:t>Territorio</w:t>
            </w:r>
          </w:p>
        </w:tc>
        <w:tc>
          <w:tcPr>
            <w:tcW w:type="dxa" w:w="7776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vAlign w:val="top"/>
          </w:tcPr>
          <w:p>
            <w:pPr>
              <w:spacing w:after="40"/>
            </w:pPr>
            <w:r>
              <w:rPr>
                <w:color w:val="17212B"/>
                <w:sz w:val="18"/>
              </w:rPr>
              <w:t>Finanzas, negocios, datos, tecnología y habilidades aplicadas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shd w:fill="F5F7F9"/>
            <w:vAlign w:val="top"/>
          </w:tcPr>
          <w:p>
            <w:pPr>
              <w:spacing w:after="40"/>
            </w:pPr>
            <w:r>
              <w:rPr>
                <w:color w:val="17212B"/>
                <w:sz w:val="18"/>
              </w:rPr>
              <w:t>Personalidad</w:t>
            </w:r>
          </w:p>
        </w:tc>
        <w:tc>
          <w:tcPr>
            <w:tcW w:type="dxa" w:w="7776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shd w:fill="F5F7F9"/>
            <w:vAlign w:val="top"/>
          </w:tcPr>
          <w:p>
            <w:pPr>
              <w:spacing w:after="40"/>
            </w:pPr>
            <w:r>
              <w:rPr>
                <w:color w:val="17212B"/>
                <w:sz w:val="18"/>
              </w:rPr>
              <w:t>Profesional, clara, práctica, sobria, confiable y contemporánea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vAlign w:val="top"/>
          </w:tcPr>
          <w:p>
            <w:pPr>
              <w:spacing w:after="40"/>
            </w:pPr>
            <w:r>
              <w:rPr>
                <w:color w:val="17212B"/>
                <w:sz w:val="18"/>
              </w:rPr>
              <w:t>Diferenciador</w:t>
            </w:r>
          </w:p>
        </w:tc>
        <w:tc>
          <w:tcPr>
            <w:tcW w:type="dxa" w:w="7776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vAlign w:val="top"/>
          </w:tcPr>
          <w:p>
            <w:pPr>
              <w:spacing w:after="40"/>
            </w:pPr>
            <w:r>
              <w:rPr>
                <w:color w:val="17212B"/>
                <w:sz w:val="18"/>
              </w:rPr>
              <w:t>Contenido y herramientas aplicadas a problemas reales; menos discurso, más método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ptos Display" w:hAnsi="Aptos Display"/>
          <w:b/>
          <w:color w:val="07345F"/>
        </w:rPr>
        <w:t>2. Arquitectura de marca</w:t>
      </w:r>
    </w:p>
    <w:p>
      <w:pPr>
        <w:pStyle w:val="BodyText"/>
      </w:pPr>
      <w:r>
        <w:t>La arquitectura recomendada mantiene una sola marca principal y organiza el contenido en líneas editoriales consistentes. Esto evita dispersar reconocimiento, SEO, comunidad y presupuesto entre múltiples marcas independientes.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  <w:cantSplit/>
        </w:trPr>
        <w:tc>
          <w:tcPr>
            <w:tcW w:type="dxa" w:w="1944"/>
            <w:shd w:fill="07345F"/>
            <w:tcBorders>
              <w:top w:val="single" w:sz="6" w:color="07345F"/>
              <w:left w:val="single" w:sz="6" w:color="07345F"/>
              <w:bottom w:val="single" w:sz="6" w:color="07345F"/>
              <w:right w:val="single" w:sz="6" w:color="07345F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Nivel</w:t>
            </w:r>
          </w:p>
        </w:tc>
        <w:tc>
          <w:tcPr>
            <w:tcW w:type="dxa" w:w="3168"/>
            <w:shd w:fill="07345F"/>
            <w:tcBorders>
              <w:top w:val="single" w:sz="6" w:color="07345F"/>
              <w:left w:val="single" w:sz="6" w:color="07345F"/>
              <w:bottom w:val="single" w:sz="6" w:color="07345F"/>
              <w:right w:val="single" w:sz="6" w:color="07345F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Nombre</w:t>
            </w:r>
          </w:p>
        </w:tc>
        <w:tc>
          <w:tcPr>
            <w:tcW w:type="dxa" w:w="5256"/>
            <w:shd w:fill="07345F"/>
            <w:tcBorders>
              <w:top w:val="single" w:sz="6" w:color="07345F"/>
              <w:left w:val="single" w:sz="6" w:color="07345F"/>
              <w:bottom w:val="single" w:sz="6" w:color="07345F"/>
              <w:right w:val="single" w:sz="6" w:color="07345F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Función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Paraguas</w:t>
            </w:r>
          </w:p>
        </w:tc>
        <w:tc>
          <w:tcPr>
            <w:tcW w:type="dxa" w:w="3168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Método Productivo</w:t>
            </w:r>
          </w:p>
        </w:tc>
        <w:tc>
          <w:tcPr>
            <w:tcW w:type="dxa" w:w="5256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Marca principal; concentra reputación, comunidad, herramientas y oferta comercial.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shd w:fill="F5F7F9"/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Submarca editorial</w:t>
            </w:r>
          </w:p>
        </w:tc>
        <w:tc>
          <w:tcPr>
            <w:tcW w:type="dxa" w:w="3168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shd w:fill="F5F7F9"/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Finanzas con Método</w:t>
            </w:r>
          </w:p>
        </w:tc>
        <w:tc>
          <w:tcPr>
            <w:tcW w:type="dxa" w:w="5256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shd w:fill="F5F7F9"/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Crédito, ahorro, inversión, flujo, análisis financiero y decisiones de financiamiento.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Submarca editorial</w:t>
            </w:r>
          </w:p>
        </w:tc>
        <w:tc>
          <w:tcPr>
            <w:tcW w:type="dxa" w:w="3168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Negocios con Método</w:t>
            </w:r>
          </w:p>
        </w:tc>
        <w:tc>
          <w:tcPr>
            <w:tcW w:type="dxa" w:w="5256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Estrategia, procesos, ventas, gestión, productividad y profesionalización de PyMEs.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shd w:fill="F5F7F9"/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Submarca editorial</w:t>
            </w:r>
          </w:p>
        </w:tc>
        <w:tc>
          <w:tcPr>
            <w:tcW w:type="dxa" w:w="3168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shd w:fill="F5F7F9"/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Datos con Método</w:t>
            </w:r>
          </w:p>
        </w:tc>
        <w:tc>
          <w:tcPr>
            <w:tcW w:type="dxa" w:w="5256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shd w:fill="F5F7F9"/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Análisis, indicadores, visualización, modelos, Excel, Python y toma de decisiones basada en evidencia.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Submarca editorial</w:t>
            </w:r>
          </w:p>
        </w:tc>
        <w:tc>
          <w:tcPr>
            <w:tcW w:type="dxa" w:w="3168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Tecnología con Método</w:t>
            </w:r>
          </w:p>
        </w:tc>
        <w:tc>
          <w:tcPr>
            <w:tcW w:type="dxa" w:w="5256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Automatización, IA, herramientas digitales, productividad y adopción tecnológica.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blHeader/>
          <w:cantSplit/>
        </w:trPr>
        <w:tc>
          <w:tcPr>
            <w:tcW w:type="dxa" w:w="10166"/>
            <w:shd w:fill="E8F6F2"/>
            <w:tcBorders>
              <w:top w:val="single" w:sz="8" w:color="00A987"/>
              <w:left w:val="single" w:sz="8" w:color="00A987"/>
              <w:bottom w:val="single" w:sz="8" w:color="00A987"/>
              <w:right w:val="single" w:sz="8" w:color="00A987"/>
            </w:tcBorders>
          </w:tcPr>
          <w:p>
            <w:r>
              <w:rPr>
                <w:b/>
                <w:color w:val="07345F"/>
              </w:rPr>
              <w:t xml:space="preserve">Regla de simplificación  </w:t>
            </w:r>
            <w:r>
              <w:t>Las submarcas funcionan como categorías y series editoriales; no requieren dominios, logos o redes separadas en la etapa inicial.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ptos Display" w:hAnsi="Aptos Display"/>
          <w:b/>
          <w:color w:val="07345F"/>
        </w:rPr>
        <w:t>3. Público objetivo y posicionamiento</w:t>
      </w:r>
    </w:p>
    <w:p>
      <w:pPr>
        <w:pStyle w:val="ListBullet"/>
      </w:pPr>
      <w:r>
        <w:t>PyMEs y responsables de negocio que necesitan mejorar control, procesos, financiamiento y toma de decisiones.</w:t>
      </w:r>
    </w:p>
    <w:p>
      <w:pPr>
        <w:pStyle w:val="ListBullet"/>
      </w:pPr>
      <w:r>
        <w:t>Profesionales que quieren elevar habilidades prácticas en Excel, datos, finanzas, automatización e IA.</w:t>
      </w:r>
    </w:p>
    <w:p>
      <w:pPr>
        <w:pStyle w:val="ListBullet"/>
      </w:pPr>
      <w:r>
        <w:t>Emprendedores y personas que prefieren educación financiera y empresarial aplicada, sin lenguaje de gurú.</w:t>
      </w:r>
    </w:p>
    <w:p>
      <w:pPr>
        <w:pStyle w:val="ListBullet"/>
      </w:pPr>
      <w:r>
        <w:t>Equipos pequeños que necesitan soluciones simples, implementables y escalables.</w:t>
      </w:r>
    </w:p>
    <w:p>
      <w:pPr>
        <w:pStyle w:val="BodyText"/>
      </w:pPr>
      <w:r>
        <w:t>El tono debe transmitir autoridad sin rigidez: explicar conceptos con claridad, mostrar evidencia y aterrizar siempre en una decisión, herramienta o siguiente acción.</w:t>
      </w:r>
    </w:p>
    <w:p>
      <w:pPr>
        <w:pStyle w:val="Heading1"/>
      </w:pPr>
      <w:r>
        <w:rPr>
          <w:rFonts w:ascii="Aptos Display" w:hAnsi="Aptos Display"/>
          <w:b/>
          <w:color w:val="07345F"/>
        </w:rPr>
        <w:t>4. Ecosistema digital: dominios, URL y canales</w:t>
      </w:r>
    </w:p>
    <w:p>
      <w:pPr>
        <w:pStyle w:val="BodyText"/>
      </w:pPr>
      <w:r>
        <w:t>Propuesta de estructura digital. La disponibilidad y titularidad definitiva de dominios y usuarios de red debe confirmarse antes de su publicación oficial.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  <w:cantSplit/>
        </w:trPr>
        <w:tc>
          <w:tcPr>
            <w:tcW w:type="dxa" w:w="2088"/>
            <w:shd w:fill="07345F"/>
            <w:tcBorders>
              <w:top w:val="single" w:sz="6" w:color="07345F"/>
              <w:left w:val="single" w:sz="6" w:color="07345F"/>
              <w:bottom w:val="single" w:sz="6" w:color="07345F"/>
              <w:right w:val="single" w:sz="6" w:color="07345F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Activo</w:t>
            </w:r>
          </w:p>
        </w:tc>
        <w:tc>
          <w:tcPr>
            <w:tcW w:type="dxa" w:w="3384"/>
            <w:shd w:fill="07345F"/>
            <w:tcBorders>
              <w:top w:val="single" w:sz="6" w:color="07345F"/>
              <w:left w:val="single" w:sz="6" w:color="07345F"/>
              <w:bottom w:val="single" w:sz="6" w:color="07345F"/>
              <w:right w:val="single" w:sz="6" w:color="07345F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Propuesta</w:t>
            </w:r>
          </w:p>
        </w:tc>
        <w:tc>
          <w:tcPr>
            <w:tcW w:type="dxa" w:w="4896"/>
            <w:shd w:fill="07345F"/>
            <w:tcBorders>
              <w:top w:val="single" w:sz="6" w:color="07345F"/>
              <w:left w:val="single" w:sz="6" w:color="07345F"/>
              <w:bottom w:val="single" w:sz="6" w:color="07345F"/>
              <w:right w:val="single" w:sz="6" w:color="07345F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Uso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Dominio principal</w:t>
            </w:r>
          </w:p>
        </w:tc>
        <w:tc>
          <w:tcPr>
            <w:tcW w:type="dxa" w:w="3384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metodoproductivo.mx</w:t>
            </w:r>
          </w:p>
        </w:tc>
        <w:tc>
          <w:tcPr>
            <w:tcW w:type="dxa" w:w="4896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Sitio principal y referencia de marca en México.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shd w:fill="F5F7F9"/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Dominio defensivo</w:t>
            </w:r>
          </w:p>
        </w:tc>
        <w:tc>
          <w:tcPr>
            <w:tcW w:type="dxa" w:w="3384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shd w:fill="F5F7F9"/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metodoproductivo.com</w:t>
            </w:r>
          </w:p>
        </w:tc>
        <w:tc>
          <w:tcPr>
            <w:tcW w:type="dxa" w:w="4896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shd w:fill="F5F7F9"/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Redirección permanente al dominio principal.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Redes sociales</w:t>
            </w:r>
          </w:p>
        </w:tc>
        <w:tc>
          <w:tcPr>
            <w:tcW w:type="dxa" w:w="3384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@metodoproductivo</w:t>
            </w:r>
          </w:p>
        </w:tc>
        <w:tc>
          <w:tcPr>
            <w:tcW w:type="dxa" w:w="4896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Handle preferente para YouTube, LinkedIn, Instagram, TikTok y X si está disponible.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shd w:fill="F5F7F9"/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Canal de YouTube</w:t>
            </w:r>
          </w:p>
        </w:tc>
        <w:tc>
          <w:tcPr>
            <w:tcW w:type="dxa" w:w="3384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shd w:fill="F5F7F9"/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Método Productivo</w:t>
            </w:r>
          </w:p>
        </w:tc>
        <w:tc>
          <w:tcPr>
            <w:tcW w:type="dxa" w:w="4896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shd w:fill="F5F7F9"/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Contenido largo, series, clases muestra y análisis.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LinkedIn</w:t>
            </w:r>
          </w:p>
        </w:tc>
        <w:tc>
          <w:tcPr>
            <w:tcW w:type="dxa" w:w="3384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Método Productivo</w:t>
            </w:r>
          </w:p>
        </w:tc>
        <w:tc>
          <w:tcPr>
            <w:tcW w:type="dxa" w:w="4896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Contenido profesional, análisis, casos y comunidad PyME.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ptos Display" w:hAnsi="Aptos Display"/>
          <w:b/>
          <w:color w:val="07345F"/>
        </w:rPr>
        <w:t>4.1 Estructura recomendada de URL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  <w:cantSplit/>
        </w:trPr>
        <w:tc>
          <w:tcPr>
            <w:tcW w:type="dxa" w:w="2880"/>
            <w:shd w:fill="07345F"/>
            <w:tcBorders>
              <w:top w:val="single" w:sz="6" w:color="07345F"/>
              <w:left w:val="single" w:sz="6" w:color="07345F"/>
              <w:bottom w:val="single" w:sz="6" w:color="07345F"/>
              <w:right w:val="single" w:sz="6" w:color="07345F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Ruta</w:t>
            </w:r>
          </w:p>
        </w:tc>
        <w:tc>
          <w:tcPr>
            <w:tcW w:type="dxa" w:w="7488"/>
            <w:shd w:fill="07345F"/>
            <w:tcBorders>
              <w:top w:val="single" w:sz="6" w:color="07345F"/>
              <w:left w:val="single" w:sz="6" w:color="07345F"/>
              <w:bottom w:val="single" w:sz="6" w:color="07345F"/>
              <w:right w:val="single" w:sz="6" w:color="07345F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Contenido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/</w:t>
            </w:r>
          </w:p>
        </w:tc>
        <w:tc>
          <w:tcPr>
            <w:tcW w:type="dxa" w:w="7488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Home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shd w:fill="F5F7F9"/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/finanzas</w:t>
            </w:r>
          </w:p>
        </w:tc>
        <w:tc>
          <w:tcPr>
            <w:tcW w:type="dxa" w:w="7488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shd w:fill="F5F7F9"/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Finanzas con Método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/negocios</w:t>
            </w:r>
          </w:p>
        </w:tc>
        <w:tc>
          <w:tcPr>
            <w:tcW w:type="dxa" w:w="7488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Negocios con Método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shd w:fill="F5F7F9"/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/datos</w:t>
            </w:r>
          </w:p>
        </w:tc>
        <w:tc>
          <w:tcPr>
            <w:tcW w:type="dxa" w:w="7488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shd w:fill="F5F7F9"/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Datos con Método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/tecnologia</w:t>
            </w:r>
          </w:p>
        </w:tc>
        <w:tc>
          <w:tcPr>
            <w:tcW w:type="dxa" w:w="7488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Tecnología con Método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shd w:fill="F5F7F9"/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/herramientas</w:t>
            </w:r>
          </w:p>
        </w:tc>
        <w:tc>
          <w:tcPr>
            <w:tcW w:type="dxa" w:w="7488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shd w:fill="F5F7F9"/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Calculadoras y herramientas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/check-pyme</w:t>
            </w:r>
          </w:p>
        </w:tc>
        <w:tc>
          <w:tcPr>
            <w:tcW w:type="dxa" w:w="7488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Diagnóstico freemium PyME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shd w:fill="F5F7F9"/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/recursos</w:t>
            </w:r>
          </w:p>
        </w:tc>
        <w:tc>
          <w:tcPr>
            <w:tcW w:type="dxa" w:w="7488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shd w:fill="F5F7F9"/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Lead magnets y materiales digitales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/cursos</w:t>
            </w:r>
          </w:p>
        </w:tc>
        <w:tc>
          <w:tcPr>
            <w:tcW w:type="dxa" w:w="7488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Cursos, clases muestra y eventos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shd w:fill="F5F7F9"/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/videos</w:t>
            </w:r>
          </w:p>
        </w:tc>
        <w:tc>
          <w:tcPr>
            <w:tcW w:type="dxa" w:w="7488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shd w:fill="F5F7F9"/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Videos destacados y series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/blog</w:t>
            </w:r>
          </w:p>
        </w:tc>
        <w:tc>
          <w:tcPr>
            <w:tcW w:type="dxa" w:w="7488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Artículos y análisis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shd w:fill="F5F7F9"/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/agenda</w:t>
            </w:r>
          </w:p>
        </w:tc>
        <w:tc>
          <w:tcPr>
            <w:tcW w:type="dxa" w:w="7488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shd w:fill="F5F7F9"/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Sesiones one-to-one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/contacto</w:t>
            </w:r>
          </w:p>
        </w:tc>
        <w:tc>
          <w:tcPr>
            <w:tcW w:type="dxa" w:w="7488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Comentarios, solicitudes y contacto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ptos Display" w:hAnsi="Aptos Display"/>
          <w:b/>
          <w:color w:val="07345F"/>
        </w:rPr>
        <w:t>5. Arquitectura de correo electrónico</w:t>
      </w:r>
    </w:p>
    <w:p>
      <w:pPr>
        <w:pStyle w:val="BodyText"/>
      </w:pPr>
      <w:r>
        <w:t>Para evitar complejidad innecesaria, no se recomienda crear una bandeja distinta para cada función desde el inicio. Pueden usarse alias que apunten a una o dos bandejas operativas.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  <w:cantSplit/>
        </w:trPr>
        <w:tc>
          <w:tcPr>
            <w:tcW w:type="dxa" w:w="3240"/>
            <w:shd w:fill="07345F"/>
            <w:tcBorders>
              <w:top w:val="single" w:sz="6" w:color="07345F"/>
              <w:left w:val="single" w:sz="6" w:color="07345F"/>
              <w:bottom w:val="single" w:sz="6" w:color="07345F"/>
              <w:right w:val="single" w:sz="6" w:color="07345F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Correo</w:t>
            </w:r>
          </w:p>
        </w:tc>
        <w:tc>
          <w:tcPr>
            <w:tcW w:type="dxa" w:w="5616"/>
            <w:shd w:fill="07345F"/>
            <w:tcBorders>
              <w:top w:val="single" w:sz="6" w:color="07345F"/>
              <w:left w:val="single" w:sz="6" w:color="07345F"/>
              <w:bottom w:val="single" w:sz="6" w:color="07345F"/>
              <w:right w:val="single" w:sz="6" w:color="07345F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Uso recomendado</w:t>
            </w:r>
          </w:p>
        </w:tc>
        <w:tc>
          <w:tcPr>
            <w:tcW w:type="dxa" w:w="1584"/>
            <w:shd w:fill="07345F"/>
            <w:tcBorders>
              <w:top w:val="single" w:sz="6" w:color="07345F"/>
              <w:left w:val="single" w:sz="6" w:color="07345F"/>
              <w:bottom w:val="single" w:sz="6" w:color="07345F"/>
              <w:right w:val="single" w:sz="6" w:color="07345F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Etapa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vAlign w:val="top"/>
          </w:tcPr>
          <w:p>
            <w:pPr>
              <w:spacing w:after="40"/>
            </w:pPr>
            <w:r>
              <w:rPr>
                <w:color w:val="17212B"/>
                <w:sz w:val="16"/>
              </w:rPr>
              <w:t>hola@metodoproductivo.mx</w:t>
            </w:r>
          </w:p>
        </w:tc>
        <w:tc>
          <w:tcPr>
            <w:tcW w:type="dxa" w:w="5616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vAlign w:val="top"/>
          </w:tcPr>
          <w:p>
            <w:pPr>
              <w:spacing w:after="40"/>
            </w:pPr>
            <w:r>
              <w:rPr>
                <w:color w:val="17212B"/>
                <w:sz w:val="16"/>
              </w:rPr>
              <w:t>Entrada general y comunicación de marca.</w:t>
            </w:r>
          </w:p>
        </w:tc>
        <w:tc>
          <w:tcPr>
            <w:tcW w:type="dxa" w:w="1584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vAlign w:val="top"/>
          </w:tcPr>
          <w:p>
            <w:pPr>
              <w:spacing w:after="40"/>
            </w:pPr>
            <w:r>
              <w:rPr>
                <w:color w:val="17212B"/>
                <w:sz w:val="16"/>
              </w:rPr>
              <w:t>Inicio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shd w:fill="F5F7F9"/>
            <w:vAlign w:val="top"/>
          </w:tcPr>
          <w:p>
            <w:pPr>
              <w:spacing w:after="40"/>
            </w:pPr>
            <w:r>
              <w:rPr>
                <w:color w:val="17212B"/>
                <w:sz w:val="16"/>
              </w:rPr>
              <w:t>contacto@metodoproductivo.mx</w:t>
            </w:r>
          </w:p>
        </w:tc>
        <w:tc>
          <w:tcPr>
            <w:tcW w:type="dxa" w:w="5616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shd w:fill="F5F7F9"/>
            <w:vAlign w:val="top"/>
          </w:tcPr>
          <w:p>
            <w:pPr>
              <w:spacing w:after="40"/>
            </w:pPr>
            <w:r>
              <w:rPr>
                <w:color w:val="17212B"/>
                <w:sz w:val="16"/>
              </w:rPr>
              <w:t>Formularios, solicitudes y contacto comercial.</w:t>
            </w:r>
          </w:p>
        </w:tc>
        <w:tc>
          <w:tcPr>
            <w:tcW w:type="dxa" w:w="1584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shd w:fill="F5F7F9"/>
            <w:vAlign w:val="top"/>
          </w:tcPr>
          <w:p>
            <w:pPr>
              <w:spacing w:after="40"/>
            </w:pPr>
            <w:r>
              <w:rPr>
                <w:color w:val="17212B"/>
                <w:sz w:val="16"/>
              </w:rPr>
              <w:t>Inicio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vAlign w:val="top"/>
          </w:tcPr>
          <w:p>
            <w:pPr>
              <w:spacing w:after="40"/>
            </w:pPr>
            <w:r>
              <w:rPr>
                <w:color w:val="17212B"/>
                <w:sz w:val="16"/>
              </w:rPr>
              <w:t>comunidad@metodoproductivo.mx</w:t>
            </w:r>
          </w:p>
        </w:tc>
        <w:tc>
          <w:tcPr>
            <w:tcW w:type="dxa" w:w="5616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vAlign w:val="top"/>
          </w:tcPr>
          <w:p>
            <w:pPr>
              <w:spacing w:after="40"/>
            </w:pPr>
            <w:r>
              <w:rPr>
                <w:color w:val="17212B"/>
                <w:sz w:val="16"/>
              </w:rPr>
              <w:t>Clases muestra, eventos y comunicaciones de comunidad.</w:t>
            </w:r>
          </w:p>
        </w:tc>
        <w:tc>
          <w:tcPr>
            <w:tcW w:type="dxa" w:w="1584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vAlign w:val="top"/>
          </w:tcPr>
          <w:p>
            <w:pPr>
              <w:spacing w:after="40"/>
            </w:pPr>
            <w:r>
              <w:rPr>
                <w:color w:val="17212B"/>
                <w:sz w:val="16"/>
              </w:rPr>
              <w:t>Fase A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shd w:fill="F5F7F9"/>
            <w:vAlign w:val="top"/>
          </w:tcPr>
          <w:p>
            <w:pPr>
              <w:spacing w:after="40"/>
            </w:pPr>
            <w:r>
              <w:rPr>
                <w:color w:val="17212B"/>
                <w:sz w:val="16"/>
              </w:rPr>
              <w:t>cursos@metodoproductivo.mx</w:t>
            </w:r>
          </w:p>
        </w:tc>
        <w:tc>
          <w:tcPr>
            <w:tcW w:type="dxa" w:w="5616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shd w:fill="F5F7F9"/>
            <w:vAlign w:val="top"/>
          </w:tcPr>
          <w:p>
            <w:pPr>
              <w:spacing w:after="40"/>
            </w:pPr>
            <w:r>
              <w:rPr>
                <w:color w:val="17212B"/>
                <w:sz w:val="16"/>
              </w:rPr>
              <w:t>Inscripciones y soporte de cursos.</w:t>
            </w:r>
          </w:p>
        </w:tc>
        <w:tc>
          <w:tcPr>
            <w:tcW w:type="dxa" w:w="1584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shd w:fill="F5F7F9"/>
            <w:vAlign w:val="top"/>
          </w:tcPr>
          <w:p>
            <w:pPr>
              <w:spacing w:after="40"/>
            </w:pPr>
            <w:r>
              <w:rPr>
                <w:color w:val="17212B"/>
                <w:sz w:val="16"/>
              </w:rPr>
              <w:t>Fase A/C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vAlign w:val="top"/>
          </w:tcPr>
          <w:p>
            <w:pPr>
              <w:spacing w:after="40"/>
            </w:pPr>
            <w:r>
              <w:rPr>
                <w:color w:val="17212B"/>
                <w:sz w:val="16"/>
              </w:rPr>
              <w:t>facturacion@metodoproductivo.mx</w:t>
            </w:r>
          </w:p>
        </w:tc>
        <w:tc>
          <w:tcPr>
            <w:tcW w:type="dxa" w:w="5616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vAlign w:val="top"/>
          </w:tcPr>
          <w:p>
            <w:pPr>
              <w:spacing w:after="40"/>
            </w:pPr>
            <w:r>
              <w:rPr>
                <w:color w:val="17212B"/>
                <w:sz w:val="16"/>
              </w:rPr>
              <w:t>Recepción y seguimiento de solicitudes de factura; no almacena CFDI.</w:t>
            </w:r>
          </w:p>
        </w:tc>
        <w:tc>
          <w:tcPr>
            <w:tcW w:type="dxa" w:w="1584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vAlign w:val="top"/>
          </w:tcPr>
          <w:p>
            <w:pPr>
              <w:spacing w:after="40"/>
            </w:pPr>
            <w:r>
              <w:rPr>
                <w:color w:val="17212B"/>
                <w:sz w:val="16"/>
              </w:rPr>
              <w:t>Fase B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shd w:fill="F5F7F9"/>
            <w:vAlign w:val="top"/>
          </w:tcPr>
          <w:p>
            <w:pPr>
              <w:spacing w:after="40"/>
            </w:pPr>
            <w:r>
              <w:rPr>
                <w:color w:val="17212B"/>
                <w:sz w:val="16"/>
              </w:rPr>
              <w:t>soporte@metodoproductivo.mx</w:t>
            </w:r>
          </w:p>
        </w:tc>
        <w:tc>
          <w:tcPr>
            <w:tcW w:type="dxa" w:w="5616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shd w:fill="F5F7F9"/>
            <w:vAlign w:val="top"/>
          </w:tcPr>
          <w:p>
            <w:pPr>
              <w:spacing w:after="40"/>
            </w:pPr>
            <w:r>
              <w:rPr>
                <w:color w:val="17212B"/>
                <w:sz w:val="16"/>
              </w:rPr>
              <w:t>Incidencias de compra, descargas y agenda.</w:t>
            </w:r>
          </w:p>
        </w:tc>
        <w:tc>
          <w:tcPr>
            <w:tcW w:type="dxa" w:w="1584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shd w:fill="F5F7F9"/>
            <w:vAlign w:val="top"/>
          </w:tcPr>
          <w:p>
            <w:pPr>
              <w:spacing w:after="40"/>
            </w:pPr>
            <w:r>
              <w:rPr>
                <w:color w:val="17212B"/>
                <w:sz w:val="16"/>
              </w:rPr>
              <w:t>Fase B/C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vAlign w:val="top"/>
          </w:tcPr>
          <w:p>
            <w:pPr>
              <w:spacing w:after="40"/>
            </w:pPr>
            <w:r>
              <w:rPr>
                <w:color w:val="17212B"/>
                <w:sz w:val="16"/>
              </w:rPr>
              <w:t>notificaciones@metodoproductivo.mx</w:t>
            </w:r>
          </w:p>
        </w:tc>
        <w:tc>
          <w:tcPr>
            <w:tcW w:type="dxa" w:w="5616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vAlign w:val="top"/>
          </w:tcPr>
          <w:p>
            <w:pPr>
              <w:spacing w:after="40"/>
            </w:pPr>
            <w:r>
              <w:rPr>
                <w:color w:val="17212B"/>
                <w:sz w:val="16"/>
              </w:rPr>
              <w:t>Envíos automáticos transaccionales; idealmente sin monitoreo humano.</w:t>
            </w:r>
          </w:p>
        </w:tc>
        <w:tc>
          <w:tcPr>
            <w:tcW w:type="dxa" w:w="1584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vAlign w:val="top"/>
          </w:tcPr>
          <w:p>
            <w:pPr>
              <w:spacing w:after="40"/>
            </w:pPr>
            <w:r>
              <w:rPr>
                <w:color w:val="17212B"/>
                <w:sz w:val="16"/>
              </w:rPr>
              <w:t>Cuando aplique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blHeader/>
          <w:cantSplit/>
        </w:trPr>
        <w:tc>
          <w:tcPr>
            <w:tcW w:type="dxa" w:w="10166"/>
            <w:shd w:fill="E8F6F2"/>
            <w:tcBorders>
              <w:top w:val="single" w:sz="8" w:color="00A987"/>
              <w:left w:val="single" w:sz="8" w:color="00A987"/>
              <w:bottom w:val="single" w:sz="8" w:color="00A987"/>
              <w:right w:val="single" w:sz="8" w:color="00A987"/>
            </w:tcBorders>
          </w:tcPr>
          <w:p>
            <w:r>
              <w:rPr>
                <w:b/>
                <w:color w:val="07345F"/>
              </w:rPr>
              <w:t xml:space="preserve">Recomendación operativa  </w:t>
            </w:r>
            <w:r>
              <w:t>Lanzar con hola@ y contacto@; el resto puede activarse como alias conforme entren nuevas capacidades. Menos buzones = menos abandono operativo.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ptos Display" w:hAnsi="Aptos Display"/>
          <w:b/>
          <w:color w:val="07345F"/>
        </w:rPr>
        <w:t>6. Identidad visual</w:t>
      </w:r>
    </w:p>
    <w:p>
      <w:pPr>
        <w:pStyle w:val="BodyText"/>
      </w:pPr>
      <w:r>
        <w:t>La identidad debe sentirse ejecutiva y moderna, no “fintech neón” ni consultoría gris. La combinación de azul profundo y verde/teal comunica confianza, método, progreso y orientación a resultados, con blanco abundante para mantener ligereza visual.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509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tipo_método_productiv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50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17D"/>
          <w:sz w:val="16"/>
        </w:rPr>
        <w:t>Logo propuesto para la etapa de prototipado.</w:t>
      </w:r>
    </w:p>
    <w:p>
      <w:pPr>
        <w:pStyle w:val="Heading2"/>
      </w:pPr>
      <w:r>
        <w:rPr>
          <w:rFonts w:ascii="Aptos Display" w:hAnsi="Aptos Display"/>
          <w:b/>
          <w:color w:val="07345F"/>
        </w:rPr>
        <w:t>6.1 Paleta recomendada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  <w:cantSplit/>
        </w:trPr>
        <w:tc>
          <w:tcPr>
            <w:tcW w:type="dxa" w:w="936"/>
            <w:shd w:fill="07345F"/>
            <w:tcBorders>
              <w:top w:val="single" w:sz="6" w:color="07345F"/>
              <w:left w:val="single" w:sz="6" w:color="07345F"/>
              <w:bottom w:val="single" w:sz="6" w:color="07345F"/>
              <w:right w:val="single" w:sz="6" w:color="07345F"/>
            </w:tcBorders>
          </w:tcPr>
          <w:p/>
        </w:tc>
        <w:tc>
          <w:tcPr>
            <w:tcW w:type="dxa" w:w="2592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</w:tcPr>
          <w:p>
            <w:r>
              <w:rPr>
                <w:b/>
              </w:rPr>
              <w:t>Azul profundo</w:t>
            </w:r>
            <w:r>
              <w:br/>
              <w:t>#07345F</w:t>
            </w:r>
          </w:p>
        </w:tc>
        <w:tc>
          <w:tcPr>
            <w:tcW w:type="dxa" w:w="6480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</w:tcPr>
          <w:p>
            <w:r>
              <w:t>Color de autoridad y confianza. Encabezados, navegación, tipografía destacada y estados institucionales.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  <w:cantSplit/>
        </w:trPr>
        <w:tc>
          <w:tcPr>
            <w:tcW w:type="dxa" w:w="936"/>
            <w:shd w:fill="00A987"/>
            <w:tcBorders>
              <w:top w:val="single" w:sz="6" w:color="00A987"/>
              <w:left w:val="single" w:sz="6" w:color="00A987"/>
              <w:bottom w:val="single" w:sz="6" w:color="00A987"/>
              <w:right w:val="single" w:sz="6" w:color="00A987"/>
            </w:tcBorders>
          </w:tcPr>
          <w:p/>
        </w:tc>
        <w:tc>
          <w:tcPr>
            <w:tcW w:type="dxa" w:w="2592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</w:tcPr>
          <w:p>
            <w:r>
              <w:rPr>
                <w:b/>
              </w:rPr>
              <w:t>Verde productivo</w:t>
            </w:r>
            <w:r>
              <w:br/>
              <w:t>#00A987</w:t>
            </w:r>
          </w:p>
        </w:tc>
        <w:tc>
          <w:tcPr>
            <w:tcW w:type="dxa" w:w="6480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</w:tcPr>
          <w:p>
            <w:r>
              <w:t>Acciones, crecimiento, progreso, resultados, CTA principales y elementos de énfasis.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  <w:cantSplit/>
        </w:trPr>
        <w:tc>
          <w:tcPr>
            <w:tcW w:type="dxa" w:w="936"/>
            <w:shd w:fill="19B89A"/>
            <w:tcBorders>
              <w:top w:val="single" w:sz="6" w:color="19B89A"/>
              <w:left w:val="single" w:sz="6" w:color="19B89A"/>
              <w:bottom w:val="single" w:sz="6" w:color="19B89A"/>
              <w:right w:val="single" w:sz="6" w:color="19B89A"/>
            </w:tcBorders>
          </w:tcPr>
          <w:p/>
        </w:tc>
        <w:tc>
          <w:tcPr>
            <w:tcW w:type="dxa" w:w="2592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</w:tcPr>
          <w:p>
            <w:r>
              <w:rPr>
                <w:b/>
              </w:rPr>
              <w:t>Verde suave</w:t>
            </w:r>
            <w:r>
              <w:br/>
              <w:t>#19B89A</w:t>
            </w:r>
          </w:p>
        </w:tc>
        <w:tc>
          <w:tcPr>
            <w:tcW w:type="dxa" w:w="6480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</w:tcPr>
          <w:p>
            <w:r>
              <w:t>Apoyo para gráficas, chips, iconografía secundaria y estados positivos sin saturar.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  <w:cantSplit/>
        </w:trPr>
        <w:tc>
          <w:tcPr>
            <w:tcW w:type="dxa" w:w="936"/>
            <w:shd w:fill="F5F7F9"/>
            <w:tcBorders>
              <w:top w:val="single" w:sz="6" w:color="F5F7F9"/>
              <w:left w:val="single" w:sz="6" w:color="F5F7F9"/>
              <w:bottom w:val="single" w:sz="6" w:color="F5F7F9"/>
              <w:right w:val="single" w:sz="6" w:color="F5F7F9"/>
            </w:tcBorders>
          </w:tcPr>
          <w:p/>
        </w:tc>
        <w:tc>
          <w:tcPr>
            <w:tcW w:type="dxa" w:w="2592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</w:tcPr>
          <w:p>
            <w:r>
              <w:rPr>
                <w:b/>
              </w:rPr>
              <w:t>Gris muy claro</w:t>
            </w:r>
            <w:r>
              <w:br/>
              <w:t>#F5F7F9</w:t>
            </w:r>
          </w:p>
        </w:tc>
        <w:tc>
          <w:tcPr>
            <w:tcW w:type="dxa" w:w="6480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</w:tcPr>
          <w:p>
            <w:r>
              <w:t>Fondos de sección, cards, tablas y áreas de descanso visual.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  <w:cantSplit/>
        </w:trPr>
        <w:tc>
          <w:tcPr>
            <w:tcW w:type="dxa" w:w="936"/>
            <w:shd w:fill="17212B"/>
            <w:tcBorders>
              <w:top w:val="single" w:sz="6" w:color="17212B"/>
              <w:left w:val="single" w:sz="6" w:color="17212B"/>
              <w:bottom w:val="single" w:sz="6" w:color="17212B"/>
              <w:right w:val="single" w:sz="6" w:color="17212B"/>
            </w:tcBorders>
          </w:tcPr>
          <w:p/>
        </w:tc>
        <w:tc>
          <w:tcPr>
            <w:tcW w:type="dxa" w:w="2592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</w:tcPr>
          <w:p>
            <w:r>
              <w:rPr>
                <w:b/>
              </w:rPr>
              <w:t>Grafito</w:t>
            </w:r>
            <w:r>
              <w:br/>
              <w:t>#17212B</w:t>
            </w:r>
          </w:p>
        </w:tc>
        <w:tc>
          <w:tcPr>
            <w:tcW w:type="dxa" w:w="6480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</w:tcPr>
          <w:p>
            <w:r>
              <w:t>Texto de lectura larga y elementos funcionales de alto contraste.</w:t>
            </w:r>
          </w:p>
        </w:tc>
      </w:tr>
    </w:tbl>
    <w:p>
      <w:pPr>
        <w:pStyle w:val="BodyText"/>
      </w:pPr>
      <w:r>
        <w:t>Uso de color: mantener fondos predominantemente blancos o gris muy claro. El verde no debe competir con el contenido; se reserva para acción, resultado y progreso. El rojo sólo para errores o alertas reales.</w:t>
      </w:r>
    </w:p>
    <w:p>
      <w:pPr>
        <w:pStyle w:val="Heading2"/>
      </w:pPr>
      <w:r>
        <w:rPr>
          <w:rFonts w:ascii="Aptos Display" w:hAnsi="Aptos Display"/>
          <w:b/>
          <w:color w:val="07345F"/>
        </w:rPr>
        <w:t>6.2 Tipografía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  <w:cantSplit/>
        </w:trPr>
        <w:tc>
          <w:tcPr>
            <w:tcW w:type="dxa" w:w="2232"/>
            <w:shd w:fill="07345F"/>
            <w:tcBorders>
              <w:top w:val="single" w:sz="6" w:color="07345F"/>
              <w:left w:val="single" w:sz="6" w:color="07345F"/>
              <w:bottom w:val="single" w:sz="6" w:color="07345F"/>
              <w:right w:val="single" w:sz="6" w:color="07345F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Uso</w:t>
            </w:r>
          </w:p>
        </w:tc>
        <w:tc>
          <w:tcPr>
            <w:tcW w:type="dxa" w:w="3384"/>
            <w:shd w:fill="07345F"/>
            <w:tcBorders>
              <w:top w:val="single" w:sz="6" w:color="07345F"/>
              <w:left w:val="single" w:sz="6" w:color="07345F"/>
              <w:bottom w:val="single" w:sz="6" w:color="07345F"/>
              <w:right w:val="single" w:sz="6" w:color="07345F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Familia sugerida</w:t>
            </w:r>
          </w:p>
        </w:tc>
        <w:tc>
          <w:tcPr>
            <w:tcW w:type="dxa" w:w="4968"/>
            <w:shd w:fill="07345F"/>
            <w:tcBorders>
              <w:top w:val="single" w:sz="6" w:color="07345F"/>
              <w:left w:val="single" w:sz="6" w:color="07345F"/>
              <w:bottom w:val="single" w:sz="6" w:color="07345F"/>
              <w:right w:val="single" w:sz="6" w:color="07345F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Criterio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Títulos y marca digital</w:t>
            </w:r>
          </w:p>
        </w:tc>
        <w:tc>
          <w:tcPr>
            <w:tcW w:type="dxa" w:w="3384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Manrope SemiBold / Bold</w:t>
            </w:r>
          </w:p>
        </w:tc>
        <w:tc>
          <w:tcPr>
            <w:tcW w:type="dxa" w:w="4968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Geométrica, contemporánea y profesional; funciona bien en interfaces y video.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shd w:fill="F5F7F9"/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Texto y UI</w:t>
            </w:r>
          </w:p>
        </w:tc>
        <w:tc>
          <w:tcPr>
            <w:tcW w:type="dxa" w:w="3384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shd w:fill="F5F7F9"/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Inter Regular / Medium</w:t>
            </w:r>
          </w:p>
        </w:tc>
        <w:tc>
          <w:tcPr>
            <w:tcW w:type="dxa" w:w="4968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shd w:fill="F5F7F9"/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Alta legibilidad en pantalla, formularios, tablas y contenido largo.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Datos y cifras</w:t>
            </w:r>
          </w:p>
        </w:tc>
        <w:tc>
          <w:tcPr>
            <w:tcW w:type="dxa" w:w="3384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Inter SemiBold / tabular numbers</w:t>
            </w:r>
          </w:p>
        </w:tc>
        <w:tc>
          <w:tcPr>
            <w:tcW w:type="dxa" w:w="4968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Consistencia en dashboards, calculadoras y resultados.</w:t>
            </w:r>
          </w:p>
        </w:tc>
      </w:tr>
    </w:tbl>
    <w:p>
      <w:pPr>
        <w:spacing w:after="0"/>
      </w:pPr>
    </w:p>
    <w:p>
      <w:pPr>
        <w:pStyle w:val="BodyText"/>
      </w:pPr>
      <w:r>
        <w:t>Ambas familias son adecuadas para un sistema digital moderno. La regla principal es limitar pesos, tamaños y estilos: la elegancia vendrá de jerarquía y espacio, no de decoración.</w:t>
      </w:r>
    </w:p>
    <w:p>
      <w:pPr>
        <w:pStyle w:val="Heading2"/>
      </w:pPr>
      <w:r>
        <w:rPr>
          <w:rFonts w:ascii="Aptos Display" w:hAnsi="Aptos Display"/>
          <w:b/>
          <w:color w:val="07345F"/>
        </w:rPr>
        <w:t>6.3 Lenguaje visual</w:t>
      </w:r>
    </w:p>
    <w:p>
      <w:pPr>
        <w:pStyle w:val="ListBullet"/>
      </w:pPr>
      <w:r>
        <w:t>Composición limpia, con mucho espacio en blanco y bloques bien delimitados.</w:t>
      </w:r>
    </w:p>
    <w:p>
      <w:pPr>
        <w:pStyle w:val="ListBullet"/>
      </w:pPr>
      <w:r>
        <w:t>Bordes discretos y radios moderados; sombras mínimas.</w:t>
      </w:r>
    </w:p>
    <w:p>
      <w:pPr>
        <w:pStyle w:val="ListBullet"/>
      </w:pPr>
      <w:r>
        <w:t>Iconografía lineal y geométrica, consistente entre categorías.</w:t>
      </w:r>
    </w:p>
    <w:p>
      <w:pPr>
        <w:pStyle w:val="ListBullet"/>
      </w:pPr>
      <w:r>
        <w:t>Gráficas simples, con máximo 2–3 colores funcionales por visualización.</w:t>
      </w:r>
    </w:p>
    <w:p>
      <w:pPr>
        <w:pStyle w:val="ListBullet"/>
      </w:pPr>
      <w:r>
        <w:t>Fotografía realista y profesional cuando aporte contexto; evitar imágenes corporativas genéricas.</w:t>
      </w:r>
    </w:p>
    <w:p>
      <w:pPr>
        <w:pStyle w:val="ListBullet"/>
      </w:pPr>
      <w:r>
        <w:t>Evitar fondos oscuros extensos, gradientes saturados, exceso de cards y animaciones decorativas.</w:t>
      </w:r>
    </w:p>
    <w:p>
      <w:pPr>
        <w:pStyle w:val="ListBullet"/>
      </w:pPr>
      <w:r>
        <w:t>Responsive desde el diseño: legibilidad y jerarquía deben sobrevivir a móvil sin perder sobriedad.</w:t>
      </w:r>
    </w:p>
    <w:p>
      <w:pPr>
        <w:pStyle w:val="Heading1"/>
      </w:pPr>
      <w:r>
        <w:rPr>
          <w:rFonts w:ascii="Aptos Display" w:hAnsi="Aptos Display"/>
          <w:b/>
          <w:color w:val="07345F"/>
        </w:rPr>
        <w:t>7. Tono de comunicación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  <w:cantSplit/>
        </w:trPr>
        <w:tc>
          <w:tcPr>
            <w:tcW w:type="dxa" w:w="5112"/>
            <w:shd w:fill="07345F"/>
            <w:tcBorders>
              <w:top w:val="single" w:sz="6" w:color="07345F"/>
              <w:left w:val="single" w:sz="6" w:color="07345F"/>
              <w:bottom w:val="single" w:sz="6" w:color="07345F"/>
              <w:right w:val="single" w:sz="6" w:color="07345F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Sí</w:t>
            </w:r>
          </w:p>
        </w:tc>
        <w:tc>
          <w:tcPr>
            <w:tcW w:type="dxa" w:w="5112"/>
            <w:shd w:fill="07345F"/>
            <w:tcBorders>
              <w:top w:val="single" w:sz="6" w:color="07345F"/>
              <w:left w:val="single" w:sz="6" w:color="07345F"/>
              <w:bottom w:val="single" w:sz="6" w:color="07345F"/>
              <w:right w:val="single" w:sz="6" w:color="07345F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5112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Claro, directo, práctico y basado en evidencia.</w:t>
            </w:r>
          </w:p>
        </w:tc>
        <w:tc>
          <w:tcPr>
            <w:tcW w:type="dxa" w:w="5112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Promesas grandilocuentes de riqueza, éxito o productividad instantánea.</w:t>
            </w:r>
          </w:p>
        </w:tc>
      </w:tr>
      <w:tr>
        <w:trPr>
          <w:cantSplit/>
        </w:trPr>
        <w:tc>
          <w:tcPr>
            <w:tcW w:type="dxa" w:w="5112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shd w:fill="F5F7F9"/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Humor ligero e inteligente cuando ayude a explicar.</w:t>
            </w:r>
          </w:p>
        </w:tc>
        <w:tc>
          <w:tcPr>
            <w:tcW w:type="dxa" w:w="5112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shd w:fill="F5F7F9"/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Lenguaje de “gurú”, hustle culture o presión artificial.</w:t>
            </w:r>
          </w:p>
        </w:tc>
      </w:tr>
      <w:tr>
        <w:trPr>
          <w:cantSplit/>
        </w:trPr>
        <w:tc>
          <w:tcPr>
            <w:tcW w:type="dxa" w:w="5112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Ejemplos reales, números y herramientas.</w:t>
            </w:r>
          </w:p>
        </w:tc>
        <w:tc>
          <w:tcPr>
            <w:tcW w:type="dxa" w:w="5112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Contenido genérico que sólo repita definiciones.</w:t>
            </w:r>
          </w:p>
        </w:tc>
      </w:tr>
      <w:tr>
        <w:trPr>
          <w:cantSplit/>
        </w:trPr>
        <w:tc>
          <w:tcPr>
            <w:tcW w:type="dxa" w:w="5112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shd w:fill="F5F7F9"/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Explicar límites, riesgos y supuestos.</w:t>
            </w:r>
          </w:p>
        </w:tc>
        <w:tc>
          <w:tcPr>
            <w:tcW w:type="dxa" w:w="5112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shd w:fill="F5F7F9"/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Vender certeza donde sólo existen escenarios.</w:t>
            </w:r>
          </w:p>
        </w:tc>
      </w:tr>
      <w:tr>
        <w:trPr>
          <w:cantSplit/>
        </w:trPr>
        <w:tc>
          <w:tcPr>
            <w:tcW w:type="dxa" w:w="5112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Orientación a decisiones y siguiente acción.</w:t>
            </w:r>
          </w:p>
        </w:tc>
        <w:tc>
          <w:tcPr>
            <w:tcW w:type="dxa" w:w="5112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vAlign w:val="top"/>
          </w:tcPr>
          <w:p>
            <w:pPr>
              <w:spacing w:after="40"/>
            </w:pPr>
            <w:r>
              <w:rPr>
                <w:color w:val="17212B"/>
                <w:sz w:val="17"/>
              </w:rPr>
              <w:t>Tecnología por moda o automatización sin propósito.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ptos Display" w:hAnsi="Aptos Display"/>
          <w:b/>
          <w:color w:val="07345F"/>
        </w:rPr>
        <w:t>8. Líneas de contenido iniciales</w:t>
      </w:r>
    </w:p>
    <w:p>
      <w:pPr>
        <w:pStyle w:val="BodyText"/>
      </w:pPr>
      <w:r>
        <w:t>La marca puede arrancar con dos motores de comunidad: contenido financiero/empresarial aplicado y clases muestra de herramientas prácticas.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  <w:cantSplit/>
        </w:trPr>
        <w:tc>
          <w:tcPr>
            <w:tcW w:type="dxa" w:w="2448"/>
            <w:shd w:fill="07345F"/>
            <w:tcBorders>
              <w:top w:val="single" w:sz="6" w:color="07345F"/>
              <w:left w:val="single" w:sz="6" w:color="07345F"/>
              <w:bottom w:val="single" w:sz="6" w:color="07345F"/>
              <w:right w:val="single" w:sz="6" w:color="07345F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Serie / línea</w:t>
            </w:r>
          </w:p>
        </w:tc>
        <w:tc>
          <w:tcPr>
            <w:tcW w:type="dxa" w:w="7776"/>
            <w:shd w:fill="07345F"/>
            <w:tcBorders>
              <w:top w:val="single" w:sz="6" w:color="07345F"/>
              <w:left w:val="single" w:sz="6" w:color="07345F"/>
              <w:bottom w:val="single" w:sz="6" w:color="07345F"/>
              <w:right w:val="single" w:sz="6" w:color="07345F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Ejemplos iniciales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vAlign w:val="top"/>
          </w:tcPr>
          <w:p>
            <w:pPr>
              <w:spacing w:after="40"/>
            </w:pPr>
            <w:r>
              <w:rPr>
                <w:color w:val="17212B"/>
                <w:sz w:val="16"/>
              </w:rPr>
              <w:t>Finanzas para decidir mejor</w:t>
            </w:r>
          </w:p>
        </w:tc>
        <w:tc>
          <w:tcPr>
            <w:tcW w:type="dxa" w:w="7776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vAlign w:val="top"/>
          </w:tcPr>
          <w:p>
            <w:pPr>
              <w:spacing w:after="40"/>
            </w:pPr>
            <w:r>
              <w:rPr>
                <w:color w:val="17212B"/>
                <w:sz w:val="16"/>
              </w:rPr>
              <w:t>1. Opciones de crédito para PyMEs. 2. Evaluación de proyectos de inversión. 3. Análisis de estados financieros. 4. Sensibilidad y proyecciones integradas.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shd w:fill="F5F7F9"/>
            <w:vAlign w:val="top"/>
          </w:tcPr>
          <w:p>
            <w:pPr>
              <w:spacing w:after="40"/>
            </w:pPr>
            <w:r>
              <w:rPr>
                <w:color w:val="17212B"/>
                <w:sz w:val="16"/>
              </w:rPr>
              <w:t>Clases muestra</w:t>
            </w:r>
          </w:p>
        </w:tc>
        <w:tc>
          <w:tcPr>
            <w:tcW w:type="dxa" w:w="7776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shd w:fill="F5F7F9"/>
            <w:vAlign w:val="top"/>
          </w:tcPr>
          <w:p>
            <w:pPr>
              <w:spacing w:after="40"/>
            </w:pPr>
            <w:r>
              <w:rPr>
                <w:color w:val="17212B"/>
                <w:sz w:val="16"/>
              </w:rPr>
              <w:t>Excel aplicado a ventas, flujo de efectivo, presupuestos, crédito, escenarios, limpieza de datos y automatización de reportes.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vAlign w:val="top"/>
          </w:tcPr>
          <w:p>
            <w:pPr>
              <w:spacing w:after="40"/>
            </w:pPr>
            <w:r>
              <w:rPr>
                <w:color w:val="17212B"/>
                <w:sz w:val="16"/>
              </w:rPr>
              <w:t>Check PyME</w:t>
            </w:r>
          </w:p>
        </w:tc>
        <w:tc>
          <w:tcPr>
            <w:tcW w:type="dxa" w:w="7776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vAlign w:val="top"/>
          </w:tcPr>
          <w:p>
            <w:pPr>
              <w:spacing w:after="40"/>
            </w:pPr>
            <w:r>
              <w:rPr>
                <w:color w:val="17212B"/>
                <w:sz w:val="16"/>
              </w:rPr>
              <w:t>Diagnóstico rápido de información, costos, concentración, procesos, sistemas y necesidades de financiamiento.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shd w:fill="F5F7F9"/>
            <w:vAlign w:val="top"/>
          </w:tcPr>
          <w:p>
            <w:pPr>
              <w:spacing w:after="40"/>
            </w:pPr>
            <w:r>
              <w:rPr>
                <w:color w:val="17212B"/>
                <w:sz w:val="16"/>
              </w:rPr>
              <w:t>Artículos y herramientas</w:t>
            </w:r>
          </w:p>
        </w:tc>
        <w:tc>
          <w:tcPr>
            <w:tcW w:type="dxa" w:w="7776"/>
            <w:tcBorders>
              <w:top w:val="single" w:sz="6" w:color="DCE3E8"/>
              <w:left w:val="single" w:sz="6" w:color="DCE3E8"/>
              <w:bottom w:val="single" w:sz="6" w:color="DCE3E8"/>
              <w:right w:val="single" w:sz="6" w:color="DCE3E8"/>
            </w:tcBorders>
            <w:shd w:fill="F5F7F9"/>
            <w:vAlign w:val="top"/>
          </w:tcPr>
          <w:p>
            <w:pPr>
              <w:spacing w:after="40"/>
            </w:pPr>
            <w:r>
              <w:rPr>
                <w:color w:val="17212B"/>
                <w:sz w:val="16"/>
              </w:rPr>
              <w:t>Calculadoras, plantillas, análisis y recursos descargables asociados a decisiones reales.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ptos Display" w:hAnsi="Aptos Display"/>
          <w:b/>
          <w:color w:val="07345F"/>
        </w:rPr>
        <w:t>9. Reglas de consistencia de marca</w:t>
      </w:r>
    </w:p>
    <w:p>
      <w:pPr>
        <w:pStyle w:val="ListBullet"/>
      </w:pPr>
      <w:r>
        <w:t>La marca paraguas siempre se presenta como “Método Productivo”.</w:t>
      </w:r>
    </w:p>
    <w:p>
      <w:pPr>
        <w:pStyle w:val="ListBullet"/>
      </w:pPr>
      <w:r>
        <w:t>El tagline “Productividad con sentido” acompaña piezas institucionales, pero puede omitirse en formatos pequeños.</w:t>
      </w:r>
    </w:p>
    <w:p>
      <w:pPr>
        <w:pStyle w:val="ListBullet"/>
      </w:pPr>
      <w:r>
        <w:t>Las categorías usan la fórmula “[Tema] con Método” para reforzar memoria y coherencia.</w:t>
      </w:r>
    </w:p>
    <w:p>
      <w:pPr>
        <w:pStyle w:val="ListBullet"/>
      </w:pPr>
      <w:r>
        <w:t>No crear logos independientes para cada categoría en la etapa inicial.</w:t>
      </w:r>
    </w:p>
    <w:p>
      <w:pPr>
        <w:pStyle w:val="ListBullet"/>
      </w:pPr>
      <w:r>
        <w:t>No usar más de un CTA principal por bloque visual.</w:t>
      </w:r>
    </w:p>
    <w:p>
      <w:pPr>
        <w:pStyle w:val="ListBullet"/>
      </w:pPr>
      <w:r>
        <w:t>Mantener el azul profundo como ancla y el verde como señal de avance/acción.</w:t>
      </w:r>
    </w:p>
    <w:p>
      <w:pPr>
        <w:pStyle w:val="ListBullet"/>
      </w:pPr>
      <w:r>
        <w:t>Toda herramienta o contenido debe responder una pregunta práctica: ¿qué decisión mejora o qué trabajo simplifica?</w:t>
      </w:r>
    </w:p>
    <w:p>
      <w:pPr>
        <w:pStyle w:val="Heading1"/>
      </w:pPr>
      <w:r>
        <w:rPr>
          <w:rFonts w:ascii="Aptos Display" w:hAnsi="Aptos Display"/>
          <w:b/>
          <w:color w:val="07345F"/>
        </w:rPr>
        <w:t>10. Siguiente paso recomendado</w:t>
      </w:r>
    </w:p>
    <w:p>
      <w:pPr>
        <w:pStyle w:val="BodyText"/>
      </w:pPr>
      <w:r>
        <w:t>Con el naming, arquitectura de marca y lenguaje visual ya definidos a nivel de propuesta, el siguiente entregable lógico es el Design System v0.1: tokens de color y tipografía, grid, componentes base, botones, inputs, cards, tablas, gráficas, estados y reglas responsive. Después se puede cerrar el inventario de pantallas y producir wireframes y mockups de alta fidelidad para Fase 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blHeader/>
          <w:cantSplit/>
        </w:trPr>
        <w:tc>
          <w:tcPr>
            <w:tcW w:type="dxa" w:w="10166"/>
            <w:shd w:fill="E8F6F2"/>
            <w:tcBorders>
              <w:top w:val="single" w:sz="8" w:color="00A987"/>
              <w:left w:val="single" w:sz="8" w:color="00A987"/>
              <w:bottom w:val="single" w:sz="8" w:color="00A987"/>
              <w:right w:val="single" w:sz="8" w:color="00A987"/>
            </w:tcBorders>
          </w:tcPr>
          <w:p>
            <w:r>
              <w:rPr>
                <w:b/>
                <w:color w:val="07345F"/>
              </w:rPr>
              <w:t xml:space="preserve">Secuencia  </w:t>
            </w:r>
            <w:r>
              <w:t>Marca → Design System → Inventario de pantallas → Wireframes → Mockups → Especificación UX/UI → Implementación con Codex.</w:t>
            </w:r>
          </w:p>
        </w:tc>
      </w:tr>
    </w:tbl>
    <w:p>
      <w:pPr>
        <w:pStyle w:val="Heading1"/>
      </w:pPr>
      <w:r>
        <w:t>11 Mensajes de entrega y acceso</w:t>
      </w:r>
    </w:p>
    <w:p>
      <w:r>
        <w:t>Actualización v0.2 del 13 de octubre de 2026. Objetivo, públicos, marca paraguas, líneas editoriales, logo y paleta se conservan. La comunicación del Check utiliza “Tu informe está listo”, formulario de nombre/correo/empresa y WhatsApp opcional, y “Descargar PDF” después del envío. No promete correo de acceso ni recuperación posterior; permite orientación solicitada.</w:t>
      </w:r>
    </w:p>
    <w:p>
      <w:r>
        <w:t>Compra digital: “Comprar” conduce a Stripe sin crear cuenta; correo capturado en Checkout y magic link tras confirmar pago. Comunicar acceso de 14 días y hasta tres descargas exitosas. Abrir el enlace y fallos no descuentan; reemisión no reinicia límites. No confundir la vigencia de descarga con una licencia de uso del archivo.</w:t>
      </w:r>
    </w:p>
    <w:p>
      <w:r>
        <w:t>Referencias: Concepto v0.8, BRD v0.6, sitemap v0.2 y propuesta visual v0.2. Capturar WhatsApp no constituye consentimiento comercial; comunicaciones comerciales requieren autorización separada.</w:t>
      </w:r>
    </w:p>
    <w:sectPr w:rsidR="00FC693F" w:rsidRPr="0006063C" w:rsidSect="00034616">
      <w:headerReference w:type="default" r:id="rId9"/>
      <w:footerReference w:type="default" r:id="rId10"/>
      <w:headerReference w:type="first" r:id="rId12"/>
      <w:headerReference w:type="even" r:id="rId13"/>
      <w:pgSz w:w="12240" w:h="15840"/>
      <w:pgMar w:top="936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66717D"/>
        <w:sz w:val="15"/>
      </w:rPr>
      <w:t>Documento de trabajo · Octubre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17D"/>
        <w:sz w:val="15"/>
      </w:rPr>
      <w:t>MÉTODO PRODUCTIVO | PROPUESTA DE MARCA v0.2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721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734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734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734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Aptos" w:hAnsi="Aptos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marca Método Productivo v0.2</dc:title>
  <dc:subject>Método Productivo; flujos aprobados del Check PyME y compras digitales</dc:subject>
  <dc:creator>OpenAI</dc:creator>
  <cp:keywords>Método Productivo, marca, branding, diseño, dominios, correo, UX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