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21394F"/>
          <w:sz w:val="28"/>
        </w:rPr>
        <w:t>BRD v0.6</w:t>
      </w:r>
    </w:p>
    <w:p>
      <w:pPr>
        <w:pStyle w:val="Title"/>
        <w:jc w:val="center"/>
      </w:pPr>
      <w:r>
        <w:t>Plataforma digital de herramientas, contenidos, captación y servicios</w:t>
      </w:r>
    </w:p>
    <w:p>
      <w:pPr>
        <w:jc w:val="center"/>
      </w:pPr>
      <w:r>
        <w:rPr>
          <w:i/>
          <w:sz w:val="24"/>
        </w:rPr>
        <w:t>Business Requirements Document</w:t>
      </w:r>
    </w:p>
    <w:p/>
    <w:tbl>
      <w:tblPr>
        <w:tblStyle w:val="TableGrid"/>
        <w:tblW w:type="auto" w:w="0"/>
        <w:jc w:val="center"/>
        <w:tblLook w:firstColumn="1" w:firstRow="1" w:lastColumn="0" w:lastRow="0" w:noHBand="0" w:noVBand="1" w:val="04A0"/>
      </w:tblPr>
      <w:tblGrid>
        <w:gridCol w:w="5112"/>
        <w:gridCol w:w="5112"/>
      </w:tblGrid>
      <w:tr>
        <w:trPr>
          <w:tblHeader/>
          <w:cantSplit/>
        </w:trPr>
        <w:tc>
          <w:tcPr>
            <w:tcW w:type="dxa" w:w="2592"/>
            <w:vAlign w:val="center"/>
            <w:shd w:fill="21394F"/>
          </w:tcPr>
          <w:p>
            <w:r/>
            <w:r>
              <w:rPr>
                <w:rFonts w:ascii="Aptos" w:hAnsi="Aptos"/>
                <w:b/>
                <w:color w:val="FFFFFF"/>
                <w:sz w:val="17"/>
              </w:rPr>
              <w:t>Campo</w:t>
            </w:r>
          </w:p>
        </w:tc>
        <w:tc>
          <w:tcPr>
            <w:tcW w:type="dxa" w:w="6768"/>
            <w:vAlign w:val="center"/>
            <w:shd w:fill="21394F"/>
          </w:tcPr>
          <w:p>
            <w:r/>
            <w:r>
              <w:rPr>
                <w:rFonts w:ascii="Aptos" w:hAnsi="Aptos"/>
                <w:b/>
                <w:color w:val="FFFFFF"/>
                <w:sz w:val="17"/>
              </w:rPr>
              <w:t>Definición</w:t>
            </w:r>
          </w:p>
        </w:tc>
      </w:tr>
      <w:tr>
        <w:trPr>
          <w:cantSplit/>
        </w:trPr>
        <w:tc>
          <w:tcPr>
            <w:tcW w:type="dxa" w:w="2592"/>
            <w:vAlign w:val="center"/>
          </w:tcPr>
          <w:p>
            <w:r/>
            <w:r>
              <w:rPr>
                <w:rFonts w:ascii="Aptos" w:hAnsi="Aptos"/>
                <w:b w:val="0"/>
                <w:sz w:val="17"/>
              </w:rPr>
              <w:t>Versión</w:t>
            </w:r>
          </w:p>
        </w:tc>
        <w:tc>
          <w:tcPr>
            <w:tcW w:type="dxa" w:w="6768"/>
            <w:vAlign w:val="center"/>
          </w:tcPr>
          <w:p>
            <w:r>
              <w:t>0.6</w:t>
            </w:r>
          </w:p>
        </w:tc>
      </w:tr>
      <w:tr>
        <w:trPr>
          <w:cantSplit/>
        </w:trPr>
        <w:tc>
          <w:tcPr>
            <w:tcW w:type="dxa" w:w="2592"/>
            <w:vAlign w:val="center"/>
          </w:tcPr>
          <w:p>
            <w:r/>
            <w:r>
              <w:rPr>
                <w:rFonts w:ascii="Aptos" w:hAnsi="Aptos"/>
                <w:b w:val="0"/>
                <w:sz w:val="17"/>
              </w:rPr>
              <w:t>Estado</w:t>
            </w:r>
          </w:p>
        </w:tc>
        <w:tc>
          <w:tcPr>
            <w:tcW w:type="dxa" w:w="6768"/>
            <w:vAlign w:val="center"/>
          </w:tcPr>
          <w:p>
            <w:r>
              <w:t>Consolidación de decisiones aprobadas de Check y compras; pendientes identificados</w:t>
            </w:r>
          </w:p>
        </w:tc>
      </w:tr>
      <w:tr>
        <w:trPr>
          <w:cantSplit/>
        </w:trPr>
        <w:tc>
          <w:tcPr>
            <w:tcW w:type="dxa" w:w="2592"/>
            <w:vAlign w:val="center"/>
          </w:tcPr>
          <w:p>
            <w:r/>
            <w:r>
              <w:rPr>
                <w:rFonts w:ascii="Aptos" w:hAnsi="Aptos"/>
                <w:b w:val="0"/>
                <w:sz w:val="17"/>
              </w:rPr>
              <w:t>Fecha</w:t>
            </w:r>
          </w:p>
        </w:tc>
        <w:tc>
          <w:tcPr>
            <w:tcW w:type="dxa" w:w="6768"/>
            <w:vAlign w:val="center"/>
          </w:tcPr>
          <w:p>
            <w:r>
              <w:t>13 de octubre de 2026</w:t>
            </w:r>
          </w:p>
        </w:tc>
      </w:tr>
      <w:tr>
        <w:trPr>
          <w:cantSplit/>
        </w:trPr>
        <w:tc>
          <w:tcPr>
            <w:tcW w:type="dxa" w:w="2592"/>
            <w:vAlign w:val="center"/>
          </w:tcPr>
          <w:p>
            <w:r/>
            <w:r>
              <w:rPr>
                <w:rFonts w:ascii="Aptos" w:hAnsi="Aptos"/>
                <w:b w:val="0"/>
                <w:sz w:val="17"/>
              </w:rPr>
              <w:t>Documento fuente</w:t>
            </w:r>
          </w:p>
        </w:tc>
        <w:tc>
          <w:tcPr>
            <w:tcW w:type="dxa" w:w="6768"/>
            <w:vAlign w:val="center"/>
          </w:tcPr>
          <w:p>
            <w:r>
              <w:t>Concepto y alcance v0.8; decisiones aprobadas el 13 de octubre de 2026</w:t>
            </w:r>
          </w:p>
        </w:tc>
      </w:tr>
      <w:tr>
        <w:trPr>
          <w:cantSplit/>
        </w:trPr>
        <w:tc>
          <w:tcPr>
            <w:tcW w:type="dxa" w:w="2592"/>
            <w:vAlign w:val="center"/>
          </w:tcPr>
          <w:p>
            <w:r/>
            <w:r>
              <w:rPr>
                <w:rFonts w:ascii="Aptos" w:hAnsi="Aptos"/>
                <w:b w:val="0"/>
                <w:sz w:val="17"/>
              </w:rPr>
              <w:t>Prioridad de producto</w:t>
            </w:r>
          </w:p>
        </w:tc>
        <w:tc>
          <w:tcPr>
            <w:tcW w:type="dxa" w:w="6768"/>
            <w:vAlign w:val="center"/>
          </w:tcPr>
          <w:p>
            <w:r>
              <w:t>PyMEs P1; públicos P2 y P3 conforme al documento rector</w:t>
            </w:r>
          </w:p>
        </w:tc>
      </w:tr>
      <w:tr>
        <w:trPr>
          <w:cantSplit/>
        </w:trPr>
        <w:tc>
          <w:tcPr>
            <w:tcW w:type="dxa" w:w="2592"/>
            <w:vAlign w:val="center"/>
          </w:tcPr>
          <w:p>
            <w:r/>
            <w:r>
              <w:rPr>
                <w:rFonts w:ascii="Aptos" w:hAnsi="Aptos"/>
                <w:b w:val="0"/>
                <w:sz w:val="17"/>
              </w:rPr>
              <w:t>Modelo de acceso</w:t>
            </w:r>
          </w:p>
        </w:tc>
        <w:tc>
          <w:tcPr>
            <w:tcW w:type="dxa" w:w="6768"/>
            <w:vAlign w:val="center"/>
          </w:tcPr>
          <w:p>
            <w:r>
              <w:t>Sin cuentas públicas. Check inmediato; magic links de compras y otros propósitos.</w:t>
            </w:r>
          </w:p>
        </w:tc>
      </w:tr>
    </w:tbl>
    <w:p/>
    <w:p>
      <w:pPr>
        <w:jc w:val="center"/>
      </w:pPr>
      <w:r>
        <w:rPr>
          <w:sz w:val="20"/>
        </w:rPr>
        <w:t>Objetivo: convertir el alcance aprobado en procesos, reglas de negocio, requerimientos funcionales/no funcionales y criterios de aceptación ejecutables para diseño, arquitectura y desarrollo.</w:t>
      </w:r>
    </w:p>
    <w:p>
      <w:r/>
    </w:p>
    <w:p>
      <w:pPr>
        <w:pStyle w:val="Heading1"/>
        <w:keepNext/>
      </w:pPr>
      <w:r>
        <w:t>1. Objetivo y contexto</w:t>
      </w:r>
    </w:p>
    <w:p>
      <w:r>
        <w:t>La plataforma será un sitio web público orientado a educación financiera y empresarial, diagnóstico inicial para PyMEs, captación comercial y monetización gradual de materiales digitales, consultas y eventos. Se diseñará primero para propietarios, administradores y responsables financieros de PyMEs (P1); después ampliará cobertura a personas interesadas en educación financiera y prospectos de consultoría (P2), y participantes de cursos y visitantes de contenido (P3). El desarrollo por fases validará primero utilidad y captación antes de añadir pagos y agenda.</w:t>
      </w:r>
    </w:p>
    <w:p>
      <w:r>
        <w:rPr>
          <w:b/>
        </w:rPr>
        <w:t>Principio rector: no hay cuentas públicas. El Check descarga inmediatamente tras captura en el recorrido activo y no se recupera. Compras, lead magnets y los flujos futuros habilitados usan magic links por propósito.</w:t>
      </w:r>
      <w:r/>
    </w:p>
    <w:p>
      <w:pPr>
        <w:pStyle w:val="Heading1"/>
        <w:keepNext/>
      </w:pPr>
      <w:r>
        <w:t>2. Objetivos de negocio</w:t>
      </w:r>
    </w:p>
    <w:p>
      <w:pPr>
        <w:pStyle w:val="ListBullet"/>
        <w:spacing w:after="20"/>
      </w:pPr>
      <w:r>
        <w:t>Construir un activo digital propio que concentre contenido, herramientas y servicios.</w:t>
      </w:r>
    </w:p>
    <w:p>
      <w:pPr>
        <w:pStyle w:val="ListBullet"/>
        <w:spacing w:after="20"/>
      </w:pPr>
      <w:r>
        <w:t>Captar leads mediante intercambio claro de valor y baja fricción.</w:t>
      </w:r>
    </w:p>
    <w:p>
      <w:pPr>
        <w:pStyle w:val="ListBullet"/>
        <w:spacing w:after="20"/>
      </w:pPr>
      <w:r>
        <w:t>Posicionar el Check PyME como principal diferenciador de entrada.</w:t>
      </w:r>
    </w:p>
    <w:p>
      <w:pPr>
        <w:pStyle w:val="ListBullet"/>
        <w:spacing w:after="20"/>
      </w:pPr>
      <w:r>
        <w:t>Validar interés y conversión antes de incrementar complejidad operativa.</w:t>
      </w:r>
    </w:p>
    <w:p>
      <w:pPr>
        <w:pStyle w:val="ListBullet"/>
        <w:spacing w:after="20"/>
      </w:pPr>
      <w:r>
        <w:t>Automatizar entrega de lead magnets, diagnósticos y, posteriormente, materiales de pago.</w:t>
      </w:r>
    </w:p>
    <w:p>
      <w:pPr>
        <w:pStyle w:val="ListBullet"/>
        <w:spacing w:after="20"/>
      </w:pPr>
      <w:r>
        <w:t>Generar trazabilidad mediante eventos, IDs operativos y analítica de conversión.</w:t>
      </w:r>
    </w:p>
    <w:p>
      <w:pPr>
        <w:pStyle w:val="Heading1"/>
        <w:keepNext/>
      </w:pPr>
      <w:r>
        <w:t>3. Alcance por fases</w:t>
      </w:r>
    </w:p>
    <w:tbl>
      <w:tblPr>
        <w:tblStyle w:val="TableGrid"/>
        <w:tblW w:type="auto" w:w="0"/>
        <w:jc w:val="center"/>
        <w:tblLook w:firstColumn="1" w:firstRow="1" w:lastColumn="0" w:lastRow="0" w:noHBand="0" w:noVBand="1" w:val="04A0"/>
      </w:tblPr>
      <w:tblGrid>
        <w:gridCol w:w="2556"/>
        <w:gridCol w:w="2556"/>
        <w:gridCol w:w="2556"/>
        <w:gridCol w:w="2556"/>
      </w:tblGrid>
      <w:tr>
        <w:trPr>
          <w:tblHeader/>
          <w:cantSplit/>
        </w:trPr>
        <w:tc>
          <w:tcPr>
            <w:tcW w:type="dxa" w:w="1728"/>
            <w:vAlign w:val="center"/>
            <w:shd w:fill="21394F"/>
          </w:tcPr>
          <w:p>
            <w:r/>
            <w:r>
              <w:rPr>
                <w:rFonts w:ascii="Aptos" w:hAnsi="Aptos"/>
                <w:b/>
                <w:color w:val="FFFFFF"/>
                <w:sz w:val="17"/>
              </w:rPr>
              <w:t>Fase</w:t>
            </w:r>
          </w:p>
        </w:tc>
        <w:tc>
          <w:tcPr>
            <w:tcW w:type="dxa" w:w="2160"/>
            <w:vAlign w:val="center"/>
            <w:shd w:fill="21394F"/>
          </w:tcPr>
          <w:p>
            <w:r/>
            <w:r>
              <w:rPr>
                <w:rFonts w:ascii="Aptos" w:hAnsi="Aptos"/>
                <w:b/>
                <w:color w:val="FFFFFF"/>
                <w:sz w:val="17"/>
              </w:rPr>
              <w:t>Objetivo</w:t>
            </w:r>
          </w:p>
        </w:tc>
        <w:tc>
          <w:tcPr>
            <w:tcW w:type="dxa" w:w="4320"/>
            <w:vAlign w:val="center"/>
            <w:shd w:fill="21394F"/>
          </w:tcPr>
          <w:p>
            <w:r/>
            <w:r>
              <w:rPr>
                <w:rFonts w:ascii="Aptos" w:hAnsi="Aptos"/>
                <w:b/>
                <w:color w:val="FFFFFF"/>
                <w:sz w:val="17"/>
              </w:rPr>
              <w:t>Incluye</w:t>
            </w:r>
          </w:p>
        </w:tc>
        <w:tc>
          <w:tcPr>
            <w:tcW w:type="dxa" w:w="2880"/>
            <w:vAlign w:val="center"/>
            <w:shd w:fill="21394F"/>
          </w:tcPr>
          <w:p>
            <w:r/>
            <w:r>
              <w:rPr>
                <w:rFonts w:ascii="Aptos" w:hAnsi="Aptos"/>
                <w:b/>
                <w:color w:val="FFFFFF"/>
                <w:sz w:val="17"/>
              </w:rPr>
              <w:t>No incluye todavía</w:t>
            </w:r>
          </w:p>
        </w:tc>
      </w:tr>
      <w:tr>
        <w:trPr>
          <w:cantSplit/>
        </w:trPr>
        <w:tc>
          <w:tcPr>
            <w:tcW w:type="dxa" w:w="1728"/>
            <w:vAlign w:val="center"/>
          </w:tcPr>
          <w:p>
            <w:r/>
            <w:r>
              <w:rPr>
                <w:rFonts w:ascii="Aptos" w:hAnsi="Aptos"/>
                <w:b w:val="0"/>
                <w:sz w:val="17"/>
              </w:rPr>
              <w:t>A · Validación</w:t>
            </w:r>
          </w:p>
        </w:tc>
        <w:tc>
          <w:tcPr>
            <w:tcW w:type="dxa" w:w="2160"/>
            <w:vAlign w:val="center"/>
          </w:tcPr>
          <w:p>
            <w:r/>
            <w:r>
              <w:rPr>
                <w:rFonts w:ascii="Aptos" w:hAnsi="Aptos"/>
                <w:b w:val="0"/>
                <w:sz w:val="17"/>
              </w:rPr>
              <w:t>Validar propuesta de valor, utilidad y captación</w:t>
            </w:r>
          </w:p>
        </w:tc>
        <w:tc>
          <w:tcPr>
            <w:tcW w:type="dxa" w:w="4320"/>
            <w:vAlign w:val="center"/>
          </w:tcPr>
          <w:p>
            <w:r/>
            <w:r>
              <w:rPr>
                <w:rFonts w:ascii="Aptos" w:hAnsi="Aptos"/>
                <w:b w:val="0"/>
                <w:sz w:val="17"/>
              </w:rPr>
              <w:t>Home, 1 calculadora, lead magnet, Check PyME, blog, formularios, analítica, correo transaccional y backoffice mínimo</w:t>
            </w:r>
          </w:p>
        </w:tc>
        <w:tc>
          <w:tcPr>
            <w:tcW w:type="dxa" w:w="2880"/>
            <w:vAlign w:val="center"/>
          </w:tcPr>
          <w:p>
            <w:r/>
            <w:r>
              <w:rPr>
                <w:rFonts w:ascii="Aptos" w:hAnsi="Aptos"/>
                <w:b w:val="0"/>
                <w:sz w:val="17"/>
              </w:rPr>
              <w:t>Pagos, agenda, eventos pagados</w:t>
            </w:r>
          </w:p>
        </w:tc>
      </w:tr>
      <w:tr>
        <w:trPr>
          <w:cantSplit/>
        </w:trPr>
        <w:tc>
          <w:tcPr>
            <w:tcW w:type="dxa" w:w="1728"/>
            <w:vAlign w:val="center"/>
          </w:tcPr>
          <w:p>
            <w:r/>
            <w:r>
              <w:rPr>
                <w:rFonts w:ascii="Aptos" w:hAnsi="Aptos"/>
                <w:b w:val="0"/>
                <w:sz w:val="17"/>
              </w:rPr>
              <w:t>B · Monetización</w:t>
            </w:r>
          </w:p>
        </w:tc>
        <w:tc>
          <w:tcPr>
            <w:tcW w:type="dxa" w:w="2160"/>
            <w:vAlign w:val="center"/>
          </w:tcPr>
          <w:p>
            <w:r/>
            <w:r>
              <w:rPr>
                <w:rFonts w:ascii="Aptos" w:hAnsi="Aptos"/>
                <w:b w:val="0"/>
                <w:sz w:val="17"/>
              </w:rPr>
              <w:t>Validar disposición de pago por materiales</w:t>
            </w:r>
          </w:p>
        </w:tc>
        <w:tc>
          <w:tcPr>
            <w:tcW w:type="dxa" w:w="4320"/>
            <w:vAlign w:val="center"/>
          </w:tcPr>
          <w:p>
            <w:r/>
            <w:r>
              <w:rPr>
                <w:rFonts w:ascii="Aptos" w:hAnsi="Aptos"/>
                <w:b w:val="0"/>
                <w:sz w:val="17"/>
              </w:rPr>
              <w:t>Stripe, catálogo de recursos de pago, órdenes, entrega segura, recuperación y soporte a facturación</w:t>
            </w:r>
          </w:p>
        </w:tc>
        <w:tc>
          <w:tcPr>
            <w:tcW w:type="dxa" w:w="2880"/>
            <w:vAlign w:val="center"/>
          </w:tcPr>
          <w:p>
            <w:r/>
            <w:r>
              <w:rPr>
                <w:rFonts w:ascii="Aptos" w:hAnsi="Aptos"/>
                <w:b w:val="0"/>
                <w:sz w:val="17"/>
              </w:rPr>
              <w:t>Agenda one-to-one y eventos</w:t>
            </w:r>
          </w:p>
        </w:tc>
      </w:tr>
      <w:tr>
        <w:trPr>
          <w:cantSplit/>
        </w:trPr>
        <w:tc>
          <w:tcPr>
            <w:tcW w:type="dxa" w:w="1728"/>
            <w:vAlign w:val="center"/>
          </w:tcPr>
          <w:p>
            <w:r/>
            <w:r>
              <w:rPr>
                <w:rFonts w:ascii="Aptos" w:hAnsi="Aptos"/>
                <w:b w:val="0"/>
                <w:sz w:val="17"/>
              </w:rPr>
              <w:t>C · Servicios y eventos</w:t>
            </w:r>
          </w:p>
        </w:tc>
        <w:tc>
          <w:tcPr>
            <w:tcW w:type="dxa" w:w="2160"/>
            <w:vAlign w:val="center"/>
          </w:tcPr>
          <w:p>
            <w:r/>
            <w:r>
              <w:rPr>
                <w:rFonts w:ascii="Aptos" w:hAnsi="Aptos"/>
                <w:b w:val="0"/>
                <w:sz w:val="17"/>
              </w:rPr>
              <w:t>Validar contratación de tiempo experto y sesiones en vivo</w:t>
            </w:r>
          </w:p>
        </w:tc>
        <w:tc>
          <w:tcPr>
            <w:tcW w:type="dxa" w:w="4320"/>
            <w:vAlign w:val="center"/>
          </w:tcPr>
          <w:p>
            <w:r/>
            <w:r>
              <w:rPr>
                <w:rFonts w:ascii="Aptos" w:hAnsi="Aptos"/>
                <w:b w:val="0"/>
                <w:sz w:val="17"/>
              </w:rPr>
              <w:t>Agenda, reserva, pago, reprogramación/cancelación, eventos, inscripciones y recordatorios</w:t>
            </w:r>
          </w:p>
        </w:tc>
        <w:tc>
          <w:tcPr>
            <w:tcW w:type="dxa" w:w="2880"/>
            <w:vAlign w:val="center"/>
          </w:tcPr>
          <w:p>
            <w:r/>
            <w:r>
              <w:rPr>
                <w:rFonts w:ascii="Aptos" w:hAnsi="Aptos"/>
                <w:b w:val="0"/>
                <w:sz w:val="17"/>
              </w:rPr>
              <w:t>Membresías, LMS, marketplace</w:t>
            </w:r>
          </w:p>
        </w:tc>
      </w:tr>
    </w:tbl>
    <w:p>
      <w:pPr>
        <w:pStyle w:val="Heading1"/>
        <w:keepNext/>
      </w:pPr>
      <w:r>
        <w:t>4. Actores</w:t>
      </w:r>
    </w:p>
    <w:tbl>
      <w:tblPr>
        <w:tblStyle w:val="TableGrid"/>
        <w:tblW w:type="auto" w:w="0"/>
        <w:jc w:val="center"/>
        <w:tblLook w:firstColumn="1" w:firstRow="1" w:lastColumn="0" w:lastRow="0" w:noHBand="0" w:noVBand="1" w:val="04A0"/>
      </w:tblPr>
      <w:tblGrid>
        <w:gridCol w:w="3408"/>
        <w:gridCol w:w="3408"/>
        <w:gridCol w:w="3408"/>
      </w:tblGrid>
      <w:tr>
        <w:trPr>
          <w:tblHeader/>
          <w:cantSplit/>
        </w:trPr>
        <w:tc>
          <w:tcPr>
            <w:tcW w:type="dxa" w:w="1872"/>
            <w:vAlign w:val="center"/>
            <w:shd w:fill="21394F"/>
          </w:tcPr>
          <w:p>
            <w:r/>
            <w:r>
              <w:rPr>
                <w:rFonts w:ascii="Aptos" w:hAnsi="Aptos"/>
                <w:b/>
                <w:color w:val="FFFFFF"/>
                <w:sz w:val="17"/>
              </w:rPr>
              <w:t>Actor</w:t>
            </w:r>
          </w:p>
        </w:tc>
        <w:tc>
          <w:tcPr>
            <w:tcW w:type="dxa" w:w="2880"/>
            <w:vAlign w:val="center"/>
            <w:shd w:fill="21394F"/>
          </w:tcPr>
          <w:p>
            <w:r/>
            <w:r>
              <w:rPr>
                <w:rFonts w:ascii="Aptos" w:hAnsi="Aptos"/>
                <w:b/>
                <w:color w:val="FFFFFF"/>
                <w:sz w:val="17"/>
              </w:rPr>
              <w:t>Descripción</w:t>
            </w:r>
          </w:p>
        </w:tc>
        <w:tc>
          <w:tcPr>
            <w:tcW w:type="dxa" w:w="6336"/>
            <w:vAlign w:val="center"/>
            <w:shd w:fill="21394F"/>
          </w:tcPr>
          <w:p>
            <w:r/>
            <w:r>
              <w:rPr>
                <w:rFonts w:ascii="Aptos" w:hAnsi="Aptos"/>
                <w:b/>
                <w:color w:val="FFFFFF"/>
                <w:sz w:val="17"/>
              </w:rPr>
              <w:t>Permisos / acciones</w:t>
            </w:r>
          </w:p>
        </w:tc>
      </w:tr>
      <w:tr>
        <w:trPr>
          <w:cantSplit/>
        </w:trPr>
        <w:tc>
          <w:tcPr>
            <w:tcW w:type="dxa" w:w="1872"/>
            <w:vAlign w:val="center"/>
          </w:tcPr>
          <w:p>
            <w:r/>
            <w:r>
              <w:rPr>
                <w:rFonts w:ascii="Aptos" w:hAnsi="Aptos"/>
                <w:b w:val="0"/>
                <w:sz w:val="17"/>
              </w:rPr>
              <w:t>Visitante</w:t>
            </w:r>
          </w:p>
        </w:tc>
        <w:tc>
          <w:tcPr>
            <w:tcW w:type="dxa" w:w="2880"/>
            <w:vAlign w:val="center"/>
          </w:tcPr>
          <w:p>
            <w:r/>
            <w:r>
              <w:rPr>
                <w:rFonts w:ascii="Aptos" w:hAnsi="Aptos"/>
                <w:b w:val="0"/>
                <w:sz w:val="17"/>
              </w:rPr>
              <w:t>Persona anónima que navega el sitio</w:t>
            </w:r>
          </w:p>
        </w:tc>
        <w:tc>
          <w:tcPr>
            <w:tcW w:type="dxa" w:w="6336"/>
            <w:vAlign w:val="center"/>
          </w:tcPr>
          <w:p>
            <w:r/>
            <w:r>
              <w:rPr>
                <w:rFonts w:ascii="Aptos" w:hAnsi="Aptos"/>
                <w:b w:val="0"/>
                <w:sz w:val="17"/>
              </w:rPr>
              <w:t>Consultar contenido, usar herramientas, iniciar Check, formularios y ofertas.</w:t>
            </w:r>
          </w:p>
        </w:tc>
      </w:tr>
      <w:tr>
        <w:trPr>
          <w:cantSplit/>
        </w:trPr>
        <w:tc>
          <w:tcPr>
            <w:tcW w:type="dxa" w:w="1872"/>
            <w:vAlign w:val="center"/>
          </w:tcPr>
          <w:p>
            <w:r>
              <w:t>Lead</w:t>
            </w:r>
          </w:p>
        </w:tc>
        <w:tc>
          <w:tcPr>
            <w:tcW w:type="dxa" w:w="2880"/>
            <w:vAlign w:val="center"/>
          </w:tcPr>
          <w:p>
            <w:r>
              <w:t>Visitante que proporciona datos para una interacción.</w:t>
            </w:r>
          </w:p>
        </w:tc>
        <w:tc>
          <w:tcPr>
            <w:tcW w:type="dxa" w:w="6336"/>
            <w:vAlign w:val="center"/>
          </w:tcPr>
          <w:p>
            <w:r/>
            <w:r>
              <w:rPr>
                <w:rFonts w:ascii="Aptos" w:hAnsi="Aptos"/>
                <w:b w:val="0"/>
                <w:sz w:val="17"/>
              </w:rPr>
              <w:t>Recibir recurso, diagnóstico o seguimiento conforme a consentimiento.</w:t>
            </w:r>
          </w:p>
        </w:tc>
      </w:tr>
      <w:tr>
        <w:trPr>
          <w:cantSplit/>
        </w:trPr>
        <w:tc>
          <w:tcPr>
            <w:tcW w:type="dxa" w:w="1872"/>
            <w:vAlign w:val="center"/>
          </w:tcPr>
          <w:p>
            <w:r/>
            <w:r>
              <w:rPr>
                <w:rFonts w:ascii="Aptos" w:hAnsi="Aptos"/>
                <w:b w:val="0"/>
                <w:sz w:val="17"/>
              </w:rPr>
              <w:t>Comprador</w:t>
            </w:r>
          </w:p>
        </w:tc>
        <w:tc>
          <w:tcPr>
            <w:tcW w:type="dxa" w:w="2880"/>
            <w:vAlign w:val="center"/>
          </w:tcPr>
          <w:p>
            <w:r/>
            <w:r>
              <w:rPr>
                <w:rFonts w:ascii="Aptos" w:hAnsi="Aptos"/>
                <w:b w:val="0"/>
                <w:sz w:val="17"/>
              </w:rPr>
              <w:t>Persona que paga un recurso o servicio</w:t>
            </w:r>
          </w:p>
        </w:tc>
        <w:tc>
          <w:tcPr>
            <w:tcW w:type="dxa" w:w="6336"/>
            <w:vAlign w:val="center"/>
          </w:tcPr>
          <w:p>
            <w:r/>
            <w:r>
              <w:rPr>
                <w:rFonts w:ascii="Aptos" w:hAnsi="Aptos"/>
                <w:b w:val="0"/>
                <w:sz w:val="17"/>
              </w:rPr>
              <w:t>Recibir confirmación, acceso seguro y soporte de operación.</w:t>
            </w:r>
          </w:p>
        </w:tc>
      </w:tr>
      <w:tr>
        <w:trPr>
          <w:cantSplit/>
        </w:trPr>
        <w:tc>
          <w:tcPr>
            <w:tcW w:type="dxa" w:w="1872"/>
            <w:vAlign w:val="center"/>
          </w:tcPr>
          <w:p>
            <w:r/>
            <w:r>
              <w:rPr>
                <w:rFonts w:ascii="Aptos" w:hAnsi="Aptos"/>
                <w:b w:val="0"/>
                <w:sz w:val="17"/>
              </w:rPr>
              <w:t>Administrador</w:t>
            </w:r>
          </w:p>
        </w:tc>
        <w:tc>
          <w:tcPr>
            <w:tcW w:type="dxa" w:w="2880"/>
            <w:vAlign w:val="center"/>
          </w:tcPr>
          <w:p>
            <w:r/>
            <w:r>
              <w:rPr>
                <w:rFonts w:ascii="Aptos" w:hAnsi="Aptos"/>
                <w:b w:val="0"/>
                <w:sz w:val="17"/>
              </w:rPr>
              <w:t>Personal interno autenticado</w:t>
            </w:r>
          </w:p>
        </w:tc>
        <w:tc>
          <w:tcPr>
            <w:tcW w:type="dxa" w:w="6336"/>
            <w:vAlign w:val="center"/>
          </w:tcPr>
          <w:p>
            <w:r/>
            <w:r>
              <w:rPr>
                <w:rFonts w:ascii="Aptos" w:hAnsi="Aptos"/>
                <w:b w:val="0"/>
                <w:sz w:val="17"/>
              </w:rPr>
              <w:t>Gestionar contenidos, leads, recursos y operaciones habilitadas por fase.</w:t>
            </w:r>
          </w:p>
        </w:tc>
      </w:tr>
    </w:tbl>
    <w:p>
      <w:pPr>
        <w:pStyle w:val="Heading1"/>
        <w:keepNext/>
      </w:pPr>
      <w:r>
        <w:t>5. Procesos principales</w:t>
      </w:r>
    </w:p>
    <w:p>
      <w:r>
        <w:rPr>
          <w:b/>
          <w:color w:val="21394F"/>
        </w:rPr>
        <w:t>P-01 · Lead magnet</w:t>
      </w:r>
    </w:p>
    <w:p>
      <w:r>
        <w:t>Contenido/CTA → formulario mínimo → consentimiento → alta de lead → correo de entrega → registro de evento de entrega/descarga.</w:t>
      </w:r>
    </w:p>
    <w:p>
      <w:r>
        <w:rPr>
          <w:b/>
          <w:color w:val="21394F"/>
        </w:rPr>
        <w:t>P-02 · Check PyME</w:t>
      </w:r>
    </w:p>
    <w:p>
      <w:r>
        <w:t>Inicio → ocho preguntas → “Tu informe está listo” → formulario (nombre, correo y empresa obligatorios; WhatsApp opcional) → envío válido y persistencia → resultado completo y descarga inmediata del PDF → solicitud opcional de orientación. El Check no envía magic link ni requiere validar el correo para entregar el resultado. Mientras permanezca en la pantalla del resultado puede reintentar descargar el mismo informe. Al salir, no hay consulta, búsqueda por correo ni recuperación pública; para obtener otro informe debe completar un nuevo cuestionario y dejar sus datos otra vez.</w:t>
      </w:r>
    </w:p>
    <w:p>
      <w:r>
        <w:rPr>
          <w:b/>
          <w:color w:val="21394F"/>
        </w:rPr>
        <w:t>P-03 · Compra digital (Fase B)</w:t>
      </w:r>
    </w:p>
    <w:p>
      <w:r>
        <w:t>Producto → Comprar → Stripe Checkout captura correo → webhook válido confirma pago → orden pagada con correo asociado → correo con magic link → confirmación explícita y descarga controlada. Acceso durante 14 días exactos desde la confirmación del pago y hasta tres descargas exitosas por derecho de entrega de la compra. Abrir el enlace, confirmar acceso sin descargar o un fallo técnico no descuenta descargas. Reemitir el magic link conserva el vencimiento y el saldo restante. Soporte puede autorizar excepciones documentadas y auditadas.</w:t>
      </w:r>
    </w:p>
    <w:p>
      <w:r>
        <w:rPr>
          <w:b/>
          <w:color w:val="21394F"/>
        </w:rPr>
        <w:t>P-04 · Sesión one-to-one (Fase C)</w:t>
      </w:r>
    </w:p>
    <w:p>
      <w:r>
        <w:t>Servicio → datos → selección de horario → reserva temporal → pago → confirmación → Calendar → magic link de gestión → recordatorios.</w:t>
      </w:r>
    </w:p>
    <w:p>
      <w:r>
        <w:rPr>
          <w:b/>
          <w:color w:val="21394F"/>
        </w:rPr>
        <w:t>P-05 · Evento (Fase C)</w:t>
      </w:r>
    </w:p>
    <w:p>
      <w:r>
        <w:t>Evento → registro → pago cuando aplique → confirmación → instrucciones/acceso → recordatorio → registro de asistencia/estado.</w:t>
      </w:r>
    </w:p>
    <w:p>
      <w:r>
        <w:rPr>
          <w:b/>
          <w:color w:val="21394F"/>
        </w:rPr>
        <w:t>P-06 · Comentarios y solicitudes</w:t>
      </w:r>
    </w:p>
    <w:p>
      <w:r>
        <w:t>Formulario → categoría → datos de contacto opcionales/obligatorios según caso → registro → notificación interna → seguimiento manual.</w:t>
      </w:r>
    </w:p>
    <w:p>
      <w:pPr>
        <w:pStyle w:val="Heading1"/>
        <w:keepNext/>
      </w:pPr>
      <w:r>
        <w:t>6. Reglas de negocio</w:t>
      </w:r>
    </w:p>
    <w:tbl>
      <w:tblPr>
        <w:tblStyle w:val="TableGrid"/>
        <w:tblW w:type="auto" w:w="0"/>
        <w:jc w:val="center"/>
        <w:tblLook w:firstColumn="1" w:firstRow="1" w:lastColumn="0" w:lastRow="0" w:noHBand="0" w:noVBand="1" w:val="04A0"/>
      </w:tblPr>
      <w:tblGrid>
        <w:gridCol w:w="3408"/>
        <w:gridCol w:w="3408"/>
        <w:gridCol w:w="3408"/>
      </w:tblGrid>
      <w:tr>
        <w:trPr>
          <w:tblHeader/>
          <w:cantSplit/>
        </w:trPr>
        <w:tc>
          <w:tcPr>
            <w:tcW w:type="dxa" w:w="1152"/>
            <w:vAlign w:val="center"/>
            <w:shd w:fill="21394F"/>
          </w:tcPr>
          <w:p>
            <w:r/>
            <w:r>
              <w:rPr>
                <w:rFonts w:ascii="Aptos" w:hAnsi="Aptos"/>
                <w:b/>
                <w:color w:val="FFFFFF"/>
                <w:sz w:val="17"/>
              </w:rPr>
              <w:t>ID</w:t>
            </w:r>
          </w:p>
        </w:tc>
        <w:tc>
          <w:tcPr>
            <w:tcW w:type="dxa" w:w="2448"/>
            <w:vAlign w:val="center"/>
            <w:shd w:fill="21394F"/>
          </w:tcPr>
          <w:p>
            <w:r/>
            <w:r>
              <w:rPr>
                <w:rFonts w:ascii="Aptos" w:hAnsi="Aptos"/>
                <w:b/>
                <w:color w:val="FFFFFF"/>
                <w:sz w:val="17"/>
              </w:rPr>
              <w:t>Regla</w:t>
            </w:r>
          </w:p>
        </w:tc>
        <w:tc>
          <w:tcPr>
            <w:tcW w:type="dxa" w:w="7488"/>
            <w:vAlign w:val="center"/>
            <w:shd w:fill="21394F"/>
          </w:tcPr>
          <w:p>
            <w:r/>
            <w:r>
              <w:rPr>
                <w:rFonts w:ascii="Aptos" w:hAnsi="Aptos"/>
                <w:b/>
                <w:color w:val="FFFFFF"/>
                <w:sz w:val="17"/>
              </w:rPr>
              <w:t>Definición</w:t>
            </w:r>
          </w:p>
        </w:tc>
      </w:tr>
      <w:tr>
        <w:trPr>
          <w:cantSplit/>
        </w:trPr>
        <w:tc>
          <w:tcPr>
            <w:tcW w:type="dxa" w:w="1152"/>
            <w:vAlign w:val="center"/>
          </w:tcPr>
          <w:p>
            <w:r/>
            <w:r>
              <w:rPr>
                <w:rFonts w:ascii="Aptos" w:hAnsi="Aptos"/>
                <w:b w:val="0"/>
                <w:sz w:val="17"/>
              </w:rPr>
              <w:t>RN-001</w:t>
            </w:r>
          </w:p>
        </w:tc>
        <w:tc>
          <w:tcPr>
            <w:tcW w:type="dxa" w:w="2448"/>
            <w:vAlign w:val="center"/>
          </w:tcPr>
          <w:p>
            <w:r/>
            <w:r>
              <w:rPr>
                <w:rFonts w:ascii="Aptos" w:hAnsi="Aptos"/>
                <w:b w:val="0"/>
                <w:sz w:val="17"/>
              </w:rPr>
              <w:t>No cuentas públicas</w:t>
            </w:r>
          </w:p>
        </w:tc>
        <w:tc>
          <w:tcPr>
            <w:tcW w:type="dxa" w:w="7488"/>
            <w:vAlign w:val="center"/>
          </w:tcPr>
          <w:p>
            <w:r/>
            <w:r>
              <w:rPr>
                <w:rFonts w:ascii="Aptos" w:hAnsi="Aptos"/>
                <w:b w:val="0"/>
                <w:sz w:val="17"/>
              </w:rPr>
              <w:t>La plataforma no permitirá crear cuentas de cliente ni contraseñas en las fases A-C.</w:t>
            </w:r>
          </w:p>
        </w:tc>
      </w:tr>
      <w:tr>
        <w:trPr>
          <w:cantSplit/>
        </w:trPr>
        <w:tc>
          <w:tcPr>
            <w:tcW w:type="dxa" w:w="1152"/>
            <w:vAlign w:val="center"/>
          </w:tcPr>
          <w:p>
            <w:r>
              <w:t>RN-002</w:t>
            </w:r>
          </w:p>
        </w:tc>
        <w:tc>
          <w:tcPr>
            <w:tcW w:type="dxa" w:w="2448"/>
            <w:vAlign w:val="center"/>
          </w:tcPr>
          <w:p>
            <w:r>
              <w:t>Magic links por propósito</w:t>
            </w:r>
          </w:p>
        </w:tc>
        <w:tc>
          <w:tcPr>
            <w:tcW w:type="dxa" w:w="7488"/>
            <w:vAlign w:val="center"/>
          </w:tcPr>
          <w:p>
            <w:r>
              <w:t>Tokens opacos, expirables y revocables para compras, lead magnets y flujos futuros habilitados; nunca para entregar o recuperar el Check. GET no consume. Lead magnet conserva valores de trabajo de 3 días y tres confirmaciones. Compra se rige por RN-007 y contabiliza descargas exitosas, no confirmaciones. Citas/eventos conservan política pendiente propia.</w:t>
            </w:r>
          </w:p>
        </w:tc>
      </w:tr>
      <w:tr>
        <w:trPr>
          <w:cantSplit/>
        </w:trPr>
        <w:tc>
          <w:tcPr>
            <w:tcW w:type="dxa" w:w="1152"/>
            <w:vAlign w:val="center"/>
          </w:tcPr>
          <w:p>
            <w:r>
              <w:t>RN-003</w:t>
            </w:r>
          </w:p>
        </w:tc>
        <w:tc>
          <w:tcPr>
            <w:tcW w:type="dxa" w:w="2448"/>
            <w:vAlign w:val="center"/>
          </w:tcPr>
          <w:p>
            <w:r>
              <w:t>Check PyME versionado</w:t>
            </w:r>
          </w:p>
        </w:tc>
        <w:tc>
          <w:tcPr>
            <w:tcW w:type="dxa" w:w="7488"/>
            <w:vAlign w:val="center"/>
          </w:tcPr>
          <w:p>
            <w:r>
              <w:t>Anexo A de Concepto v0.8: Check v1.3. Preguntas, opciones, dimensiones, escala, fórmula, niveles y catálogo v0.1 se conservan. La v1.3 cambia captura y entrega; otro cambio requiere versión nueva.</w:t>
            </w:r>
          </w:p>
        </w:tc>
      </w:tr>
      <w:tr>
        <w:trPr>
          <w:cantSplit/>
        </w:trPr>
        <w:tc>
          <w:tcPr>
            <w:tcW w:type="dxa" w:w="1152"/>
            <w:vAlign w:val="center"/>
          </w:tcPr>
          <w:p>
            <w:r/>
            <w:r>
              <w:rPr>
                <w:rFonts w:ascii="Aptos" w:hAnsi="Aptos"/>
                <w:b w:val="0"/>
                <w:sz w:val="17"/>
              </w:rPr>
              <w:t>RN-004</w:t>
            </w:r>
          </w:p>
        </w:tc>
        <w:tc>
          <w:tcPr>
            <w:tcW w:type="dxa" w:w="2448"/>
            <w:vAlign w:val="center"/>
          </w:tcPr>
          <w:p>
            <w:r/>
            <w:r>
              <w:rPr>
                <w:rFonts w:ascii="Aptos" w:hAnsi="Aptos"/>
                <w:b w:val="0"/>
                <w:sz w:val="17"/>
              </w:rPr>
              <w:t>Financiamiento</w:t>
            </w:r>
          </w:p>
        </w:tc>
        <w:tc>
          <w:tcPr>
            <w:tcW w:type="dxa" w:w="7488"/>
            <w:vAlign w:val="center"/>
          </w:tcPr>
          <w:p>
            <w:r/>
            <w:r>
              <w:rPr>
                <w:rFonts w:ascii="Aptos" w:hAnsi="Aptos"/>
                <w:b w:val="0"/>
                <w:sz w:val="17"/>
              </w:rPr>
              <w:t xml:space="preserve">El Check no premiará tener deuda; calificará claridad y preparación. Opciones y mapeo: (a) tiene financiamiento y conoce su finalidad = 2; (b) no tiene, pero identifica una necesidad futura = 2; (e) no tiene, lo evaluó y concluyó que no lo requiere = 2; (c) tiene financiamiento, pero no tiene claridad sobre si es el adecuado = 1; (d) no tiene y no ha evaluado si lo necesita = 0.</w:t>
            </w:r>
          </w:p>
        </w:tc>
      </w:tr>
      <w:tr>
        <w:trPr>
          <w:cantSplit/>
        </w:trPr>
        <w:tc>
          <w:tcPr>
            <w:tcW w:type="dxa" w:w="1152"/>
            <w:vAlign w:val="center"/>
          </w:tcPr>
          <w:p>
            <w:r>
              <w:t>RN-005</w:t>
            </w:r>
          </w:p>
        </w:tc>
        <w:tc>
          <w:tcPr>
            <w:tcW w:type="dxa" w:w="2448"/>
            <w:vAlign w:val="center"/>
          </w:tcPr>
          <w:p>
            <w:r>
              <w:t>Captura del Check</w:t>
            </w:r>
          </w:p>
        </w:tc>
        <w:tc>
          <w:tcPr>
            <w:tcW w:type="dxa" w:w="7488"/>
            <w:vAlign w:val="center"/>
          </w:tcPr>
          <w:p>
            <w:r>
              <w:t>Nombre de la persona, correo y nombre de empresa obligatorios; teléfono WhatsApp opcional. Consentimiento de servicio separado del comercial. El correo es dato de contacto; no exige abrir correo ni recibir magic link para descargar.</w:t>
            </w:r>
          </w:p>
        </w:tc>
      </w:tr>
      <w:tr>
        <w:trPr>
          <w:cantSplit/>
        </w:trPr>
        <w:tc>
          <w:tcPr>
            <w:tcW w:type="dxa" w:w="1152"/>
            <w:vAlign w:val="center"/>
          </w:tcPr>
          <w:p>
            <w:r/>
            <w:r>
              <w:rPr>
                <w:rFonts w:ascii="Aptos" w:hAnsi="Aptos"/>
                <w:b w:val="0"/>
                <w:sz w:val="17"/>
              </w:rPr>
              <w:t>RN-006</w:t>
            </w:r>
          </w:p>
        </w:tc>
        <w:tc>
          <w:tcPr>
            <w:tcW w:type="dxa" w:w="2448"/>
            <w:vAlign w:val="center"/>
          </w:tcPr>
          <w:p>
            <w:r/>
            <w:r>
              <w:rPr>
                <w:rFonts w:ascii="Aptos" w:hAnsi="Aptos"/>
                <w:b w:val="0"/>
                <w:sz w:val="17"/>
              </w:rPr>
              <w:t>Lead comercial</w:t>
            </w:r>
          </w:p>
        </w:tc>
        <w:tc>
          <w:tcPr>
            <w:tcW w:type="dxa" w:w="7488"/>
            <w:vAlign w:val="center"/>
          </w:tcPr>
          <w:p>
            <w:r/>
            <w:r>
              <w:rPr>
                <w:rFonts w:ascii="Aptos" w:hAnsi="Aptos"/>
                <w:b w:val="0"/>
                <w:sz w:val="17"/>
              </w:rPr>
              <w:t>No todo lead se considerará suscriptor de marketing. El consentimiento comercial será opcional y revocable.</w:t>
            </w:r>
          </w:p>
        </w:tc>
      </w:tr>
      <w:tr>
        <w:trPr>
          <w:cantSplit/>
        </w:trPr>
        <w:tc>
          <w:tcPr>
            <w:tcW w:type="dxa" w:w="1152"/>
            <w:vAlign w:val="center"/>
          </w:tcPr>
          <w:p>
            <w:r>
              <w:t>RN-007</w:t>
            </w:r>
          </w:p>
        </w:tc>
        <w:tc>
          <w:tcPr>
            <w:tcW w:type="dxa" w:w="2448"/>
            <w:vAlign w:val="center"/>
          </w:tcPr>
          <w:p>
            <w:r>
              <w:t>Descargas de compra</w:t>
            </w:r>
          </w:p>
        </w:tc>
        <w:tc>
          <w:tcPr>
            <w:tcW w:type="dxa" w:w="7488"/>
            <w:vAlign w:val="center"/>
          </w:tcPr>
          <w:p>
            <w:r>
              <w:t>Acceso durante 14 días exactos desde la confirmación del pago y hasta tres descargas exitosas por derecho de entrega de la compra. Abrir el enlace, confirmar acceso sin descargar o un fallo técnico no descuenta descargas. Reemitir el magic link conserva el vencimiento y el saldo restante. Soporte puede autorizar excepciones documentadas y auditadas. El correo se captura en Stripe Checkout y se asocia a la orden. La política aplica a archivos comprados, no al Check ni a citas/eventos.</w:t>
            </w:r>
          </w:p>
        </w:tc>
      </w:tr>
      <w:tr>
        <w:trPr>
          <w:cantSplit/>
        </w:trPr>
        <w:tc>
          <w:tcPr>
            <w:tcW w:type="dxa" w:w="1152"/>
            <w:vAlign w:val="center"/>
          </w:tcPr>
          <w:p>
            <w:r/>
            <w:r>
              <w:rPr>
                <w:rFonts w:ascii="Aptos" w:hAnsi="Aptos"/>
                <w:b w:val="0"/>
                <w:sz w:val="17"/>
              </w:rPr>
              <w:t>RN-008</w:t>
            </w:r>
          </w:p>
        </w:tc>
        <w:tc>
          <w:tcPr>
            <w:tcW w:type="dxa" w:w="2448"/>
            <w:vAlign w:val="center"/>
          </w:tcPr>
          <w:p>
            <w:r/>
            <w:r>
              <w:rPr>
                <w:rFonts w:ascii="Aptos" w:hAnsi="Aptos"/>
                <w:b w:val="0"/>
                <w:sz w:val="17"/>
              </w:rPr>
              <w:t>Pago confirmado</w:t>
            </w:r>
          </w:p>
        </w:tc>
        <w:tc>
          <w:tcPr>
            <w:tcW w:type="dxa" w:w="7488"/>
            <w:vAlign w:val="center"/>
          </w:tcPr>
          <w:p>
            <w:r/>
            <w:r>
              <w:rPr>
                <w:rFonts w:ascii="Aptos" w:hAnsi="Aptos"/>
                <w:b w:val="0"/>
                <w:sz w:val="17"/>
              </w:rPr>
              <w:t>Ningún producto o servicio de pago se entregará solo por retorno del navegador; se requerirá confirmación por webhook válido del proveedor de pagos.</w:t>
            </w:r>
          </w:p>
        </w:tc>
      </w:tr>
      <w:tr>
        <w:trPr>
          <w:cantSplit/>
        </w:trPr>
        <w:tc>
          <w:tcPr>
            <w:tcW w:type="dxa" w:w="1152"/>
            <w:vAlign w:val="center"/>
          </w:tcPr>
          <w:p>
            <w:r/>
            <w:r>
              <w:rPr>
                <w:rFonts w:ascii="Aptos" w:hAnsi="Aptos"/>
                <w:b w:val="0"/>
                <w:sz w:val="17"/>
              </w:rPr>
              <w:t>RN-009</w:t>
            </w:r>
          </w:p>
        </w:tc>
        <w:tc>
          <w:tcPr>
            <w:tcW w:type="dxa" w:w="2448"/>
            <w:vAlign w:val="center"/>
          </w:tcPr>
          <w:p>
            <w:r/>
            <w:r>
              <w:rPr>
                <w:rFonts w:ascii="Aptos" w:hAnsi="Aptos"/>
                <w:b w:val="0"/>
                <w:sz w:val="17"/>
              </w:rPr>
              <w:t>Factura</w:t>
            </w:r>
          </w:p>
        </w:tc>
        <w:tc>
          <w:tcPr>
            <w:tcW w:type="dxa" w:w="7488"/>
            <w:vAlign w:val="center"/>
          </w:tcPr>
          <w:p>
            <w:r/>
            <w:r>
              <w:rPr>
                <w:rFonts w:ascii="Aptos" w:hAnsi="Aptos"/>
                <w:b w:val="0"/>
                <w:sz w:val="17"/>
              </w:rPr>
              <w:t>La solicitud de CFDI se separará de la compra. La plataforma deberá capturar los datos fiscales requeridos y conservar trazabilidad de la solicitud y referencia de emisión.</w:t>
            </w:r>
          </w:p>
        </w:tc>
      </w:tr>
      <w:tr>
        <w:trPr>
          <w:cantSplit/>
        </w:trPr>
        <w:tc>
          <w:tcPr>
            <w:tcW w:type="dxa" w:w="1152"/>
            <w:vAlign w:val="center"/>
          </w:tcPr>
          <w:p>
            <w:r/>
            <w:r>
              <w:rPr>
                <w:rFonts w:ascii="Aptos" w:hAnsi="Aptos"/>
                <w:b w:val="0"/>
                <w:sz w:val="17"/>
              </w:rPr>
              <w:t>RN-010</w:t>
            </w:r>
          </w:p>
        </w:tc>
        <w:tc>
          <w:tcPr>
            <w:tcW w:type="dxa" w:w="2448"/>
            <w:vAlign w:val="center"/>
          </w:tcPr>
          <w:p>
            <w:r/>
            <w:r>
              <w:rPr>
                <w:rFonts w:ascii="Aptos" w:hAnsi="Aptos"/>
                <w:b w:val="0"/>
                <w:sz w:val="17"/>
              </w:rPr>
              <w:t>Agenda</w:t>
            </w:r>
          </w:p>
        </w:tc>
        <w:tc>
          <w:tcPr>
            <w:tcW w:type="dxa" w:w="7488"/>
            <w:vAlign w:val="center"/>
          </w:tcPr>
          <w:p>
            <w:r/>
            <w:r>
              <w:rPr>
                <w:rFonts w:ascii="Aptos" w:hAnsi="Aptos"/>
                <w:b w:val="0"/>
                <w:sz w:val="17"/>
              </w:rPr>
              <w:t>Los horarios no se considerarán confirmados hasta cumplir la regla de pago/confirmación configurada. Las reservas temporales deberán vencer automáticamente.</w:t>
            </w:r>
          </w:p>
        </w:tc>
      </w:tr>
      <w:tr>
        <w:trPr>
          <w:cantSplit/>
        </w:trPr>
        <w:tc>
          <w:tcPr>
            <w:tcW w:type="dxa" w:w="1152"/>
            <w:vAlign w:val="center"/>
          </w:tcPr>
          <w:p>
            <w:r/>
            <w:r>
              <w:rPr>
                <w:rFonts w:ascii="Aptos" w:hAnsi="Aptos"/>
                <w:b w:val="0"/>
                <w:sz w:val="17"/>
              </w:rPr>
              <w:t>RN-011</w:t>
            </w:r>
          </w:p>
        </w:tc>
        <w:tc>
          <w:tcPr>
            <w:tcW w:type="dxa" w:w="2448"/>
            <w:vAlign w:val="center"/>
          </w:tcPr>
          <w:p>
            <w:r/>
            <w:r>
              <w:rPr>
                <w:rFonts w:ascii="Aptos" w:hAnsi="Aptos"/>
                <w:b w:val="0"/>
                <w:sz w:val="17"/>
              </w:rPr>
              <w:t>Cancelación/reprogramación</w:t>
            </w:r>
          </w:p>
        </w:tc>
        <w:tc>
          <w:tcPr>
            <w:tcW w:type="dxa" w:w="7488"/>
            <w:vAlign w:val="center"/>
          </w:tcPr>
          <w:p>
            <w:r/>
            <w:r>
              <w:rPr>
                <w:rFonts w:ascii="Aptos" w:hAnsi="Aptos"/>
                <w:b w:val="0"/>
                <w:sz w:val="17"/>
              </w:rPr>
              <w:t>La política será configurable por servicio/evento y deberá mostrarse antes del pago. Sus valores definitivos se cerrarán antes de liberar Fase C.</w:t>
            </w:r>
          </w:p>
        </w:tc>
      </w:tr>
      <w:tr>
        <w:trPr>
          <w:cantSplit/>
        </w:trPr>
        <w:tc>
          <w:tcPr>
            <w:tcW w:type="dxa" w:w="1152"/>
            <w:vAlign w:val="center"/>
          </w:tcPr>
          <w:p>
            <w:r/>
            <w:r>
              <w:rPr>
                <w:rFonts w:ascii="Aptos" w:hAnsi="Aptos"/>
                <w:b w:val="0"/>
                <w:sz w:val="17"/>
              </w:rPr>
              <w:t>RN-012</w:t>
            </w:r>
          </w:p>
        </w:tc>
        <w:tc>
          <w:tcPr>
            <w:tcW w:type="dxa" w:w="2448"/>
            <w:vAlign w:val="center"/>
          </w:tcPr>
          <w:p>
            <w:r/>
            <w:r>
              <w:rPr>
                <w:rFonts w:ascii="Aptos" w:hAnsi="Aptos"/>
                <w:b w:val="0"/>
                <w:sz w:val="17"/>
              </w:rPr>
              <w:t>Backoffice proporcional</w:t>
            </w:r>
          </w:p>
        </w:tc>
        <w:tc>
          <w:tcPr>
            <w:tcW w:type="dxa" w:w="7488"/>
            <w:vAlign w:val="center"/>
          </w:tcPr>
          <w:p>
            <w:r/>
            <w:r>
              <w:rPr>
                <w:rFonts w:ascii="Aptos" w:hAnsi="Aptos"/>
                <w:b w:val="0"/>
                <w:sz w:val="17"/>
              </w:rPr>
              <w:t>El backoffice incluirá únicamente funciones necesarias para operar la fase liberada; no se desarrollará un CRM completo.</w:t>
            </w:r>
          </w:p>
        </w:tc>
      </w:tr>
      <w:tr>
        <w:trPr>
          <w:cantSplit/>
        </w:trPr>
        <w:tc>
          <w:tcPr>
            <w:tcW w:type="dxa" w:w="1152"/>
            <w:vAlign w:val="center"/>
          </w:tcPr>
          <w:p>
            <w:r/>
            <w:r>
              <w:rPr>
                <w:rFonts w:ascii="Aptos" w:hAnsi="Aptos"/>
                <w:b w:val="0"/>
                <w:sz w:val="17"/>
              </w:rPr>
              <w:t>RN-013</w:t>
            </w:r>
          </w:p>
        </w:tc>
        <w:tc>
          <w:tcPr>
            <w:tcW w:type="dxa" w:w="2448"/>
            <w:vAlign w:val="center"/>
          </w:tcPr>
          <w:p>
            <w:r/>
            <w:r>
              <w:rPr>
                <w:rFonts w:ascii="Aptos" w:hAnsi="Aptos"/>
                <w:b w:val="0"/>
                <w:sz w:val="17"/>
              </w:rPr>
              <w:t>Versionado de contenido crítico</w:t>
            </w:r>
          </w:p>
        </w:tc>
        <w:tc>
          <w:tcPr>
            <w:tcW w:type="dxa" w:w="7488"/>
            <w:vAlign w:val="center"/>
          </w:tcPr>
          <w:p>
            <w:r/>
            <w:r>
              <w:rPr>
                <w:rFonts w:ascii="Aptos" w:hAnsi="Aptos"/>
                <w:b w:val="0"/>
                <w:sz w:val="17"/>
              </w:rPr>
              <w:t>Check PyME, disclaimers, políticas de cancelación y textos legales deberán registrar versión y fecha de vigencia.</w:t>
            </w:r>
          </w:p>
        </w:tc>
      </w:tr>
      <w:tr>
        <w:trPr>
          <w:cantSplit/>
        </w:trPr>
        <w:tc>
          <w:tcPr>
            <w:tcW w:type="dxa" w:w="1152"/>
            <w:vAlign w:val="center"/>
          </w:tcPr>
          <w:p>
            <w:r/>
            <w:r>
              <w:rPr>
                <w:rFonts w:ascii="Aptos" w:hAnsi="Aptos"/>
                <w:b w:val="0"/>
                <w:sz w:val="17"/>
              </w:rPr>
              <w:t>RN-014</w:t>
            </w:r>
          </w:p>
        </w:tc>
        <w:tc>
          <w:tcPr>
            <w:tcW w:type="dxa" w:w="2448"/>
            <w:vAlign w:val="center"/>
          </w:tcPr>
          <w:p>
            <w:r/>
            <w:r>
              <w:rPr>
                <w:rFonts w:ascii="Aptos" w:hAnsi="Aptos"/>
                <w:b w:val="0"/>
                <w:sz w:val="17"/>
              </w:rPr>
              <w:t>IDs públicos</w:t>
            </w:r>
          </w:p>
        </w:tc>
        <w:tc>
          <w:tcPr>
            <w:tcW w:type="dxa" w:w="7488"/>
            <w:vAlign w:val="center"/>
          </w:tcPr>
          <w:p>
            <w:r/>
            <w:r>
              <w:rPr>
                <w:rFonts w:ascii="Aptos" w:hAnsi="Aptos"/>
                <w:b w:val="0"/>
                <w:sz w:val="17"/>
              </w:rPr>
              <w:t>Las operaciones podrán usar IDs legibles (ej. LEAD-, ORD-, APT-), pero éstos no funcionarán como credenciales ni secretos.</w:t>
            </w:r>
          </w:p>
        </w:tc>
      </w:tr>
      <w:tr>
        <w:trPr>
          <w:cantSplit/>
        </w:trPr>
        <w:tc>
          <w:tcPr>
            <w:tcW w:type="dxa" w:w="1152"/>
            <w:vAlign w:val="center"/>
          </w:tcPr>
          <w:p>
            <w:r/>
            <w:r>
              <w:rPr>
                <w:rFonts w:ascii="Aptos" w:hAnsi="Aptos"/>
                <w:b w:val="0"/>
                <w:sz w:val="17"/>
              </w:rPr>
              <w:t xml:space="preserve">RN-015</w:t>
            </w:r>
          </w:p>
        </w:tc>
        <w:tc>
          <w:tcPr>
            <w:tcW w:type="dxa" w:w="2448"/>
            <w:vAlign w:val="center"/>
          </w:tcPr>
          <w:p>
            <w:r/>
            <w:r>
              <w:rPr>
                <w:rFonts w:ascii="Aptos" w:hAnsi="Aptos"/>
                <w:b w:val="0"/>
                <w:sz w:val="17"/>
              </w:rPr>
              <w:t xml:space="preserve">Identidad del lead</w:t>
            </w:r>
          </w:p>
        </w:tc>
        <w:tc>
          <w:tcPr>
            <w:tcW w:type="dxa" w:w="7488"/>
            <w:vAlign w:val="center"/>
          </w:tcPr>
          <w:p>
            <w:r/>
            <w:r>
              <w:rPr>
                <w:rFonts w:ascii="Aptos" w:hAnsi="Aptos"/>
                <w:b w:val="0"/>
                <w:sz w:val="17"/>
              </w:rPr>
              <w:t xml:space="preserve">Un correo electrónico normalizado (minúsculas, sin espacios) corresponde a un único lead. Interacciones, consentimientos y diagnósticos posteriores se asocian al mismo lead; la métrica visitante→lead cuenta leads únicos.</w:t>
            </w:r>
          </w:p>
        </w:tc>
      </w:tr>
      <w:tr>
        <w:trPr>
          <w:cantSplit/>
        </w:trPr>
        <w:tc>
          <w:tcPr>
            <w:tcW w:type="dxa" w:w="3408"/>
          </w:tcPr>
          <w:p>
            <w:r>
              <w:t>RN-016</w:t>
            </w:r>
          </w:p>
        </w:tc>
        <w:tc>
          <w:tcPr>
            <w:tcW w:type="dxa" w:w="3408"/>
          </w:tcPr>
          <w:p>
            <w:r>
              <w:t>Interpretación reproducible</w:t>
            </w:r>
          </w:p>
        </w:tc>
        <w:tc>
          <w:tcPr>
            <w:tcW w:type="dxa" w:w="3408"/>
          </w:tcPr>
          <w:p>
            <w:r>
              <w:t>Hasta dos fortalezas y hasta dos brechas conforme a sección 7.1. Tres acciones distintas del Catálogo de acciones v0.1 aprobado, conforme a sección 7.2. Conservar versión del Check, catálogo, selección e IDs elegidos; no inventar hallazgos ni modificar informes emitidos por cambios posteriores.</w:t>
            </w:r>
          </w:p>
        </w:tc>
      </w:tr>
    </w:tbl>
    <w:p>
      <w:pPr>
        <w:pStyle w:val="Heading1"/>
        <w:keepNext/>
      </w:pPr>
      <w:r>
        <w:t>7 Check PyME v1.3 requerimiento funcional</w:t>
      </w:r>
    </w:p>
    <w:p>
      <w:r>
        <w:t>El Check PyME v1.3 conserva las ocho preguntas y opciones, dimensiones, escala, fórmula, niveles y catálogo v0.1 aprobados. Es un diagnóstico básico de prácticas declaradas. La versión cambia la captura y entrega: informe listo, datos, persistencia y descarga inmediata, sin recuperación del visitante.</w:t>
      </w:r>
    </w:p>
    <w:tbl>
      <w:tblPr>
        <w:tblStyle w:val="TableGrid"/>
        <w:tblW w:type="auto" w:w="0"/>
        <w:jc w:val="center"/>
        <w:tblLook w:firstColumn="1" w:firstRow="1" w:lastColumn="0" w:lastRow="0" w:noHBand="0" w:noVBand="1" w:val="04A0"/>
      </w:tblPr>
      <w:tblGrid>
        <w:gridCol w:w="5112"/>
        <w:gridCol w:w="5112"/>
      </w:tblGrid>
      <w:tr>
        <w:trPr>
          <w:tblHeader/>
          <w:cantSplit/>
        </w:trPr>
        <w:tc>
          <w:tcPr>
            <w:tcW w:type="dxa" w:w="3024"/>
            <w:vAlign w:val="center"/>
            <w:shd w:fill="21394F"/>
          </w:tcPr>
          <w:p>
            <w:r/>
            <w:r>
              <w:rPr>
                <w:rFonts w:ascii="Aptos" w:hAnsi="Aptos"/>
                <w:b/>
                <w:color w:val="FFFFFF"/>
                <w:sz w:val="17"/>
              </w:rPr>
              <w:t>Dimensión</w:t>
            </w:r>
          </w:p>
        </w:tc>
        <w:tc>
          <w:tcPr>
            <w:tcW w:type="dxa" w:w="8064"/>
            <w:vAlign w:val="center"/>
            <w:shd w:fill="21394F"/>
          </w:tcPr>
          <w:p>
            <w:r/>
            <w:r>
              <w:rPr>
                <w:rFonts w:ascii="Aptos" w:hAnsi="Aptos"/>
                <w:b/>
                <w:color w:val="FFFFFF"/>
                <w:sz w:val="17"/>
              </w:rPr>
              <w:t>Pregunta base</w:t>
            </w:r>
          </w:p>
        </w:tc>
      </w:tr>
      <w:tr>
        <w:trPr>
          <w:cantSplit/>
        </w:trPr>
        <w:tc>
          <w:tcPr>
            <w:tcW w:type="dxa" w:w="3024"/>
            <w:vAlign w:val="center"/>
          </w:tcPr>
          <w:p>
            <w:r/>
            <w:r>
              <w:rPr>
                <w:rFonts w:ascii="Aptos" w:hAnsi="Aptos"/>
                <w:b w:val="0"/>
                <w:sz w:val="17"/>
              </w:rPr>
              <w:t>Históricos de ventas</w:t>
            </w:r>
          </w:p>
        </w:tc>
        <w:tc>
          <w:tcPr>
            <w:tcW w:type="dxa" w:w="8064"/>
            <w:vAlign w:val="center"/>
          </w:tcPr>
          <w:p>
            <w:r/>
            <w:r>
              <w:rPr>
                <w:rFonts w:ascii="Aptos" w:hAnsi="Aptos"/>
                <w:b w:val="0"/>
                <w:sz w:val="17"/>
              </w:rPr>
              <w:t>¿Cuenta con información histórica de ventas de al menos los últimos 12 meses?</w:t>
            </w:r>
          </w:p>
        </w:tc>
      </w:tr>
      <w:tr>
        <w:trPr>
          <w:cantSplit/>
        </w:trPr>
        <w:tc>
          <w:tcPr>
            <w:tcW w:type="dxa" w:w="3024"/>
            <w:vAlign w:val="center"/>
          </w:tcPr>
          <w:p>
            <w:r/>
            <w:r>
              <w:rPr>
                <w:rFonts w:ascii="Aptos" w:hAnsi="Aptos"/>
                <w:b w:val="0"/>
                <w:sz w:val="17"/>
              </w:rPr>
              <w:t>Evolución de costos</w:t>
            </w:r>
          </w:p>
        </w:tc>
        <w:tc>
          <w:tcPr>
            <w:tcW w:type="dxa" w:w="8064"/>
            <w:vAlign w:val="center"/>
          </w:tcPr>
          <w:p>
            <w:r/>
            <w:r>
              <w:rPr>
                <w:rFonts w:ascii="Aptos" w:hAnsi="Aptos"/>
                <w:b w:val="0"/>
                <w:sz w:val="17"/>
              </w:rPr>
              <w:t>¿Puede identificar cómo han cambiado sus principales costos durante los últimos meses?</w:t>
            </w:r>
          </w:p>
        </w:tc>
      </w:tr>
      <w:tr>
        <w:trPr>
          <w:cantSplit/>
        </w:trPr>
        <w:tc>
          <w:tcPr>
            <w:tcW w:type="dxa" w:w="3024"/>
            <w:vAlign w:val="center"/>
          </w:tcPr>
          <w:p>
            <w:r/>
            <w:r>
              <w:rPr>
                <w:rFonts w:ascii="Aptos" w:hAnsi="Aptos"/>
                <w:b w:val="0"/>
                <w:sz w:val="17"/>
              </w:rPr>
              <w:t>Concentración de clientes</w:t>
            </w:r>
          </w:p>
        </w:tc>
        <w:tc>
          <w:tcPr>
            <w:tcW w:type="dxa" w:w="8064"/>
            <w:vAlign w:val="center"/>
          </w:tcPr>
          <w:p>
            <w:r/>
            <w:r>
              <w:rPr>
                <w:rFonts w:ascii="Aptos" w:hAnsi="Aptos"/>
                <w:b w:val="0"/>
                <w:sz w:val="17"/>
              </w:rPr>
              <w:t>¿Conoce qué proporción de sus ventas depende de sus principales clientes?</w:t>
            </w:r>
          </w:p>
        </w:tc>
      </w:tr>
      <w:tr>
        <w:trPr>
          <w:cantSplit/>
        </w:trPr>
        <w:tc>
          <w:tcPr>
            <w:tcW w:type="dxa" w:w="3024"/>
            <w:vAlign w:val="center"/>
          </w:tcPr>
          <w:p>
            <w:r/>
            <w:r>
              <w:rPr>
                <w:rFonts w:ascii="Aptos" w:hAnsi="Aptos"/>
                <w:b w:val="0"/>
                <w:sz w:val="17"/>
              </w:rPr>
              <w:t>Concentración de proveedores</w:t>
            </w:r>
          </w:p>
        </w:tc>
        <w:tc>
          <w:tcPr>
            <w:tcW w:type="dxa" w:w="8064"/>
            <w:vAlign w:val="center"/>
          </w:tcPr>
          <w:p>
            <w:r/>
            <w:r>
              <w:rPr>
                <w:rFonts w:ascii="Aptos" w:hAnsi="Aptos"/>
                <w:b w:val="0"/>
                <w:sz w:val="17"/>
              </w:rPr>
              <w:t>¿Conoce qué proporción de sus compras o insumos depende de sus principales proveedores?</w:t>
            </w:r>
          </w:p>
        </w:tc>
      </w:tr>
      <w:tr>
        <w:trPr>
          <w:cantSplit/>
        </w:trPr>
        <w:tc>
          <w:tcPr>
            <w:tcW w:type="dxa" w:w="3024"/>
            <w:vAlign w:val="center"/>
          </w:tcPr>
          <w:p>
            <w:r/>
            <w:r>
              <w:rPr>
                <w:rFonts w:ascii="Aptos" w:hAnsi="Aptos"/>
                <w:b w:val="0"/>
                <w:sz w:val="17"/>
              </w:rPr>
              <w:t>Concentración de productos/servicios</w:t>
            </w:r>
          </w:p>
        </w:tc>
        <w:tc>
          <w:tcPr>
            <w:tcW w:type="dxa" w:w="8064"/>
            <w:vAlign w:val="center"/>
          </w:tcPr>
          <w:p>
            <w:r/>
            <w:r>
              <w:rPr>
                <w:rFonts w:ascii="Aptos" w:hAnsi="Aptos"/>
                <w:b w:val="0"/>
                <w:sz w:val="17"/>
              </w:rPr>
              <w:t>¿Conoce qué productos o servicios generan la mayor parte de sus ingresos?</w:t>
            </w:r>
          </w:p>
        </w:tc>
      </w:tr>
      <w:tr>
        <w:trPr>
          <w:cantSplit/>
        </w:trPr>
        <w:tc>
          <w:tcPr>
            <w:tcW w:type="dxa" w:w="3024"/>
            <w:vAlign w:val="center"/>
          </w:tcPr>
          <w:p>
            <w:r/>
            <w:r>
              <w:rPr>
                <w:rFonts w:ascii="Aptos" w:hAnsi="Aptos"/>
                <w:b w:val="0"/>
                <w:sz w:val="17"/>
              </w:rPr>
              <w:t>Procesos documentados</w:t>
            </w:r>
          </w:p>
        </w:tc>
        <w:tc>
          <w:tcPr>
            <w:tcW w:type="dxa" w:w="8064"/>
            <w:vAlign w:val="center"/>
          </w:tcPr>
          <w:p>
            <w:r/>
            <w:r>
              <w:rPr>
                <w:rFonts w:ascii="Aptos" w:hAnsi="Aptos"/>
                <w:b w:val="0"/>
                <w:sz w:val="17"/>
              </w:rPr>
              <w:t>¿Sus procesos principales están documentados, aunque sea mediante procedimientos sencillos?</w:t>
            </w:r>
          </w:p>
        </w:tc>
      </w:tr>
      <w:tr>
        <w:trPr>
          <w:cantSplit/>
        </w:trPr>
        <w:tc>
          <w:tcPr>
            <w:tcW w:type="dxa" w:w="3024"/>
            <w:vAlign w:val="center"/>
          </w:tcPr>
          <w:p>
            <w:r/>
            <w:r>
              <w:rPr>
                <w:rFonts w:ascii="Aptos" w:hAnsi="Aptos"/>
                <w:b w:val="0"/>
                <w:sz w:val="17"/>
              </w:rPr>
              <w:t>Información para decidir</w:t>
            </w:r>
          </w:p>
        </w:tc>
        <w:tc>
          <w:tcPr>
            <w:tcW w:type="dxa" w:w="8064"/>
            <w:vAlign w:val="center"/>
          </w:tcPr>
          <w:p>
            <w:r/>
            <w:r>
              <w:rPr>
                <w:rFonts w:ascii="Aptos" w:hAnsi="Aptos"/>
                <w:b w:val="0"/>
                <w:sz w:val="17"/>
              </w:rPr>
              <w:t>¿Cuenta con información confiable y actualizada para tomar decisiones, aunque se gestione en Excel?</w:t>
            </w:r>
          </w:p>
        </w:tc>
      </w:tr>
      <w:tr>
        <w:trPr>
          <w:cantSplit/>
        </w:trPr>
        <w:tc>
          <w:tcPr>
            <w:tcW w:type="dxa" w:w="3024"/>
            <w:vAlign w:val="center"/>
          </w:tcPr>
          <w:p>
            <w:r/>
            <w:r>
              <w:rPr>
                <w:rFonts w:ascii="Aptos" w:hAnsi="Aptos"/>
                <w:b w:val="0"/>
                <w:sz w:val="17"/>
              </w:rPr>
              <w:t>Financiamiento</w:t>
            </w:r>
          </w:p>
        </w:tc>
        <w:tc>
          <w:tcPr>
            <w:tcW w:type="dxa" w:w="8064"/>
            <w:vAlign w:val="center"/>
          </w:tcPr>
          <w:p>
            <w:r/>
            <w:r>
              <w:rPr>
                <w:rFonts w:ascii="Aptos" w:hAnsi="Aptos"/>
                <w:b w:val="0"/>
                <w:sz w:val="17"/>
              </w:rPr>
              <w:t xml:space="preserve">¿Cuál de estas opciones describe mejor la situación de financiamiento de su negocio? (opción única)</w:t>
            </w:r>
          </w:p>
        </w:tc>
      </w:tr>
    </w:tbl>
    <w:p>
      <w:pPr>
        <w:pStyle w:val="ListBullet"/>
        <w:spacing w:after="20"/>
      </w:pPr>
      <w:r>
        <w:t>0-6 puntos: Baja visibilidad</w:t>
      </w:r>
    </w:p>
    <w:p>
      <w:pPr>
        <w:pStyle w:val="ListBullet"/>
        <w:spacing w:after="20"/>
      </w:pPr>
      <w:r>
        <w:t>7-11 puntos: Gestión en desarrollo</w:t>
      </w:r>
    </w:p>
    <w:p>
      <w:pPr>
        <w:pStyle w:val="ListBullet"/>
        <w:spacing w:after="20"/>
      </w:pPr>
      <w:r>
        <w:t>12-16 puntos: Gestión controlada</w:t>
      </w:r>
    </w:p>
    <w:p>
      <w:r>
        <w:t>Fórmula y redondeo: Score = (puntos brutos / 16) × 100, redondeado al entero más cercano (.5 hacia arriba). Los niveles se determinan con el puntaje bruto, equivalente a los rangos 0-39, 40-69 y 70-100.</w:t>
      </w:r>
    </w:p>
    <w:p>
      <w:r>
        <w:t>Antes del formulario: solo “Tu informe está listo”. No mostrar score, nivel ni hallazgos. Tras envío válido: resultado completo con score, nivel, desglose, hasta dos fortalezas, hasta dos brechas, tres acciones y botón PDF. No requiere correo de acceso. El disclaimer indica respuestas declaradas y que no constituye calificación crediticia ni diagnóstico integral; el PDF no tiene número fijo de páginas.</w:t>
      </w:r>
    </w:p>
    <w:p>
      <w:r>
        <w:t>Opciones de respuesta (propuesta de redacción, a validar en la prueba de comprensión con PyMEs). Cada columna equivale a los puntos indicados:</w:t>
      </w:r>
    </w:p>
    <w:tbl>
      <w:tblPr>
        <w:tblStyle w:val="TableGrid"/>
        <w:tblW w:type="auto" w:w="0"/>
        <w:jc w:val="center"/>
        <w:tblLook w:firstColumn="1" w:firstRow="1" w:lastColumn="0" w:lastRow="0" w:noHBand="0" w:noVBand="1" w:val="04A0"/>
      </w:tblPr>
      <w:tblGrid>
        <w:gridCol w:w="1728"/>
        <w:gridCol w:w="2700"/>
        <w:gridCol w:w="3000"/>
        <w:gridCol w:w="3660"/>
      </w:tblGrid>
      <w:tr>
        <w:trPr>
          <w:tblHeader/>
          <w:cantSplit/>
        </w:trPr>
        <w:tc>
          <w:tcPr>
            <w:tcW w:type="dxa" w:w="1728"/>
            <w:vAlign w:val="center"/>
            <w:shd w:fill="21394F"/>
          </w:tcPr>
          <w:p>
            <w:r/>
            <w:r>
              <w:rPr>
                <w:rFonts w:ascii="Aptos" w:hAnsi="Aptos"/>
                <w:b/>
                <w:color w:val="FFFFFF"/>
                <w:sz w:val="17"/>
              </w:rPr>
              <w:t xml:space="preserve">Dimensión</w:t>
            </w:r>
          </w:p>
        </w:tc>
        <w:tc>
          <w:tcPr>
            <w:tcW w:type="dxa" w:w="2700"/>
            <w:vAlign w:val="center"/>
            <w:shd w:fill="21394F"/>
          </w:tcPr>
          <w:p>
            <w:r/>
            <w:r>
              <w:rPr>
                <w:rFonts w:ascii="Aptos" w:hAnsi="Aptos"/>
                <w:b/>
                <w:color w:val="FFFFFF"/>
                <w:sz w:val="17"/>
              </w:rPr>
              <w:t xml:space="preserve">0 puntos</w:t>
            </w:r>
          </w:p>
        </w:tc>
        <w:tc>
          <w:tcPr>
            <w:tcW w:type="dxa" w:w="3000"/>
            <w:vAlign w:val="center"/>
            <w:shd w:fill="21394F"/>
          </w:tcPr>
          <w:p>
            <w:r/>
            <w:r>
              <w:rPr>
                <w:rFonts w:ascii="Aptos" w:hAnsi="Aptos"/>
                <w:b/>
                <w:color w:val="FFFFFF"/>
                <w:sz w:val="17"/>
              </w:rPr>
              <w:t xml:space="preserve">1 punto</w:t>
            </w:r>
          </w:p>
        </w:tc>
        <w:tc>
          <w:tcPr>
            <w:tcW w:type="dxa" w:w="3660"/>
            <w:vAlign w:val="center"/>
            <w:shd w:fill="21394F"/>
          </w:tcPr>
          <w:p>
            <w:r/>
            <w:r>
              <w:rPr>
                <w:rFonts w:ascii="Aptos" w:hAnsi="Aptos"/>
                <w:b/>
                <w:color w:val="FFFFFF"/>
                <w:sz w:val="17"/>
              </w:rPr>
              <w:t xml:space="preserve">2 puntos</w:t>
            </w:r>
          </w:p>
        </w:tc>
      </w:tr>
      <w:tr>
        <w:trPr>
          <w:cantSplit/>
        </w:trPr>
        <w:tc>
          <w:tcPr>
            <w:tcW w:type="dxa" w:w="1728"/>
            <w:vAlign w:val="center"/>
          </w:tcPr>
          <w:p>
            <w:r/>
            <w:r>
              <w:rPr>
                <w:rFonts w:ascii="Aptos" w:hAnsi="Aptos"/>
                <w:b w:val="0"/>
                <w:sz w:val="17"/>
              </w:rPr>
              <w:t xml:space="preserve">Históricos de ventas</w:t>
            </w:r>
          </w:p>
        </w:tc>
        <w:tc>
          <w:tcPr>
            <w:tcW w:type="dxa" w:w="2700"/>
            <w:vAlign w:val="center"/>
          </w:tcPr>
          <w:p>
            <w:r/>
            <w:r>
              <w:rPr>
                <w:rFonts w:ascii="Aptos" w:hAnsi="Aptos"/>
                <w:b w:val="0"/>
                <w:sz w:val="17"/>
              </w:rPr>
              <w:t xml:space="preserve">No tengo información histórica de ventas</w:t>
            </w:r>
          </w:p>
        </w:tc>
        <w:tc>
          <w:tcPr>
            <w:tcW w:type="dxa" w:w="3000"/>
            <w:vAlign w:val="center"/>
          </w:tcPr>
          <w:p>
            <w:r/>
            <w:r>
              <w:rPr>
                <w:rFonts w:ascii="Aptos" w:hAnsi="Aptos"/>
                <w:b w:val="0"/>
                <w:sz w:val="17"/>
              </w:rPr>
              <w:t xml:space="preserve">La tengo, pero incompleta o de menos de 12 meses</w:t>
            </w:r>
          </w:p>
        </w:tc>
        <w:tc>
          <w:tcPr>
            <w:tcW w:type="dxa" w:w="3660"/>
            <w:vAlign w:val="center"/>
          </w:tcPr>
          <w:p>
            <w:r/>
            <w:r>
              <w:rPr>
                <w:rFonts w:ascii="Aptos" w:hAnsi="Aptos"/>
                <w:b w:val="0"/>
                <w:sz w:val="17"/>
              </w:rPr>
              <w:t xml:space="preserve">Tengo al menos 12 meses y la reviso con regularidad</w:t>
            </w:r>
          </w:p>
        </w:tc>
      </w:tr>
      <w:tr>
        <w:trPr>
          <w:cantSplit/>
        </w:trPr>
        <w:tc>
          <w:tcPr>
            <w:tcW w:type="dxa" w:w="1728"/>
            <w:vAlign w:val="center"/>
          </w:tcPr>
          <w:p>
            <w:r/>
            <w:r>
              <w:rPr>
                <w:rFonts w:ascii="Aptos" w:hAnsi="Aptos"/>
                <w:b w:val="0"/>
                <w:sz w:val="17"/>
              </w:rPr>
              <w:t xml:space="preserve">Evolución de costos</w:t>
            </w:r>
          </w:p>
        </w:tc>
        <w:tc>
          <w:tcPr>
            <w:tcW w:type="dxa" w:w="2700"/>
            <w:vAlign w:val="center"/>
          </w:tcPr>
          <w:p>
            <w:r/>
            <w:r>
              <w:rPr>
                <w:rFonts w:ascii="Aptos" w:hAnsi="Aptos"/>
                <w:b w:val="0"/>
                <w:sz w:val="17"/>
              </w:rPr>
              <w:t xml:space="preserve">No sé cómo han cambiado mis principales costos</w:t>
            </w:r>
          </w:p>
        </w:tc>
        <w:tc>
          <w:tcPr>
            <w:tcW w:type="dxa" w:w="3000"/>
            <w:vAlign w:val="center"/>
          </w:tcPr>
          <w:p>
            <w:r/>
            <w:r>
              <w:rPr>
                <w:rFonts w:ascii="Aptos" w:hAnsi="Aptos"/>
                <w:b w:val="0"/>
                <w:sz w:val="17"/>
              </w:rPr>
              <w:t xml:space="preserve">Lo sé de forma general o solo de algunos costos</w:t>
            </w:r>
          </w:p>
        </w:tc>
        <w:tc>
          <w:tcPr>
            <w:tcW w:type="dxa" w:w="3660"/>
            <w:vAlign w:val="center"/>
          </w:tcPr>
          <w:p>
            <w:r/>
            <w:r>
              <w:rPr>
                <w:rFonts w:ascii="Aptos" w:hAnsi="Aptos"/>
                <w:b w:val="0"/>
                <w:sz w:val="17"/>
              </w:rPr>
              <w:t xml:space="preserve">Lo identifico y le doy seguimiento periódico</w:t>
            </w:r>
          </w:p>
        </w:tc>
      </w:tr>
      <w:tr>
        <w:trPr>
          <w:cantSplit/>
        </w:trPr>
        <w:tc>
          <w:tcPr>
            <w:tcW w:type="dxa" w:w="1728"/>
            <w:vAlign w:val="center"/>
          </w:tcPr>
          <w:p>
            <w:r/>
            <w:r>
              <w:rPr>
                <w:rFonts w:ascii="Aptos" w:hAnsi="Aptos"/>
                <w:b w:val="0"/>
                <w:sz w:val="17"/>
              </w:rPr>
              <w:t xml:space="preserve">Concentración de clientes</w:t>
            </w:r>
          </w:p>
        </w:tc>
        <w:tc>
          <w:tcPr>
            <w:tcW w:type="dxa" w:w="2700"/>
            <w:vAlign w:val="center"/>
          </w:tcPr>
          <w:p>
            <w:r/>
            <w:r>
              <w:rPr>
                <w:rFonts w:ascii="Aptos" w:hAnsi="Aptos"/>
                <w:b w:val="0"/>
                <w:sz w:val="17"/>
              </w:rPr>
              <w:t xml:space="preserve">No sé qué proporción de mis ventas depende de mis principales clientes</w:t>
            </w:r>
          </w:p>
        </w:tc>
        <w:tc>
          <w:tcPr>
            <w:tcW w:type="dxa" w:w="3000"/>
            <w:vAlign w:val="center"/>
          </w:tcPr>
          <w:p>
            <w:r/>
            <w:r>
              <w:rPr>
                <w:rFonts w:ascii="Aptos" w:hAnsi="Aptos"/>
                <w:b w:val="0"/>
                <w:sz w:val="17"/>
              </w:rPr>
              <w:t xml:space="preserve">Tengo una idea aproximada</w:t>
            </w:r>
          </w:p>
        </w:tc>
        <w:tc>
          <w:tcPr>
            <w:tcW w:type="dxa" w:w="3660"/>
            <w:vAlign w:val="center"/>
          </w:tcPr>
          <w:p>
            <w:r/>
            <w:r>
              <w:rPr>
                <w:rFonts w:ascii="Aptos" w:hAnsi="Aptos"/>
                <w:b w:val="0"/>
                <w:sz w:val="17"/>
              </w:rPr>
              <w:t xml:space="preserve">Lo conozco con datos y lo reviso periódicamente</w:t>
            </w:r>
          </w:p>
        </w:tc>
      </w:tr>
      <w:tr>
        <w:trPr>
          <w:cantSplit/>
        </w:trPr>
        <w:tc>
          <w:tcPr>
            <w:tcW w:type="dxa" w:w="1728"/>
            <w:vAlign w:val="center"/>
          </w:tcPr>
          <w:p>
            <w:r/>
            <w:r>
              <w:rPr>
                <w:rFonts w:ascii="Aptos" w:hAnsi="Aptos"/>
                <w:b w:val="0"/>
                <w:sz w:val="17"/>
              </w:rPr>
              <w:t xml:space="preserve">Concentración de proveedores</w:t>
            </w:r>
          </w:p>
        </w:tc>
        <w:tc>
          <w:tcPr>
            <w:tcW w:type="dxa" w:w="2700"/>
            <w:vAlign w:val="center"/>
          </w:tcPr>
          <w:p>
            <w:r/>
            <w:r>
              <w:rPr>
                <w:rFonts w:ascii="Aptos" w:hAnsi="Aptos"/>
                <w:b w:val="0"/>
                <w:sz w:val="17"/>
              </w:rPr>
              <w:t xml:space="preserve">No sé qué proporción de mis compras depende de mis principales proveedores</w:t>
            </w:r>
          </w:p>
        </w:tc>
        <w:tc>
          <w:tcPr>
            <w:tcW w:type="dxa" w:w="3000"/>
            <w:vAlign w:val="center"/>
          </w:tcPr>
          <w:p>
            <w:r/>
            <w:r>
              <w:rPr>
                <w:rFonts w:ascii="Aptos" w:hAnsi="Aptos"/>
                <w:b w:val="0"/>
                <w:sz w:val="17"/>
              </w:rPr>
              <w:t xml:space="preserve">Tengo una idea aproximada</w:t>
            </w:r>
          </w:p>
        </w:tc>
        <w:tc>
          <w:tcPr>
            <w:tcW w:type="dxa" w:w="3660"/>
            <w:vAlign w:val="center"/>
          </w:tcPr>
          <w:p>
            <w:r/>
            <w:r>
              <w:rPr>
                <w:rFonts w:ascii="Aptos" w:hAnsi="Aptos"/>
                <w:b w:val="0"/>
                <w:sz w:val="17"/>
              </w:rPr>
              <w:t xml:space="preserve">Lo conozco con datos y lo reviso periódicamente</w:t>
            </w:r>
          </w:p>
        </w:tc>
      </w:tr>
      <w:tr>
        <w:trPr>
          <w:cantSplit/>
        </w:trPr>
        <w:tc>
          <w:tcPr>
            <w:tcW w:type="dxa" w:w="1728"/>
            <w:vAlign w:val="center"/>
          </w:tcPr>
          <w:p>
            <w:r/>
            <w:r>
              <w:rPr>
                <w:rFonts w:ascii="Aptos" w:hAnsi="Aptos"/>
                <w:b w:val="0"/>
                <w:sz w:val="17"/>
              </w:rPr>
              <w:t xml:space="preserve">Concentración de productos/servicios</w:t>
            </w:r>
          </w:p>
        </w:tc>
        <w:tc>
          <w:tcPr>
            <w:tcW w:type="dxa" w:w="2700"/>
            <w:vAlign w:val="center"/>
          </w:tcPr>
          <w:p>
            <w:r/>
            <w:r>
              <w:rPr>
                <w:rFonts w:ascii="Aptos" w:hAnsi="Aptos"/>
                <w:b w:val="0"/>
                <w:sz w:val="17"/>
              </w:rPr>
              <w:t xml:space="preserve">No sé cuáles generan la mayor parte de mis ingresos</w:t>
            </w:r>
          </w:p>
        </w:tc>
        <w:tc>
          <w:tcPr>
            <w:tcW w:type="dxa" w:w="3000"/>
            <w:vAlign w:val="center"/>
          </w:tcPr>
          <w:p>
            <w:r/>
            <w:r>
              <w:rPr>
                <w:rFonts w:ascii="Aptos" w:hAnsi="Aptos"/>
                <w:b w:val="0"/>
                <w:sz w:val="17"/>
              </w:rPr>
              <w:t xml:space="preserve">Tengo una idea aproximada</w:t>
            </w:r>
          </w:p>
        </w:tc>
        <w:tc>
          <w:tcPr>
            <w:tcW w:type="dxa" w:w="3660"/>
            <w:vAlign w:val="center"/>
          </w:tcPr>
          <w:p>
            <w:r/>
            <w:r>
              <w:rPr>
                <w:rFonts w:ascii="Aptos" w:hAnsi="Aptos"/>
                <w:b w:val="0"/>
                <w:sz w:val="17"/>
              </w:rPr>
              <w:t xml:space="preserve">Lo conozco con datos y lo reviso periódicamente</w:t>
            </w:r>
          </w:p>
        </w:tc>
      </w:tr>
      <w:tr>
        <w:trPr>
          <w:cantSplit/>
        </w:trPr>
        <w:tc>
          <w:tcPr>
            <w:tcW w:type="dxa" w:w="1728"/>
            <w:vAlign w:val="center"/>
          </w:tcPr>
          <w:p>
            <w:r/>
            <w:r>
              <w:rPr>
                <w:rFonts w:ascii="Aptos" w:hAnsi="Aptos"/>
                <w:b w:val="0"/>
                <w:sz w:val="17"/>
              </w:rPr>
              <w:t xml:space="preserve">Procesos documentados</w:t>
            </w:r>
          </w:p>
        </w:tc>
        <w:tc>
          <w:tcPr>
            <w:tcW w:type="dxa" w:w="2700"/>
            <w:vAlign w:val="center"/>
          </w:tcPr>
          <w:p>
            <w:r/>
            <w:r>
              <w:rPr>
                <w:rFonts w:ascii="Aptos" w:hAnsi="Aptos"/>
                <w:b w:val="0"/>
                <w:sz w:val="17"/>
              </w:rPr>
              <w:t xml:space="preserve">No están documentados</w:t>
            </w:r>
          </w:p>
        </w:tc>
        <w:tc>
          <w:tcPr>
            <w:tcW w:type="dxa" w:w="3000"/>
            <w:vAlign w:val="center"/>
          </w:tcPr>
          <w:p>
            <w:r/>
            <w:r>
              <w:rPr>
                <w:rFonts w:ascii="Aptos" w:hAnsi="Aptos"/>
                <w:b w:val="0"/>
                <w:sz w:val="17"/>
              </w:rPr>
              <w:t xml:space="preserve">Algunos lo están, o de manera informal</w:t>
            </w:r>
          </w:p>
        </w:tc>
        <w:tc>
          <w:tcPr>
            <w:tcW w:type="dxa" w:w="3660"/>
            <w:vAlign w:val="center"/>
          </w:tcPr>
          <w:p>
            <w:r/>
            <w:r>
              <w:rPr>
                <w:rFonts w:ascii="Aptos" w:hAnsi="Aptos"/>
                <w:b w:val="0"/>
                <w:sz w:val="17"/>
              </w:rPr>
              <w:t xml:space="preserve">Los principales están documentados y se usan</w:t>
            </w:r>
          </w:p>
        </w:tc>
      </w:tr>
      <w:tr>
        <w:trPr>
          <w:cantSplit/>
        </w:trPr>
        <w:tc>
          <w:tcPr>
            <w:tcW w:type="dxa" w:w="1728"/>
            <w:vAlign w:val="center"/>
          </w:tcPr>
          <w:p>
            <w:r/>
            <w:r>
              <w:rPr>
                <w:rFonts w:ascii="Aptos" w:hAnsi="Aptos"/>
                <w:b w:val="0"/>
                <w:sz w:val="17"/>
              </w:rPr>
              <w:t xml:space="preserve">Información para decidir</w:t>
            </w:r>
          </w:p>
        </w:tc>
        <w:tc>
          <w:tcPr>
            <w:tcW w:type="dxa" w:w="2700"/>
            <w:vAlign w:val="center"/>
          </w:tcPr>
          <w:p>
            <w:r/>
            <w:r>
              <w:rPr>
                <w:rFonts w:ascii="Aptos" w:hAnsi="Aptos"/>
                <w:b w:val="0"/>
                <w:sz w:val="17"/>
              </w:rPr>
              <w:t xml:space="preserve">No cuento con información confiable</w:t>
            </w:r>
          </w:p>
        </w:tc>
        <w:tc>
          <w:tcPr>
            <w:tcW w:type="dxa" w:w="3000"/>
            <w:vAlign w:val="center"/>
          </w:tcPr>
          <w:p>
            <w:r/>
            <w:r>
              <w:rPr>
                <w:rFonts w:ascii="Aptos" w:hAnsi="Aptos"/>
                <w:b w:val="0"/>
                <w:sz w:val="17"/>
              </w:rPr>
              <w:t xml:space="preserve">La tengo, pero es incompleta o está desactualizada</w:t>
            </w:r>
          </w:p>
        </w:tc>
        <w:tc>
          <w:tcPr>
            <w:tcW w:type="dxa" w:w="3660"/>
            <w:vAlign w:val="center"/>
          </w:tcPr>
          <w:p>
            <w:r/>
            <w:r>
              <w:rPr>
                <w:rFonts w:ascii="Aptos" w:hAnsi="Aptos"/>
                <w:b w:val="0"/>
                <w:sz w:val="17"/>
              </w:rPr>
              <w:t xml:space="preserve">Es confiable, está actualizada y la uso para decidir</w:t>
            </w:r>
          </w:p>
        </w:tc>
      </w:tr>
      <w:tr>
        <w:trPr>
          <w:cantSplit/>
        </w:trPr>
        <w:tc>
          <w:tcPr>
            <w:tcW w:type="dxa" w:w="1728"/>
            <w:vAlign w:val="center"/>
          </w:tcPr>
          <w:p>
            <w:r/>
            <w:r>
              <w:rPr>
                <w:rFonts w:ascii="Aptos" w:hAnsi="Aptos"/>
                <w:b w:val="0"/>
                <w:sz w:val="17"/>
              </w:rPr>
              <w:t xml:space="preserve">Financiamiento</w:t>
            </w:r>
          </w:p>
        </w:tc>
        <w:tc>
          <w:tcPr>
            <w:tcW w:type="dxa" w:w="2700"/>
            <w:vAlign w:val="center"/>
          </w:tcPr>
          <w:p>
            <w:r/>
            <w:r>
              <w:rPr>
                <w:rFonts w:ascii="Aptos" w:hAnsi="Aptos"/>
                <w:b w:val="0"/>
                <w:sz w:val="17"/>
              </w:rPr>
              <w:t xml:space="preserve">(d) No tengo financiamiento y no he evaluado si lo necesito</w:t>
            </w:r>
          </w:p>
        </w:tc>
        <w:tc>
          <w:tcPr>
            <w:tcW w:type="dxa" w:w="3000"/>
            <w:vAlign w:val="center"/>
          </w:tcPr>
          <w:p>
            <w:r/>
            <w:r>
              <w:rPr>
                <w:rFonts w:ascii="Aptos" w:hAnsi="Aptos"/>
                <w:b w:val="0"/>
                <w:sz w:val="17"/>
              </w:rPr>
              <w:t xml:space="preserve">(c) Tengo financiamiento, pero no tengo claridad sobre si es el adecuado</w:t>
            </w:r>
          </w:p>
        </w:tc>
        <w:tc>
          <w:tcPr>
            <w:tcW w:type="dxa" w:w="3660"/>
            <w:vAlign w:val="center"/>
          </w:tcPr>
          <w:p>
            <w:r/>
            <w:r>
              <w:rPr>
                <w:rFonts w:ascii="Aptos" w:hAnsi="Aptos"/>
                <w:b w:val="0"/>
                <w:sz w:val="17"/>
              </w:rPr>
              <w:t xml:space="preserve">(a) Tengo y conozco su finalidad; (b) no tengo, pero identifico una necesidad futura; (e) no tengo y evalué que no lo requiero</w:t>
            </w:r>
          </w:p>
        </w:tc>
      </w:tr>
    </w:tbl>
    <w:p>
      <w:pPr>
        <w:pStyle w:val="Heading2"/>
      </w:pPr>
      <w:r>
        <w:t>7 1 Reglas del resultado completo</w:t>
      </w:r>
    </w:p>
    <w:p>
      <w:pPr/>
      <w:r>
        <w:t>Fortalezas. Mostrar hasta dos dimensiones con 2 puntos. Si no hay dimensiones con 2 puntos, indicar que todavía no se identifican fortalezas consolidadas; no presentar respuestas de 0 o 1 punto como fortalezas.</w:t>
      </w:r>
    </w:p>
    <w:p>
      <w:pPr/>
      <w:r>
        <w:t>Brechas. Mostrar hasta dos dimensiones con puntuación inferior a 2, primero las de 0 puntos y después las de 1. Si todas tienen 2 puntos, indicar que no se identifican brechas en las prácticas evaluadas; no afirmar que la empresa está libre de riesgos.</w:t>
      </w:r>
    </w:p>
    <w:p>
      <w:pPr/>
      <w:r>
        <w:t>Desempate. Para que la selección sea reproducible, usar el orden canónico de dimensiones 1 a 8 del Anexo A cuando varias tengan igual puntuación. Este orden es una convención técnica; no representa una jerarquía de riesgo financiero.</w:t>
      </w:r>
    </w:p>
    <w:p>
      <w:pPr/>
      <w:r>
        <w:t>Acciones. Seleccionar tres acciones distintas para 30 días del Catálogo de acciones Check PyME v0.1 aprobado el 12 de octubre de 2026. Aplicar la regla de selección v0.1 de la sección 7.2; usar registros existentes, Excel o documentos sencillos, sin exigir contratación de servicios, compra de software ni nueva deuda.</w:t>
      </w:r>
    </w:p>
    <w:p>
      <w:pPr/>
      <w:r>
        <w:t>Límites. Fortalezas y brechas pueden ser cero, una o dos; no completar cantidades con hallazgos ficticios. El contenido completo y PDF aparecen tras el formulario, en el mismo recorrido; no se envía enlace de acceso ni existe recuperación del Check.</w:t>
      </w:r>
    </w:p>
    <w:p>
      <w:pPr/>
      <w:r>
        <w:t>Catálogo aprobado. Catalogo_Acciones_Check_PyME_v0_1.docx y Catalogo_Acciones_Check_PyME_v0_1.json se incorporan por referencia como anexos normativos de este BRD. Ambos contienen las mismas 72 acciones y evidencias sugeridas, con ID, dimensión, puntuación aplicable, orden y versión. El JSON es el insumo estructurado para implementación; el Word permite revisión editorial. Si divergen, detener la publicación de esa versión y homologarlos antes de usarla. La selección es determinista y no usa IA en Fase A.</w:t>
      </w:r>
    </w:p>
    <w:p>
      <w:pPr/>
      <w:r>
        <w:t>Aceptación. Probar todas las respuestas en 0: cero fortalezas y hasta dos brechas; todas en 2: hasta dos fortalezas y cero brechas; una sola dimensión en 2: una fortaleza; una sola dimensión inferior a 2: una brecha; empates: mismo orden en cada ejecución. Con igual conjunto de respuestas y versiones, el resultado y PDF deben contener los mismos hallazgos y tres acciones distintas. Estos casos se suman a los límites de puntuación de RF-A04.</w:t>
      </w:r>
    </w:p>
    <w:p>
      <w:pPr>
        <w:pStyle w:val="Heading2"/>
      </w:pPr>
      <w:r>
        <w:t>7 2 Catálogo y selección de acciones aprobados</w:t>
      </w:r>
    </w:p>
    <w:p>
      <w:pPr/>
      <w:r>
        <w:t>Entrada. Ocho puntuaciones enteras de 0 a 2. No generar el diagnóstico cuando falta una respuesta o hay un valor inválido. Financiamiento conserva el mapeo a/b/e = 2, c = 1 y d = 0.</w:t>
      </w:r>
    </w:p>
    <w:p>
      <w:pPr/>
      <w:r>
        <w:t>Elegibilidad. Si existen dimensiones con 0 o 1 punto, usar exclusivamente esas dimensiones y ordenarlas por puntuación ascendente, luego por número canónico 1 a 8. Si todas tienen 2, usar las ocho dimensiones en orden canónico para mantenimiento y mejora.</w:t>
      </w:r>
    </w:p>
    <w:p>
      <w:pPr/>
      <w:r>
        <w:t>Selección. Recorrer primero la acción de orden 1 de cada dimensión elegible, después las de orden 2 y después las de orden 3; detenerse al reunir tres IDs distintos. Una sola brecha recibe sus tres acciones. Dos brechas reciben una acción de cada una y una segunda de la primera. Con tres o más, se elige una acción de las primeras tres.</w:t>
      </w:r>
    </w:p>
    <w:p>
      <w:pPr/>
      <w:r>
        <w:t>Correspondencia. Las tres acciones pueden cubrir una tercera dimensión aunque el resumen muestre hasta dos brechas. El orden canónico es una convención de selección y no una jerarquía de riesgo financiero.</w:t>
      </w:r>
    </w:p>
    <w:p>
      <w:pPr/>
      <w:r>
        <w:t>Persistencia. Guardar versiones del Check, catálogo y selección, IDs de acciones y texto o versión inmutable del resultado con respuestas y datos de contacto durante 12 meses desde finalización. Los reintentos en pantalla usan el mismo resultado. La conservación interna no habilita recuperación pública. Un nuevo cuestionario genera otro diagnóstico; un doble envío del mismo cuestionario no lo duplica.</w:t>
      </w:r>
    </w:p>
    <w:p>
      <w:pPr/>
      <w:r>
        <w:t>Límites de datos. No inventar registros faltantes ni calcular participaciones con total de ingresos o compras igual a cero. La evidencia sugerida se conserva por la PyME; el portal no añade cargas de documentos ni seguimiento de avance. Las tareas están previstas para 30 días, sin prometer crear doce meses de historia inexistente.</w:t>
      </w:r>
    </w:p>
    <w:p>
      <w:pPr/>
      <w:r>
        <w:t>Verificación. Se comprobó la propuesta para 6,561 combinaciones de puntuaciones válidas: todas producen tres acciones distintas, aplicables y reproducibles. La implementación oficial deberá verificar el mismo contrato y los ejemplos del catálogo; esta comprobación documental no constituye una prueba de la aplicación.</w:t>
      </w:r>
    </w:p>
    <w:p>
      <w:pPr/>
      <w:r>
        <w:t>Mantenimiento. Responsable por asignar. Cambios de acción o selección requieren versión y aprobación. Check v1.3 solo cambia el recorrido; el catálogo aprobado v0.1 y selección v0.1 se conservan.</w:t>
      </w:r>
    </w:p>
    <w:p>
      <w:pPr>
        <w:pStyle w:val="Heading1"/>
        <w:keepNext/>
      </w:pPr>
      <w:r>
        <w:t>8. Requerimientos funcionales</w:t>
      </w:r>
    </w:p>
    <w:p>
      <w:pPr>
        <w:pStyle w:val="Heading2"/>
        <w:keepNext/>
      </w:pPr>
      <w:r>
        <w:t>8.1 Fase A · Validación</w:t>
      </w:r>
    </w:p>
    <w:p>
      <w:pPr>
        <w:spacing w:before="80" w:after="20"/>
      </w:pPr>
      <w:r>
        <w:rPr>
          <w:b/>
          <w:color w:val="21394F"/>
        </w:rPr>
        <w:t>RF-A01 · Home</w:t>
      </w:r>
    </w:p>
    <w:p>
      <w:pPr>
        <w:spacing w:after="40"/>
        <w:ind w:left="259"/>
      </w:pPr>
      <w:r>
        <w:t>El sistema deberá publicar una Home responsiva con propuesta de valor, accesos a herramientas, Check PyME, lead magnet, artículos, testimoniales y CTA.</w:t>
      </w:r>
    </w:p>
    <w:p>
      <w:pPr>
        <w:spacing w:after="60"/>
        <w:ind w:left="403"/>
      </w:pPr>
      <w:r>
        <w:rPr>
          <w:b/>
        </w:rPr>
        <w:t xml:space="preserve">Criterio de aceptación: </w:t>
      </w:r>
      <w:r>
        <w:t>En móvil y escritorio los CTA principales son visibles, navegables y medibles.</w:t>
      </w:r>
    </w:p>
    <w:p>
      <w:pPr>
        <w:spacing w:before="80" w:after="20"/>
      </w:pPr>
      <w:r>
        <w:rPr>
          <w:b/>
          <w:color w:val="21394F"/>
        </w:rPr>
        <w:t>RF-A02 · Calculadora</w:t>
      </w:r>
    </w:p>
    <w:p>
      <w:pPr>
        <w:spacing w:after="40"/>
        <w:ind w:left="259"/>
      </w:pPr>
      <w:r>
        <w:t>El sistema deberá publicar al menos una calculadora independiente, usable sin registro.</w:t>
      </w:r>
    </w:p>
    <w:p>
      <w:pPr>
        <w:spacing w:after="60"/>
        <w:ind w:left="403"/>
      </w:pPr>
      <w:r>
        <w:rPr>
          <w:b/>
        </w:rPr>
        <w:t xml:space="preserve">Criterio de aceptación: </w:t>
      </w:r>
      <w:r>
        <w:t>El cálculo responde con resultado, validaciones de entrada y evento analítico de inicio/finalización.</w:t>
      </w:r>
    </w:p>
    <w:p>
      <w:pPr>
        <w:spacing w:before="80" w:after="20"/>
      </w:pPr>
      <w:r>
        <w:rPr>
          <w:b/>
          <w:color w:val="21394F"/>
        </w:rPr>
        <w:t>RF-A03 · Lead magnet</w:t>
      </w:r>
    </w:p>
    <w:p>
      <w:pPr>
        <w:spacing w:after="40"/>
        <w:ind w:left="259"/>
      </w:pPr>
      <w:r>
        <w:t>El visitante deberá poder proporcionar datos mínimos y recibir un recurso gratuito.</w:t>
      </w:r>
    </w:p>
    <w:p>
      <w:pPr>
        <w:spacing w:after="60"/>
        <w:ind w:left="403"/>
      </w:pPr>
      <w:r>
        <w:rPr>
          <w:b/>
        </w:rPr>
        <w:t xml:space="preserve">Criterio de aceptación: </w:t>
      </w:r>
      <w:r>
        <w:t>Un correo corresponde a un único lead (RN-015); cada interacción y consentimiento se registra asociado a él, se genera entrega y se registra su estado.</w:t>
      </w:r>
    </w:p>
    <w:p>
      <w:pPr>
        <w:spacing w:before="80" w:after="20"/>
      </w:pPr>
      <w:r>
        <w:rPr>
          <w:b/>
          <w:color w:val="21394F"/>
        </w:rPr>
        <w:t>RF-A04 · Check PyME</w:t>
      </w:r>
    </w:p>
    <w:p>
      <w:pPr>
        <w:spacing w:after="40"/>
        <w:ind w:left="259"/>
      </w:pPr>
      <w:r>
        <w:t>El sistema deberá ejecutar las 8 preguntas, calcular score y mostrar nivel correspondiente.</w:t>
      </w:r>
    </w:p>
    <w:p>
      <w:pPr>
        <w:spacing w:after="60"/>
        <w:ind w:left="403"/>
      </w:pPr>
      <w:r>
        <w:rPr>
          <w:b/>
        </w:rPr>
        <w:t xml:space="preserve">Criterio de aceptación: </w:t>
      </w:r>
      <w:r>
        <w:t>El resultado coincide con la fórmula y cortes definidos; se prueban casos límite de 0, 6, 7, 11, 12 y 16 puntos brutos (scores 0, 38, 44, 69, 75 y 100).</w:t>
      </w:r>
    </w:p>
    <w:p>
      <w:pPr>
        <w:spacing w:before="80" w:after="20"/>
      </w:pPr>
      <w:r>
        <w:rPr>
          <w:b/>
          <w:color w:val="21394F"/>
        </w:rPr>
        <w:t>RF-A05 · Liberación del diagnóstico</w:t>
      </w:r>
    </w:p>
    <w:p>
      <w:pPr>
        <w:spacing w:after="40"/>
        <w:ind w:left="259"/>
      </w:pPr>
      <w:r>
        <w:t>El resultado completo y PDF se habilitan inmediatamente después de enviar y persistir el formulario del Check, sin email de acceso.</w:t>
      </w:r>
    </w:p>
    <w:p>
      <w:pPr>
        <w:spacing w:after="60"/>
        <w:ind w:left="403"/>
      </w:pPr>
      <w:r>
        <w:rPr>
          <w:b/>
        </w:rPr>
        <w:t>Criterio de aceptación: nombre, correo y empresa requeridos; WhatsApp opcional. Antes de enviar solo aparece “Tu informe está listo”. Tras envío válido se muestra resultado y botón PDF, sin magic link; falla técnica permite reintentar en la misma pantalla sin duplicar lead ni diagnóstico.</w:t>
      </w:r>
      <w:r/>
    </w:p>
    <w:p>
      <w:pPr>
        <w:spacing w:before="80" w:after="20"/>
      </w:pPr>
      <w:r>
        <w:rPr>
          <w:b/>
          <w:color w:val="21394F"/>
        </w:rPr>
        <w:t>RF-A06 · Blog</w:t>
      </w:r>
    </w:p>
    <w:p>
      <w:pPr>
        <w:spacing w:after="40"/>
        <w:ind w:left="259"/>
      </w:pPr>
      <w:r>
        <w:t>El sistema deberá publicar listado y detalle de artículos con slug, fecha, categoría y metadatos SEO.</w:t>
      </w:r>
    </w:p>
    <w:p>
      <w:pPr>
        <w:spacing w:after="60"/>
        <w:ind w:left="403"/>
      </w:pPr>
      <w:r>
        <w:rPr>
          <w:b/>
        </w:rPr>
        <w:t xml:space="preserve">Criterio de aceptación: </w:t>
      </w:r>
      <w:r>
        <w:t>Cada artículo tiene URL única, canonical y datos OpenGraph básicos.</w:t>
      </w:r>
    </w:p>
    <w:p>
      <w:pPr>
        <w:spacing w:before="80" w:after="20"/>
      </w:pPr>
      <w:r>
        <w:rPr>
          <w:b/>
          <w:color w:val="21394F"/>
        </w:rPr>
        <w:t>RF-A07 · Videos destacados</w:t>
      </w:r>
    </w:p>
    <w:p>
      <w:pPr>
        <w:spacing w:after="40"/>
        <w:ind w:left="259"/>
      </w:pPr>
      <w:r>
        <w:t>La Home o sección de contenido podrá mostrar videos embebidos desde proveedor externo.</w:t>
      </w:r>
    </w:p>
    <w:p>
      <w:pPr>
        <w:spacing w:after="60"/>
        <w:ind w:left="403"/>
      </w:pPr>
      <w:r>
        <w:rPr>
          <w:b/>
        </w:rPr>
        <w:t xml:space="preserve">Criterio de aceptación: </w:t>
      </w:r>
      <w:r>
        <w:t>No se almacenan archivos de video pesados en la plataforma.</w:t>
      </w:r>
    </w:p>
    <w:p>
      <w:pPr>
        <w:spacing w:before="80" w:after="20"/>
      </w:pPr>
      <w:r>
        <w:rPr>
          <w:b/>
          <w:color w:val="21394F"/>
        </w:rPr>
        <w:t>RF-A08 · Comentarios/solicitudes</w:t>
      </w:r>
    </w:p>
    <w:p>
      <w:pPr>
        <w:spacing w:after="40"/>
        <w:ind w:left="259"/>
      </w:pPr>
      <w:r>
        <w:t>El visitante podrá enviar comentarios o solicitudes categorizadas.</w:t>
      </w:r>
    </w:p>
    <w:p>
      <w:pPr>
        <w:spacing w:after="60"/>
        <w:ind w:left="403"/>
      </w:pPr>
      <w:r>
        <w:rPr>
          <w:b/>
        </w:rPr>
        <w:t xml:space="preserve">Criterio de aceptación: </w:t>
      </w:r>
      <w:r>
        <w:t>Se registra fecha, categoría, contenido, datos de contacto y estado interno.</w:t>
      </w:r>
    </w:p>
    <w:p>
      <w:pPr>
        <w:spacing w:before="80" w:after="20"/>
      </w:pPr>
      <w:r>
        <w:rPr>
          <w:b/>
          <w:color w:val="21394F"/>
        </w:rPr>
        <w:t>RF-A09 · Consentimientos</w:t>
      </w:r>
    </w:p>
    <w:p>
      <w:pPr>
        <w:spacing w:after="40"/>
        <w:ind w:left="259"/>
      </w:pPr>
      <w:r>
        <w:t>Los formularios deberán separar aceptación necesaria del servicio y consentimiento comercial cuando corresponda.</w:t>
      </w:r>
    </w:p>
    <w:p>
      <w:pPr>
        <w:spacing w:after="60"/>
        <w:ind w:left="403"/>
      </w:pPr>
      <w:r>
        <w:rPr>
          <w:b/>
        </w:rPr>
        <w:t xml:space="preserve">Criterio de aceptación: </w:t>
      </w:r>
      <w:r>
        <w:t>El sistema registra versión del texto, fecha/hora y opción elegida.</w:t>
      </w:r>
    </w:p>
    <w:p>
      <w:pPr>
        <w:spacing w:before="80" w:after="20"/>
      </w:pPr>
      <w:r>
        <w:rPr>
          <w:b/>
          <w:color w:val="21394F"/>
        </w:rPr>
        <w:t>RF-A10 · Unsubscribe</w:t>
      </w:r>
    </w:p>
    <w:p>
      <w:pPr>
        <w:spacing w:after="40"/>
        <w:ind w:left="259"/>
      </w:pPr>
      <w:r>
        <w:t>Toda comunicación comercial automatizada deberá incluir mecanismo de baja.</w:t>
      </w:r>
    </w:p>
    <w:p>
      <w:pPr>
        <w:spacing w:after="60"/>
        <w:ind w:left="403"/>
      </w:pPr>
      <w:r>
        <w:rPr>
          <w:b/>
        </w:rPr>
        <w:t xml:space="preserve">Criterio de aceptación: </w:t>
      </w:r>
      <w:r>
        <w:t>La baja impide nuevos envíos comerciales sin afectar correos transaccionales necesarios.</w:t>
      </w:r>
    </w:p>
    <w:p>
      <w:pPr>
        <w:spacing w:before="80" w:after="20"/>
      </w:pPr>
      <w:r>
        <w:rPr>
          <w:b/>
          <w:color w:val="21394F"/>
        </w:rPr>
        <w:t>RF-A11 · Correo transaccional</w:t>
      </w:r>
    </w:p>
    <w:p>
      <w:pPr>
        <w:spacing w:after="40"/>
        <w:ind w:left="259"/>
      </w:pPr>
      <w:r>
        <w:t>El sistema envía lead magnets, bajas y notificaciones operativas; en B, magic links de compras. El Check muestra y descarga su informe en pantalla; no depende de correo transaccional para entregarlo.</w:t>
      </w:r>
    </w:p>
    <w:p>
      <w:pPr>
        <w:spacing w:after="60"/>
        <w:ind w:left="403"/>
      </w:pPr>
      <w:r>
        <w:rPr>
          <w:b/>
        </w:rPr>
        <w:t xml:space="preserve">Criterio de aceptación: </w:t>
      </w:r>
      <w:r>
        <w:t>Se registra estado de envío y error; los fallos son visibles para operación.</w:t>
      </w:r>
    </w:p>
    <w:p>
      <w:pPr>
        <w:spacing w:before="80" w:after="20"/>
      </w:pPr>
      <w:r>
        <w:rPr>
          <w:b/>
          <w:color w:val="21394F"/>
        </w:rPr>
        <w:t>RF-A12 · Backoffice mínimo</w:t>
      </w:r>
    </w:p>
    <w:p>
      <w:pPr>
        <w:spacing w:after="40"/>
        <w:ind w:left="259"/>
      </w:pPr>
      <w:r>
        <w:t>Personal autorizado deberá gestionar artículos, lead magnets, testimoniales, formularios y leads.</w:t>
      </w:r>
    </w:p>
    <w:p>
      <w:pPr>
        <w:spacing w:after="60"/>
        <w:ind w:left="403"/>
      </w:pPr>
      <w:r>
        <w:rPr>
          <w:b/>
        </w:rPr>
        <w:t xml:space="preserve">Criterio de aceptación: </w:t>
      </w:r>
      <w:r>
        <w:t>El backoffice requiere autenticación con segundo factor (MFA) y no es público; en Fase A basta un rol de administrador.</w:t>
      </w:r>
    </w:p>
    <w:p>
      <w:pPr>
        <w:spacing w:before="80" w:after="20"/>
      </w:pPr>
      <w:r>
        <w:rPr>
          <w:b/>
          <w:color w:val="21394F"/>
        </w:rPr>
        <w:t>RF-A13 · Analítica</w:t>
      </w:r>
    </w:p>
    <w:p>
      <w:pPr>
        <w:spacing w:after="40"/>
        <w:ind w:left="259"/>
      </w:pPr>
      <w:r>
        <w:t>La plataforma deberá registrar eventos clave de adquisición, herramienta, Check, formularios y entrega. Sesión calificada: sesión de una persona real (sin bots ni tráfico interno o de pruebas) con al menos dos páginas vistas o con interacción en una herramienta.</w:t>
      </w:r>
    </w:p>
    <w:p>
      <w:pPr>
        <w:spacing w:after="60"/>
        <w:ind w:left="403"/>
      </w:pPr>
      <w:r>
        <w:rPr>
          <w:b/>
        </w:rPr>
        <w:t xml:space="preserve">Criterio de aceptación: </w:t>
      </w:r>
      <w:r>
        <w:t>Los eventos pueden distinguir origen, paso y resultado sin registrar secretos o datos sensibles innecesarios. Backoffice o reporte exportable muestra sesiones calificadas, conversión visitante→lead, finalización del Check, diagnósticos liberados y solicitudes de orientación.</w:t>
      </w:r>
    </w:p>
    <w:p>
      <w:pPr>
        <w:spacing w:before="80" w:after="20"/>
      </w:pPr>
      <w:r>
        <w:rPr>
          <w:b/>
          <w:color w:val="21394F"/>
        </w:rPr>
        <w:t>RF-A14 · Solicitud de orientación</w:t>
      </w:r>
    </w:p>
    <w:p>
      <w:pPr>
        <w:spacing w:after="40"/>
        <w:ind w:left="259"/>
      </w:pPr>
      <w:r>
        <w:t>Desde el resultado completo se conserva “Solicitar orientación”. Usa nombre, correo, empresa y WhatsApp capturados, sin exigir volver a escribirlos ni suscribir a marketing. WhatsApp solo se usa si fue proporcionado y corresponde al seguimiento autorizado.</w:t>
      </w:r>
    </w:p>
    <w:p>
      <w:pPr>
        <w:spacing w:after="60"/>
        <w:ind w:left="403"/>
      </w:pPr>
      <w:r>
        <w:rPr>
          <w:b/>
        </w:rPr>
        <w:t xml:space="preserve">Criterio de aceptación: </w:t>
      </w:r>
      <w:r>
        <w:t>Se registra la solicitud vinculada al lead y al diagnóstico, se notifica internamente, queda con estado de seguimiento (nuevo, contactado, cerrado) y se emite el evento ORIENTATION_REQUESTED.</w:t>
      </w:r>
    </w:p>
    <w:p>
      <w:pPr>
        <w:spacing w:before="80" w:after="20"/>
      </w:pPr>
      <w:r>
        <w:rPr>
          <w:b/>
          <w:color w:val="21394F"/>
        </w:rPr>
        <w:t>RF-A15 Retirado recuperación del diagnóstico</w:t>
      </w:r>
    </w:p>
    <w:p>
      <w:pPr>
        <w:spacing w:after="40"/>
        <w:ind w:left="259"/>
      </w:pPr>
      <w:r>
        <w:t>La recuperación o reemisión del Check queda fuera de alcance desde v0.6. Se conserva el ID RF-A15 para trazabilidad y no se reutiliza para otro requisito.</w:t>
      </w:r>
    </w:p>
    <w:p>
      <w:pPr>
        <w:spacing w:after="60"/>
        <w:ind w:left="403"/>
      </w:pPr>
      <w:r>
        <w:rPr>
          <w:b/>
        </w:rPr>
        <w:t>Criterio de aceptación: no existe formulario, enlace, endpoint público ni búsqueda por correo para recuperar diagnósticos; al salir del resultado, obtener otro informe exige un nuevo cuestionario y captura.</w:t>
      </w:r>
      <w:r/>
    </w:p>
    <w:p>
      <w:pPr>
        <w:pStyle w:val="Heading3"/>
      </w:pPr>
      <w:r>
        <w:t>RF-A16 Catálogo de acciones del diagnóstico</w:t>
      </w:r>
    </w:p>
    <w:p>
      <w:pPr/>
      <w:r>
        <w:t>El resultado completo y el PDF deberán incluir tres acciones distintas del catálogo aprobado, seleccionadas conforme a RN-016 y sección 7.2.</w:t>
      </w:r>
    </w:p>
    <w:p>
      <w:pPr/>
      <w:r>
        <w:t>Criterio de aceptación: los IDs coinciden con el catálogo aprobado; verificar cero, una y múltiples brechas, entradas inválidas y las 6,561 combinaciones. Reintentar descarga en el recorrido activo conserva el resultado. No habilitar recuperación ni cargas de documentos.</w:t>
      </w:r>
    </w:p>
    <w:p>
      <w:pPr>
        <w:pStyle w:val="Heading3"/>
      </w:pPr>
      <w:r>
        <w:t>RF-A17 Acceso activo y nueva ejecución</w:t>
      </w:r>
    </w:p>
    <w:p>
      <w:pPr/>
      <w:r>
        <w:t>El Check no envía magic link ni requiere validar el correo para entregar el resultado. Mientras permanezca en la pantalla del resultado puede reintentar descargar el mismo informe. Al salir, no hay consulta, búsqueda por correo ni recuperación pública; para obtener otro informe debe completar un nuevo cuestionario y dejar sus datos otra vez.</w:t>
      </w:r>
    </w:p>
    <w:p>
      <w:pPr/>
      <w:r>
        <w:t>Criterio de aceptación: nuevo cuestionario = nuevo diagnóstico; doble envío = misma operación. Puede descargar o reintentar y solicitar orientación sin salir del resultado. Tras abandonar el recorrido, no recupera el informe mediante historial, ID, correo o URL permanente. La duración técnica del contexto y su invalidación se detallan en arquitectura antes de implementar.</w:t>
      </w:r>
    </w:p>
    <w:p>
      <w:pPr>
        <w:pStyle w:val="Heading2"/>
        <w:keepNext/>
      </w:pPr>
      <w:r>
        <w:t>8.2 Fase B · Monetización digital</w:t>
      </w:r>
    </w:p>
    <w:p>
      <w:pPr>
        <w:spacing w:before="80" w:after="20"/>
      </w:pPr>
      <w:r>
        <w:rPr>
          <w:b/>
          <w:color w:val="21394F"/>
        </w:rPr>
        <w:t>RF-B01 · Catálogo de recursos</w:t>
      </w:r>
    </w:p>
    <w:p>
      <w:pPr>
        <w:spacing w:after="40"/>
        <w:ind w:left="259"/>
      </w:pPr>
      <w:r>
        <w:t>El sistema deberá mostrar recursos digitales de pago con descripción, precio y CTA de compra.</w:t>
      </w:r>
    </w:p>
    <w:p>
      <w:pPr>
        <w:spacing w:after="60"/>
        <w:ind w:left="403"/>
      </w:pPr>
      <w:r>
        <w:rPr>
          <w:b/>
        </w:rPr>
        <w:t xml:space="preserve">Criterio de aceptación: </w:t>
      </w:r>
      <w:r>
        <w:t>El producto activo puede publicarse/despublicarse desde backoffice.</w:t>
      </w:r>
    </w:p>
    <w:p>
      <w:pPr>
        <w:spacing w:before="80" w:after="20"/>
      </w:pPr>
      <w:r>
        <w:rPr>
          <w:b/>
          <w:color w:val="21394F"/>
        </w:rPr>
        <w:t>RF-B02 · Checkout Stripe</w:t>
      </w:r>
    </w:p>
    <w:p>
      <w:pPr>
        <w:spacing w:after="40"/>
        <w:ind w:left="259"/>
      </w:pPr>
      <w:r>
        <w:t>El comprador inicia Stripe Checkout sin crear cuenta. Checkout captura el correo, que se guarda como destinatario asociado a la orden una vez confirmada la compra por webhook válido.</w:t>
      </w:r>
    </w:p>
    <w:p>
      <w:pPr>
        <w:spacing w:after="60"/>
        <w:ind w:left="403"/>
      </w:pPr>
      <w:r>
        <w:rPr>
          <w:b/>
        </w:rPr>
        <w:t>Criterio de aceptación: producto, importe y moneda provienen de la configuración interna; correo validado de Checkout vinculado a la orden; no existe registro de cuenta requerido.</w:t>
      </w:r>
      <w:r/>
    </w:p>
    <w:p>
      <w:pPr>
        <w:spacing w:before="80" w:after="20"/>
      </w:pPr>
      <w:r>
        <w:rPr>
          <w:b/>
          <w:color w:val="21394F"/>
        </w:rPr>
        <w:t>RF-B03 · Webhook de pago</w:t>
      </w:r>
    </w:p>
    <w:p>
      <w:pPr>
        <w:spacing w:after="40"/>
        <w:ind w:left="259"/>
      </w:pPr>
      <w:r>
        <w:t>El sistema deberá procesar idempotentemente eventos de Stripe y actualizar orden/pago.</w:t>
      </w:r>
    </w:p>
    <w:p>
      <w:pPr>
        <w:spacing w:after="60"/>
        <w:ind w:left="403"/>
      </w:pPr>
      <w:r>
        <w:rPr>
          <w:b/>
        </w:rPr>
        <w:t xml:space="preserve">Criterio de aceptación: </w:t>
      </w:r>
      <w:r>
        <w:t>Un evento repetido no duplica orden, entrega ni correo.</w:t>
      </w:r>
    </w:p>
    <w:p>
      <w:pPr>
        <w:spacing w:before="80" w:after="20"/>
      </w:pPr>
      <w:r>
        <w:rPr>
          <w:b/>
          <w:color w:val="21394F"/>
        </w:rPr>
        <w:t>RF-B04 · Entrega segura</w:t>
      </w:r>
    </w:p>
    <w:p>
      <w:pPr>
        <w:spacing w:after="40"/>
        <w:ind w:left="259"/>
      </w:pPr>
      <w:r>
        <w:t>Tras webhook válido de pago se envía al correo de la orden el magic link del archivo comprado. El envío no entrega el archivo antes de confirmar el pago.</w:t>
      </w:r>
    </w:p>
    <w:p>
      <w:pPr>
        <w:spacing w:after="60"/>
        <w:ind w:left="403"/>
      </w:pPr>
      <w:r>
        <w:rPr>
          <w:b/>
        </w:rPr>
        <w:t>Criterio de aceptación: almacenamiento privado; el acceso vence exactamente 14 días después de confirmar el pago; máximo tres descargas exitosas. Abrir/confirmar enlace o error no consume saldo. Contador compartido por derecho de entrega de la compra, seguro ante concurrencia y reintentos.</w:t>
      </w:r>
      <w:r/>
    </w:p>
    <w:p>
      <w:pPr>
        <w:spacing w:before="80" w:after="20"/>
      </w:pPr>
      <w:r>
        <w:rPr>
          <w:b/>
          <w:color w:val="21394F"/>
        </w:rPr>
        <w:t>RF-B05 · Recuperación de compra</w:t>
      </w:r>
    </w:p>
    <w:p>
      <w:pPr>
        <w:spacing w:after="40"/>
        <w:ind w:left="259"/>
      </w:pPr>
      <w:r>
        <w:t>El comprador podrá solicitar reemisión del acceso usando el correo de compra.</w:t>
      </w:r>
    </w:p>
    <w:p>
      <w:pPr>
        <w:spacing w:after="60"/>
        <w:ind w:left="403"/>
      </w:pPr>
      <w:r>
        <w:rPr>
          <w:b/>
        </w:rPr>
        <w:t>Criterio de aceptación: reemitir acceso mantiene el vencimiento original y las descargas restantes. No reinicia 14 días ni otorga tres descargas nuevas. Las excepciones de soporte registran actor, motivo y cambio autorizado.</w:t>
      </w:r>
      <w:r/>
    </w:p>
    <w:p>
      <w:pPr>
        <w:spacing w:before="80" w:after="20"/>
      </w:pPr>
      <w:r>
        <w:rPr>
          <w:b/>
          <w:color w:val="21394F"/>
        </w:rPr>
        <w:t>RF-B06 · Solicitud de factura</w:t>
      </w:r>
    </w:p>
    <w:p>
      <w:pPr>
        <w:spacing w:after="40"/>
        <w:ind w:left="259"/>
      </w:pPr>
      <w:r>
        <w:t>El comprador podrá solicitar CFDI y proporcionar datos fiscales.</w:t>
      </w:r>
    </w:p>
    <w:p>
      <w:pPr>
        <w:spacing w:after="60"/>
        <w:ind w:left="403"/>
      </w:pPr>
      <w:r>
        <w:rPr>
          <w:b/>
        </w:rPr>
        <w:t xml:space="preserve">Criterio de aceptación: </w:t>
      </w:r>
      <w:r>
        <w:t>La solicitud se vincula a orden y conserva estado, fecha y referencia de emisión.</w:t>
      </w:r>
    </w:p>
    <w:p>
      <w:pPr>
        <w:spacing w:before="80" w:after="20"/>
      </w:pPr>
      <w:r>
        <w:rPr>
          <w:b/>
          <w:color w:val="21394F"/>
        </w:rPr>
        <w:t>RF-B07 · Conciliación</w:t>
      </w:r>
    </w:p>
    <w:p>
      <w:pPr>
        <w:spacing w:after="40"/>
        <w:ind w:left="259"/>
      </w:pPr>
      <w:r>
        <w:t>El backoffice deberá mostrar estado de orden, pago, entrega y factura.</w:t>
      </w:r>
    </w:p>
    <w:p>
      <w:pPr>
        <w:spacing w:after="60"/>
        <w:ind w:left="403"/>
      </w:pPr>
      <w:r>
        <w:rPr>
          <w:b/>
        </w:rPr>
        <w:t xml:space="preserve">Criterio de aceptación: </w:t>
      </w:r>
      <w:r>
        <w:t>Operación puede identificar pagos confirmados, pendientes, reembolsados o fallidos.</w:t>
      </w:r>
    </w:p>
    <w:p>
      <w:pPr>
        <w:pStyle w:val="Heading2"/>
        <w:keepNext/>
      </w:pPr>
      <w:r>
        <w:t>8.3 Fase C · Servicios y eventos</w:t>
      </w:r>
    </w:p>
    <w:p>
      <w:pPr>
        <w:spacing w:before="80" w:after="20"/>
      </w:pPr>
      <w:r>
        <w:rPr>
          <w:b/>
          <w:color w:val="21394F"/>
        </w:rPr>
        <w:t>RF-C01 · Servicios</w:t>
      </w:r>
    </w:p>
    <w:p>
      <w:pPr>
        <w:spacing w:after="40"/>
        <w:ind w:left="259"/>
      </w:pPr>
      <w:r>
        <w:t>El sitio deberá publicar servicios one-to-one con duración, precio, descripción y política aplicable.</w:t>
      </w:r>
    </w:p>
    <w:p>
      <w:pPr>
        <w:spacing w:after="60"/>
        <w:ind w:left="403"/>
      </w:pPr>
      <w:r>
        <w:rPr>
          <w:b/>
        </w:rPr>
        <w:t xml:space="preserve">Criterio de aceptación: </w:t>
      </w:r>
      <w:r>
        <w:t>Solo servicios activos son reservables.</w:t>
      </w:r>
    </w:p>
    <w:p>
      <w:pPr>
        <w:spacing w:before="80" w:after="20"/>
      </w:pPr>
      <w:r>
        <w:rPr>
          <w:b/>
          <w:color w:val="21394F"/>
        </w:rPr>
        <w:t>RF-C02 · Disponibilidad</w:t>
      </w:r>
    </w:p>
    <w:p>
      <w:pPr>
        <w:spacing w:after="40"/>
        <w:ind w:left="259"/>
      </w:pPr>
      <w:r>
        <w:t>El usuario deberá consultar slots disponibles provenientes del calendario configurado.</w:t>
      </w:r>
    </w:p>
    <w:p>
      <w:pPr>
        <w:spacing w:after="60"/>
        <w:ind w:left="403"/>
      </w:pPr>
      <w:r>
        <w:rPr>
          <w:b/>
        </w:rPr>
        <w:t xml:space="preserve">Criterio de aceptación: </w:t>
      </w:r>
      <w:r>
        <w:t>No se muestran horarios ocupados o bloqueados.</w:t>
      </w:r>
    </w:p>
    <w:p>
      <w:pPr>
        <w:spacing w:before="80" w:after="20"/>
      </w:pPr>
      <w:r>
        <w:rPr>
          <w:b/>
          <w:color w:val="21394F"/>
        </w:rPr>
        <w:t>RF-C03 · Reserva temporal</w:t>
      </w:r>
    </w:p>
    <w:p>
      <w:pPr>
        <w:spacing w:after="40"/>
        <w:ind w:left="259"/>
      </w:pPr>
      <w:r>
        <w:t>Al seleccionar slot, el sistema deberá reservarlo temporalmente durante el flujo de pago.</w:t>
      </w:r>
    </w:p>
    <w:p>
      <w:pPr>
        <w:spacing w:after="60"/>
        <w:ind w:left="403"/>
      </w:pPr>
      <w:r>
        <w:rPr>
          <w:b/>
        </w:rPr>
        <w:t xml:space="preserve">Criterio de aceptación: </w:t>
      </w:r>
      <w:r>
        <w:t>La reserva vence y libera el horario si no se confirma dentro del tiempo configurado.</w:t>
      </w:r>
    </w:p>
    <w:p>
      <w:pPr>
        <w:spacing w:before="80" w:after="20"/>
      </w:pPr>
      <w:r>
        <w:rPr>
          <w:b/>
          <w:color w:val="21394F"/>
        </w:rPr>
        <w:t>RF-C04 · Confirmación de cita</w:t>
      </w:r>
    </w:p>
    <w:p>
      <w:pPr>
        <w:spacing w:after="40"/>
        <w:ind w:left="259"/>
      </w:pPr>
      <w:r>
        <w:t>Tras pago confirmado, el sistema deberá crear/confirmar la cita y notificar al cliente.</w:t>
      </w:r>
    </w:p>
    <w:p>
      <w:pPr>
        <w:spacing w:after="60"/>
        <w:ind w:left="403"/>
      </w:pPr>
      <w:r>
        <w:rPr>
          <w:b/>
        </w:rPr>
        <w:t xml:space="preserve">Criterio de aceptación: </w:t>
      </w:r>
      <w:r>
        <w:t>La cita tiene ID, horario, servicio, estado y referencia de pago.</w:t>
      </w:r>
    </w:p>
    <w:p>
      <w:pPr>
        <w:spacing w:before="80" w:after="20"/>
      </w:pPr>
      <w:r>
        <w:rPr>
          <w:b/>
          <w:color w:val="21394F"/>
        </w:rPr>
        <w:t>RF-C05 · Gestión por magic link</w:t>
      </w:r>
    </w:p>
    <w:p>
      <w:pPr>
        <w:spacing w:after="40"/>
        <w:ind w:left="259"/>
      </w:pPr>
      <w:r>
        <w:t>El cliente podrá consultar, reprogramar o cancelar conforme a política.</w:t>
      </w:r>
    </w:p>
    <w:p>
      <w:pPr>
        <w:spacing w:after="60"/>
        <w:ind w:left="403"/>
      </w:pPr>
      <w:r>
        <w:rPr>
          <w:b/>
        </w:rPr>
        <w:t xml:space="preserve">Criterio de aceptación: </w:t>
      </w:r>
      <w:r>
        <w:t>Las acciones permitidas respetan ventana y reglas del servicio.</w:t>
      </w:r>
    </w:p>
    <w:p>
      <w:pPr>
        <w:spacing w:before="80" w:after="20"/>
      </w:pPr>
      <w:r>
        <w:rPr>
          <w:b/>
          <w:color w:val="21394F"/>
        </w:rPr>
        <w:t>RF-C06 · Eventos</w:t>
      </w:r>
    </w:p>
    <w:p>
      <w:pPr>
        <w:spacing w:after="40"/>
        <w:ind w:left="259"/>
      </w:pPr>
      <w:r>
        <w:t>El sitio deberá publicar próximos cursos/eventos y permitir registro/pago cuando corresponda.</w:t>
      </w:r>
    </w:p>
    <w:p>
      <w:pPr>
        <w:spacing w:after="60"/>
        <w:ind w:left="403"/>
      </w:pPr>
      <w:r>
        <w:rPr>
          <w:b/>
        </w:rPr>
        <w:t xml:space="preserve">Criterio de aceptación: </w:t>
      </w:r>
      <w:r>
        <w:t>Cada inscripción genera confirmación e instrucciones de acceso.</w:t>
      </w:r>
    </w:p>
    <w:p>
      <w:pPr>
        <w:spacing w:before="80" w:after="20"/>
      </w:pPr>
      <w:r>
        <w:rPr>
          <w:b/>
          <w:color w:val="21394F"/>
        </w:rPr>
        <w:t>RF-C07 · Recordatorios</w:t>
      </w:r>
    </w:p>
    <w:p>
      <w:pPr>
        <w:spacing w:after="40"/>
        <w:ind w:left="259"/>
      </w:pPr>
      <w:r>
        <w:t>El sistema deberá emitir recordatorios configurables para citas/eventos.</w:t>
      </w:r>
    </w:p>
    <w:p>
      <w:pPr>
        <w:spacing w:after="60"/>
        <w:ind w:left="403"/>
      </w:pPr>
      <w:r>
        <w:rPr>
          <w:b/>
        </w:rPr>
        <w:t xml:space="preserve">Criterio de aceptación: </w:t>
      </w:r>
      <w:r>
        <w:t>Los recordatorios no se duplican y respetan el estado de la operación.</w:t>
      </w:r>
    </w:p>
    <w:p>
      <w:pPr>
        <w:pStyle w:val="Heading1"/>
        <w:keepNext/>
      </w:pPr>
      <w:r>
        <w:t>9. Datos y entidades</w:t>
      </w:r>
    </w:p>
    <w:tbl>
      <w:tblPr>
        <w:tblStyle w:val="TableGrid"/>
        <w:tblW w:type="auto" w:w="0"/>
        <w:jc w:val="center"/>
        <w:tblLook w:firstColumn="1" w:firstRow="1" w:lastColumn="0" w:lastRow="0" w:noHBand="0" w:noVBand="1" w:val="04A0"/>
      </w:tblPr>
      <w:tblGrid>
        <w:gridCol w:w="5112"/>
        <w:gridCol w:w="5112"/>
      </w:tblGrid>
      <w:tr>
        <w:trPr>
          <w:tblHeader/>
          <w:cantSplit/>
        </w:trPr>
        <w:tc>
          <w:tcPr>
            <w:tcW w:type="dxa" w:w="2592"/>
            <w:vAlign w:val="center"/>
            <w:shd w:fill="21394F"/>
          </w:tcPr>
          <w:p>
            <w:r/>
            <w:r>
              <w:rPr>
                <w:rFonts w:ascii="Aptos" w:hAnsi="Aptos"/>
                <w:b/>
                <w:color w:val="FFFFFF"/>
                <w:sz w:val="17"/>
              </w:rPr>
              <w:t>Entidad</w:t>
            </w:r>
          </w:p>
        </w:tc>
        <w:tc>
          <w:tcPr>
            <w:tcW w:type="dxa" w:w="8496"/>
            <w:vAlign w:val="center"/>
            <w:shd w:fill="21394F"/>
          </w:tcPr>
          <w:p>
            <w:r/>
            <w:r>
              <w:rPr>
                <w:rFonts w:ascii="Aptos" w:hAnsi="Aptos"/>
                <w:b/>
                <w:color w:val="FFFFFF"/>
                <w:sz w:val="17"/>
              </w:rPr>
              <w:t>Datos mínimos / propósito</w:t>
            </w:r>
          </w:p>
        </w:tc>
      </w:tr>
      <w:tr>
        <w:trPr>
          <w:cantSplit/>
        </w:trPr>
        <w:tc>
          <w:tcPr>
            <w:tcW w:type="dxa" w:w="2592"/>
            <w:vAlign w:val="center"/>
          </w:tcPr>
          <w:p>
            <w:r/>
            <w:r>
              <w:rPr>
                <w:rFonts w:ascii="Aptos" w:hAnsi="Aptos"/>
                <w:b w:val="0"/>
                <w:sz w:val="17"/>
              </w:rPr>
              <w:t>Lead</w:t>
            </w:r>
          </w:p>
        </w:tc>
        <w:tc>
          <w:tcPr>
            <w:tcW w:type="dxa" w:w="8496"/>
            <w:vAlign w:val="center"/>
          </w:tcPr>
          <w:p>
            <w:r>
              <w:t>ID, nombre, correo normalizado, empresa, WhatsApp opcional, origen, interés, fechas, consentimientos y estado. Cada diagnóstico preserva su captura sin sobrescribir otras.</w:t>
            </w:r>
          </w:p>
        </w:tc>
      </w:tr>
      <w:tr>
        <w:trPr>
          <w:cantSplit/>
        </w:trPr>
        <w:tc>
          <w:tcPr>
            <w:tcW w:type="dxa" w:w="2592"/>
            <w:vAlign w:val="center"/>
          </w:tcPr>
          <w:p>
            <w:r/>
            <w:r>
              <w:rPr>
                <w:rFonts w:ascii="Aptos" w:hAnsi="Aptos"/>
                <w:b w:val="0"/>
                <w:sz w:val="17"/>
              </w:rPr>
              <w:t>Consentimiento</w:t>
            </w:r>
          </w:p>
        </w:tc>
        <w:tc>
          <w:tcPr>
            <w:tcW w:type="dxa" w:w="8496"/>
            <w:vAlign w:val="center"/>
          </w:tcPr>
          <w:p>
            <w:r/>
            <w:r>
              <w:rPr>
                <w:rFonts w:ascii="Aptos" w:hAnsi="Aptos"/>
                <w:b w:val="0"/>
                <w:sz w:val="17"/>
              </w:rPr>
              <w:t>Tipo, versión de texto, valor, fecha/hora, evidencia técnica.</w:t>
            </w:r>
          </w:p>
        </w:tc>
      </w:tr>
      <w:tr>
        <w:trPr>
          <w:cantSplit/>
        </w:trPr>
        <w:tc>
          <w:tcPr>
            <w:tcW w:type="dxa" w:w="2592"/>
            <w:vAlign w:val="center"/>
          </w:tcPr>
          <w:p>
            <w:r>
              <w:t>Diagnóstico</w:t>
            </w:r>
          </w:p>
        </w:tc>
        <w:tc>
          <w:tcPr>
            <w:tcW w:type="dxa" w:w="8496"/>
            <w:vAlign w:val="center"/>
          </w:tcPr>
          <w:p>
            <w:r>
              <w:t>ID interno, ejecución, contacto capturado, versiones, respuestas, score bruto/normalizado, nivel, resultado, acciones, finalización y retención. Acceso público solo en el recorrido activo.</w:t>
            </w:r>
          </w:p>
        </w:tc>
      </w:tr>
      <w:tr>
        <w:trPr>
          <w:cantSplit/>
        </w:trPr>
        <w:tc>
          <w:tcPr>
            <w:tcW w:type="dxa" w:w="2592"/>
            <w:vAlign w:val="center"/>
          </w:tcPr>
          <w:p>
            <w:r/>
            <w:r>
              <w:rPr>
                <w:rFonts w:ascii="Aptos" w:hAnsi="Aptos"/>
                <w:b w:val="0"/>
                <w:sz w:val="17"/>
              </w:rPr>
              <w:t>Recurso digital</w:t>
            </w:r>
          </w:p>
        </w:tc>
        <w:tc>
          <w:tcPr>
            <w:tcW w:type="dxa" w:w="8496"/>
            <w:vAlign w:val="center"/>
          </w:tcPr>
          <w:p>
            <w:r/>
            <w:r>
              <w:rPr>
                <w:rFonts w:ascii="Aptos" w:hAnsi="Aptos"/>
                <w:b w:val="0"/>
                <w:sz w:val="17"/>
              </w:rPr>
              <w:t>ID, nombre, versión, tipo, archivo/ubicación, estado y reglas de acceso.</w:t>
            </w:r>
          </w:p>
        </w:tc>
      </w:tr>
      <w:tr>
        <w:trPr>
          <w:cantSplit/>
        </w:trPr>
        <w:tc>
          <w:tcPr>
            <w:tcW w:type="dxa" w:w="2592"/>
            <w:vAlign w:val="center"/>
          </w:tcPr>
          <w:p>
            <w:r>
              <w:t>Orden/Pago</w:t>
            </w:r>
          </w:p>
        </w:tc>
        <w:tc>
          <w:tcPr>
            <w:tcW w:type="dxa" w:w="8496"/>
            <w:vAlign w:val="center"/>
          </w:tcPr>
          <w:p>
            <w:r>
              <w:t>ID, producto/derecho de entrega, importe, moneda, estado, correo de Stripe Checkout, referencias del pago, paid_at, expires_at = paid_at + 14 días y descargas exitosas/pendientes.</w:t>
            </w:r>
          </w:p>
        </w:tc>
      </w:tr>
      <w:tr>
        <w:trPr>
          <w:cantSplit/>
        </w:trPr>
        <w:tc>
          <w:tcPr>
            <w:tcW w:type="dxa" w:w="2592"/>
            <w:vAlign w:val="center"/>
          </w:tcPr>
          <w:p>
            <w:r/>
            <w:r>
              <w:rPr>
                <w:rFonts w:ascii="Aptos" w:hAnsi="Aptos"/>
                <w:b w:val="0"/>
                <w:sz w:val="17"/>
              </w:rPr>
              <w:t>Magic link</w:t>
            </w:r>
          </w:p>
        </w:tc>
        <w:tc>
          <w:tcPr>
            <w:tcW w:type="dxa" w:w="8496"/>
            <w:vAlign w:val="center"/>
          </w:tcPr>
          <w:p>
            <w:r/>
            <w:r>
              <w:rPr>
                <w:rFonts w:ascii="Aptos" w:hAnsi="Aptos"/>
                <w:b w:val="0"/>
                <w:sz w:val="17"/>
              </w:rPr>
              <w:t>Token hash/identificador, propósito, operación, expiración, usos, revocación.</w:t>
            </w:r>
          </w:p>
        </w:tc>
      </w:tr>
      <w:tr>
        <w:trPr>
          <w:cantSplit/>
        </w:trPr>
        <w:tc>
          <w:tcPr>
            <w:tcW w:type="dxa" w:w="2592"/>
            <w:vAlign w:val="center"/>
          </w:tcPr>
          <w:p>
            <w:r/>
            <w:r>
              <w:rPr>
                <w:rFonts w:ascii="Aptos" w:hAnsi="Aptos"/>
                <w:b w:val="0"/>
                <w:sz w:val="17"/>
              </w:rPr>
              <w:t>Cita</w:t>
            </w:r>
          </w:p>
        </w:tc>
        <w:tc>
          <w:tcPr>
            <w:tcW w:type="dxa" w:w="8496"/>
            <w:vAlign w:val="center"/>
          </w:tcPr>
          <w:p>
            <w:r/>
            <w:r>
              <w:rPr>
                <w:rFonts w:ascii="Aptos" w:hAnsi="Aptos"/>
                <w:b w:val="0"/>
                <w:sz w:val="17"/>
              </w:rPr>
              <w:t>ID, servicio, cliente, horario, estado, Calendar ID, referencia de pago.</w:t>
            </w:r>
          </w:p>
        </w:tc>
      </w:tr>
      <w:tr>
        <w:trPr>
          <w:cantSplit/>
        </w:trPr>
        <w:tc>
          <w:tcPr>
            <w:tcW w:type="dxa" w:w="2592"/>
            <w:vAlign w:val="center"/>
          </w:tcPr>
          <w:p>
            <w:r/>
            <w:r>
              <w:rPr>
                <w:rFonts w:ascii="Aptos" w:hAnsi="Aptos"/>
                <w:b w:val="0"/>
                <w:sz w:val="17"/>
              </w:rPr>
              <w:t>Evento/Inscripción</w:t>
            </w:r>
          </w:p>
        </w:tc>
        <w:tc>
          <w:tcPr>
            <w:tcW w:type="dxa" w:w="8496"/>
            <w:vAlign w:val="center"/>
          </w:tcPr>
          <w:p>
            <w:r/>
            <w:r>
              <w:rPr>
                <w:rFonts w:ascii="Aptos" w:hAnsi="Aptos"/>
                <w:b w:val="0"/>
                <w:sz w:val="17"/>
              </w:rPr>
              <w:t>Evento, fecha, capacidad, precio, inscrito, estado, pago/acceso.</w:t>
            </w:r>
          </w:p>
        </w:tc>
      </w:tr>
      <w:tr>
        <w:trPr>
          <w:cantSplit/>
        </w:trPr>
        <w:tc>
          <w:tcPr>
            <w:tcW w:type="dxa" w:w="2592"/>
            <w:vAlign w:val="center"/>
          </w:tcPr>
          <w:p>
            <w:r/>
            <w:r>
              <w:rPr>
                <w:rFonts w:ascii="Aptos" w:hAnsi="Aptos"/>
                <w:b w:val="0"/>
                <w:sz w:val="17"/>
              </w:rPr>
              <w:t>Factura</w:t>
            </w:r>
          </w:p>
        </w:tc>
        <w:tc>
          <w:tcPr>
            <w:tcW w:type="dxa" w:w="8496"/>
            <w:vAlign w:val="center"/>
          </w:tcPr>
          <w:p>
            <w:r/>
            <w:r>
              <w:rPr>
                <w:rFonts w:ascii="Aptos" w:hAnsi="Aptos"/>
                <w:b w:val="0"/>
                <w:sz w:val="17"/>
              </w:rPr>
              <w:t>Solicitud, datos fiscales, estado, referencia CFDI/PAC, fechas.</w:t>
            </w:r>
          </w:p>
        </w:tc>
      </w:tr>
      <w:tr>
        <w:trPr>
          <w:cantSplit/>
        </w:trPr>
        <w:tc>
          <w:tcPr>
            <w:tcW w:type="dxa" w:w="2592"/>
            <w:vAlign w:val="center"/>
          </w:tcPr>
          <w:p>
            <w:r/>
            <w:r>
              <w:rPr>
                <w:rFonts w:ascii="Aptos" w:hAnsi="Aptos"/>
                <w:b w:val="0"/>
                <w:sz w:val="17"/>
              </w:rPr>
              <w:t>Contenido</w:t>
            </w:r>
          </w:p>
        </w:tc>
        <w:tc>
          <w:tcPr>
            <w:tcW w:type="dxa" w:w="8496"/>
            <w:vAlign w:val="center"/>
          </w:tcPr>
          <w:p>
            <w:r/>
            <w:r>
              <w:rPr>
                <w:rFonts w:ascii="Aptos" w:hAnsi="Aptos"/>
                <w:b w:val="0"/>
                <w:sz w:val="17"/>
              </w:rPr>
              <w:t>Artículo/video/testimonial, estado, fecha, slug/metadatos.</w:t>
            </w:r>
          </w:p>
        </w:tc>
      </w:tr>
      <w:tr>
        <w:trPr>
          <w:cantSplit/>
        </w:trPr>
        <w:tc>
          <w:tcPr>
            <w:tcW w:type="dxa" w:w="2592"/>
            <w:vAlign w:val="center"/>
          </w:tcPr>
          <w:p>
            <w:r/>
            <w:r>
              <w:rPr>
                <w:rFonts w:ascii="Aptos" w:hAnsi="Aptos"/>
                <w:b w:val="0"/>
                <w:sz w:val="17"/>
              </w:rPr>
              <w:t>Auditoría</w:t>
            </w:r>
          </w:p>
        </w:tc>
        <w:tc>
          <w:tcPr>
            <w:tcW w:type="dxa" w:w="8496"/>
            <w:vAlign w:val="center"/>
          </w:tcPr>
          <w:p>
            <w:r/>
            <w:r>
              <w:rPr>
                <w:rFonts w:ascii="Aptos" w:hAnsi="Aptos"/>
                <w:b w:val="0"/>
                <w:sz w:val="17"/>
              </w:rPr>
              <w:t>Actor, acción, objeto, resultado, timestamp y contexto técnico mínimo.</w:t>
            </w:r>
          </w:p>
        </w:tc>
      </w:tr>
    </w:tbl>
    <w:p>
      <w:pPr>
        <w:pStyle w:val="Heading1"/>
        <w:keepNext/>
      </w:pPr>
      <w:r>
        <w:t>10. Integraciones</w:t>
      </w:r>
    </w:p>
    <w:tbl>
      <w:tblPr>
        <w:tblStyle w:val="TableGrid"/>
        <w:tblW w:type="auto" w:w="0"/>
        <w:jc w:val="center"/>
        <w:tblLook w:firstColumn="1" w:firstRow="1" w:lastColumn="0" w:lastRow="0" w:noHBand="0" w:noVBand="1" w:val="04A0"/>
      </w:tblPr>
      <w:tblGrid>
        <w:gridCol w:w="2556"/>
        <w:gridCol w:w="2556"/>
        <w:gridCol w:w="2556"/>
        <w:gridCol w:w="2556"/>
      </w:tblGrid>
      <w:tr>
        <w:trPr>
          <w:tblHeader/>
          <w:cantSplit/>
        </w:trPr>
        <w:tc>
          <w:tcPr>
            <w:tcW w:type="dxa" w:w="2160"/>
            <w:vAlign w:val="center"/>
            <w:shd w:fill="21394F"/>
          </w:tcPr>
          <w:p>
            <w:r/>
            <w:r>
              <w:rPr>
                <w:rFonts w:ascii="Aptos" w:hAnsi="Aptos"/>
                <w:b/>
                <w:color w:val="FFFFFF"/>
                <w:sz w:val="17"/>
              </w:rPr>
              <w:t>Integración</w:t>
            </w:r>
          </w:p>
        </w:tc>
        <w:tc>
          <w:tcPr>
            <w:tcW w:type="dxa" w:w="1008"/>
            <w:vAlign w:val="center"/>
            <w:shd w:fill="21394F"/>
          </w:tcPr>
          <w:p>
            <w:r/>
            <w:r>
              <w:rPr>
                <w:rFonts w:ascii="Aptos" w:hAnsi="Aptos"/>
                <w:b/>
                <w:color w:val="FFFFFF"/>
                <w:sz w:val="17"/>
              </w:rPr>
              <w:t>Fase</w:t>
            </w:r>
          </w:p>
        </w:tc>
        <w:tc>
          <w:tcPr>
            <w:tcW w:type="dxa" w:w="3456"/>
            <w:vAlign w:val="center"/>
            <w:shd w:fill="21394F"/>
          </w:tcPr>
          <w:p>
            <w:r/>
            <w:r>
              <w:rPr>
                <w:rFonts w:ascii="Aptos" w:hAnsi="Aptos"/>
                <w:b/>
                <w:color w:val="FFFFFF"/>
                <w:sz w:val="17"/>
              </w:rPr>
              <w:t>Propósito</w:t>
            </w:r>
          </w:p>
        </w:tc>
        <w:tc>
          <w:tcPr>
            <w:tcW w:type="dxa" w:w="4464"/>
            <w:vAlign w:val="center"/>
            <w:shd w:fill="21394F"/>
          </w:tcPr>
          <w:p>
            <w:r/>
            <w:r>
              <w:rPr>
                <w:rFonts w:ascii="Aptos" w:hAnsi="Aptos"/>
                <w:b/>
                <w:color w:val="FFFFFF"/>
                <w:sz w:val="17"/>
              </w:rPr>
              <w:t>Requisito</w:t>
            </w:r>
          </w:p>
        </w:tc>
      </w:tr>
      <w:tr>
        <w:trPr>
          <w:cantSplit/>
        </w:trPr>
        <w:tc>
          <w:tcPr>
            <w:tcW w:type="dxa" w:w="2160"/>
            <w:vAlign w:val="center"/>
          </w:tcPr>
          <w:p>
            <w:r/>
            <w:r>
              <w:rPr>
                <w:rFonts w:ascii="Aptos" w:hAnsi="Aptos"/>
                <w:b w:val="0"/>
                <w:sz w:val="17"/>
              </w:rPr>
              <w:t>Correo transaccional</w:t>
            </w:r>
          </w:p>
        </w:tc>
        <w:tc>
          <w:tcPr>
            <w:tcW w:type="dxa" w:w="1008"/>
            <w:vAlign w:val="center"/>
          </w:tcPr>
          <w:p>
            <w:r/>
            <w:r>
              <w:rPr>
                <w:rFonts w:ascii="Aptos" w:hAnsi="Aptos"/>
                <w:b w:val="0"/>
                <w:sz w:val="17"/>
              </w:rPr>
              <w:t>A</w:t>
            </w:r>
          </w:p>
        </w:tc>
        <w:tc>
          <w:tcPr>
            <w:tcW w:type="dxa" w:w="3456"/>
            <w:vAlign w:val="center"/>
          </w:tcPr>
          <w:p>
            <w:r/>
            <w:r>
              <w:rPr>
                <w:rFonts w:ascii="Aptos" w:hAnsi="Aptos"/>
                <w:b w:val="0"/>
                <w:sz w:val="17"/>
              </w:rPr>
              <w:t>Entrega, magic links, bajas y notificaciones</w:t>
            </w:r>
          </w:p>
        </w:tc>
        <w:tc>
          <w:tcPr>
            <w:tcW w:type="dxa" w:w="4464"/>
            <w:vAlign w:val="center"/>
          </w:tcPr>
          <w:p>
            <w:r/>
            <w:r>
              <w:rPr>
                <w:rFonts w:ascii="Aptos" w:hAnsi="Aptos"/>
                <w:b w:val="0"/>
                <w:sz w:val="17"/>
              </w:rPr>
              <w:t>Proveedor sustituible; registrar éxito/fallo.</w:t>
            </w:r>
          </w:p>
        </w:tc>
      </w:tr>
      <w:tr>
        <w:trPr>
          <w:cantSplit/>
        </w:trPr>
        <w:tc>
          <w:tcPr>
            <w:tcW w:type="dxa" w:w="2160"/>
            <w:vAlign w:val="center"/>
          </w:tcPr>
          <w:p>
            <w:r/>
            <w:r>
              <w:rPr>
                <w:rFonts w:ascii="Aptos" w:hAnsi="Aptos"/>
                <w:b w:val="0"/>
                <w:sz w:val="17"/>
              </w:rPr>
              <w:t>Analítica</w:t>
            </w:r>
          </w:p>
        </w:tc>
        <w:tc>
          <w:tcPr>
            <w:tcW w:type="dxa" w:w="1008"/>
            <w:vAlign w:val="center"/>
          </w:tcPr>
          <w:p>
            <w:r/>
            <w:r>
              <w:rPr>
                <w:rFonts w:ascii="Aptos" w:hAnsi="Aptos"/>
                <w:b w:val="0"/>
                <w:sz w:val="17"/>
              </w:rPr>
              <w:t>A</w:t>
            </w:r>
          </w:p>
        </w:tc>
        <w:tc>
          <w:tcPr>
            <w:tcW w:type="dxa" w:w="3456"/>
            <w:vAlign w:val="center"/>
          </w:tcPr>
          <w:p>
            <w:r/>
            <w:r>
              <w:rPr>
                <w:rFonts w:ascii="Aptos" w:hAnsi="Aptos"/>
                <w:b w:val="0"/>
                <w:sz w:val="17"/>
              </w:rPr>
              <w:t>Funnel, eventos y errores</w:t>
            </w:r>
          </w:p>
        </w:tc>
        <w:tc>
          <w:tcPr>
            <w:tcW w:type="dxa" w:w="4464"/>
            <w:vAlign w:val="center"/>
          </w:tcPr>
          <w:p>
            <w:r/>
            <w:r>
              <w:rPr>
                <w:rFonts w:ascii="Aptos" w:hAnsi="Aptos"/>
                <w:b w:val="0"/>
                <w:sz w:val="17"/>
              </w:rPr>
              <w:t>No enviar PII sensible innecesaria.</w:t>
            </w:r>
          </w:p>
        </w:tc>
      </w:tr>
      <w:tr>
        <w:trPr>
          <w:cantSplit/>
        </w:trPr>
        <w:tc>
          <w:tcPr>
            <w:tcW w:type="dxa" w:w="2160"/>
            <w:vAlign w:val="center"/>
          </w:tcPr>
          <w:p>
            <w:r/>
            <w:r>
              <w:rPr>
                <w:rFonts w:ascii="Aptos" w:hAnsi="Aptos"/>
                <w:b w:val="0"/>
                <w:sz w:val="17"/>
              </w:rPr>
              <w:t>Object storage</w:t>
            </w:r>
          </w:p>
        </w:tc>
        <w:tc>
          <w:tcPr>
            <w:tcW w:type="dxa" w:w="1008"/>
            <w:vAlign w:val="center"/>
          </w:tcPr>
          <w:p>
            <w:r/>
            <w:r>
              <w:rPr>
                <w:rFonts w:ascii="Aptos" w:hAnsi="Aptos"/>
                <w:b w:val="0"/>
                <w:sz w:val="17"/>
              </w:rPr>
              <w:t>A</w:t>
            </w:r>
          </w:p>
        </w:tc>
        <w:tc>
          <w:tcPr>
            <w:tcW w:type="dxa" w:w="3456"/>
            <w:vAlign w:val="center"/>
          </w:tcPr>
          <w:p>
            <w:r/>
            <w:r>
              <w:rPr>
                <w:rFonts w:ascii="Aptos" w:hAnsi="Aptos"/>
                <w:b w:val="0"/>
                <w:sz w:val="17"/>
              </w:rPr>
              <w:t>PDFs, lead magnets y archivos</w:t>
            </w:r>
          </w:p>
        </w:tc>
        <w:tc>
          <w:tcPr>
            <w:tcW w:type="dxa" w:w="4464"/>
            <w:vAlign w:val="center"/>
          </w:tcPr>
          <w:p>
            <w:r/>
            <w:r>
              <w:rPr>
                <w:rFonts w:ascii="Aptos" w:hAnsi="Aptos"/>
                <w:b w:val="0"/>
                <w:sz w:val="17"/>
              </w:rPr>
              <w:t>Privado; acceso controlado/firmado.</w:t>
            </w:r>
          </w:p>
        </w:tc>
      </w:tr>
      <w:tr>
        <w:trPr>
          <w:cantSplit/>
        </w:trPr>
        <w:tc>
          <w:tcPr>
            <w:tcW w:type="dxa" w:w="2160"/>
            <w:vAlign w:val="center"/>
          </w:tcPr>
          <w:p>
            <w:r/>
            <w:r>
              <w:rPr>
                <w:rFonts w:ascii="Aptos" w:hAnsi="Aptos"/>
                <w:b w:val="0"/>
                <w:sz w:val="17"/>
              </w:rPr>
              <w:t>YouTube/Video</w:t>
            </w:r>
          </w:p>
        </w:tc>
        <w:tc>
          <w:tcPr>
            <w:tcW w:type="dxa" w:w="1008"/>
            <w:vAlign w:val="center"/>
          </w:tcPr>
          <w:p>
            <w:r/>
            <w:r>
              <w:rPr>
                <w:rFonts w:ascii="Aptos" w:hAnsi="Aptos"/>
                <w:b w:val="0"/>
                <w:sz w:val="17"/>
              </w:rPr>
              <w:t>A</w:t>
            </w:r>
          </w:p>
        </w:tc>
        <w:tc>
          <w:tcPr>
            <w:tcW w:type="dxa" w:w="3456"/>
            <w:vAlign w:val="center"/>
          </w:tcPr>
          <w:p>
            <w:r/>
            <w:r>
              <w:rPr>
                <w:rFonts w:ascii="Aptos" w:hAnsi="Aptos"/>
                <w:b w:val="0"/>
                <w:sz w:val="17"/>
              </w:rPr>
              <w:t>Embeds</w:t>
            </w:r>
          </w:p>
        </w:tc>
        <w:tc>
          <w:tcPr>
            <w:tcW w:type="dxa" w:w="4464"/>
            <w:vAlign w:val="center"/>
          </w:tcPr>
          <w:p>
            <w:r/>
            <w:r>
              <w:rPr>
                <w:rFonts w:ascii="Aptos" w:hAnsi="Aptos"/>
                <w:b w:val="0"/>
                <w:sz w:val="17"/>
              </w:rPr>
              <w:t>No almacenar video pesado.</w:t>
            </w:r>
          </w:p>
        </w:tc>
      </w:tr>
      <w:tr>
        <w:trPr>
          <w:cantSplit/>
        </w:trPr>
        <w:tc>
          <w:tcPr>
            <w:tcW w:type="dxa" w:w="2160"/>
            <w:vAlign w:val="center"/>
          </w:tcPr>
          <w:p>
            <w:r/>
            <w:r>
              <w:rPr>
                <w:rFonts w:ascii="Aptos" w:hAnsi="Aptos"/>
                <w:b w:val="0"/>
                <w:sz w:val="17"/>
              </w:rPr>
              <w:t>Stripe</w:t>
            </w:r>
          </w:p>
        </w:tc>
        <w:tc>
          <w:tcPr>
            <w:tcW w:type="dxa" w:w="1008"/>
            <w:vAlign w:val="center"/>
          </w:tcPr>
          <w:p>
            <w:r/>
            <w:r>
              <w:rPr>
                <w:rFonts w:ascii="Aptos" w:hAnsi="Aptos"/>
                <w:b w:val="0"/>
                <w:sz w:val="17"/>
              </w:rPr>
              <w:t>B</w:t>
            </w:r>
          </w:p>
        </w:tc>
        <w:tc>
          <w:tcPr>
            <w:tcW w:type="dxa" w:w="3456"/>
            <w:vAlign w:val="center"/>
          </w:tcPr>
          <w:p>
            <w:r/>
            <w:r>
              <w:rPr>
                <w:rFonts w:ascii="Aptos" w:hAnsi="Aptos"/>
                <w:b w:val="0"/>
                <w:sz w:val="17"/>
              </w:rPr>
              <w:t>Pagos</w:t>
            </w:r>
          </w:p>
        </w:tc>
        <w:tc>
          <w:tcPr>
            <w:tcW w:type="dxa" w:w="4464"/>
            <w:vAlign w:val="center"/>
          </w:tcPr>
          <w:p>
            <w:r/>
            <w:r>
              <w:rPr>
                <w:rFonts w:ascii="Aptos" w:hAnsi="Aptos"/>
                <w:b w:val="0"/>
                <w:sz w:val="17"/>
              </w:rPr>
              <w:t>Webhook validado e idempotente.</w:t>
            </w:r>
          </w:p>
        </w:tc>
      </w:tr>
      <w:tr>
        <w:trPr>
          <w:cantSplit/>
        </w:trPr>
        <w:tc>
          <w:tcPr>
            <w:tcW w:type="dxa" w:w="2160"/>
            <w:vAlign w:val="center"/>
          </w:tcPr>
          <w:p>
            <w:r/>
            <w:r>
              <w:rPr>
                <w:rFonts w:ascii="Aptos" w:hAnsi="Aptos"/>
                <w:b w:val="0"/>
                <w:sz w:val="17"/>
              </w:rPr>
              <w:t>PAC / flujo fiscal</w:t>
            </w:r>
          </w:p>
        </w:tc>
        <w:tc>
          <w:tcPr>
            <w:tcW w:type="dxa" w:w="1008"/>
            <w:vAlign w:val="center"/>
          </w:tcPr>
          <w:p>
            <w:r/>
            <w:r>
              <w:rPr>
                <w:rFonts w:ascii="Aptos" w:hAnsi="Aptos"/>
                <w:b w:val="0"/>
                <w:sz w:val="17"/>
              </w:rPr>
              <w:t>B</w:t>
            </w:r>
          </w:p>
        </w:tc>
        <w:tc>
          <w:tcPr>
            <w:tcW w:type="dxa" w:w="3456"/>
            <w:vAlign w:val="center"/>
          </w:tcPr>
          <w:p>
            <w:r/>
            <w:r>
              <w:rPr>
                <w:rFonts w:ascii="Aptos" w:hAnsi="Aptos"/>
                <w:b w:val="0"/>
                <w:sz w:val="17"/>
              </w:rPr>
              <w:t>CFDI</w:t>
            </w:r>
          </w:p>
        </w:tc>
        <w:tc>
          <w:tcPr>
            <w:tcW w:type="dxa" w:w="4464"/>
            <w:vAlign w:val="center"/>
          </w:tcPr>
          <w:p>
            <w:r/>
            <w:r>
              <w:rPr>
                <w:rFonts w:ascii="Aptos" w:hAnsi="Aptos"/>
                <w:b w:val="0"/>
                <w:sz w:val="17"/>
              </w:rPr>
              <w:t>Puede iniciar manual/semi-automático; debe conservar trazabilidad.</w:t>
            </w:r>
          </w:p>
        </w:tc>
      </w:tr>
      <w:tr>
        <w:trPr>
          <w:cantSplit/>
        </w:trPr>
        <w:tc>
          <w:tcPr>
            <w:tcW w:type="dxa" w:w="2160"/>
            <w:vAlign w:val="center"/>
          </w:tcPr>
          <w:p>
            <w:r/>
            <w:r>
              <w:rPr>
                <w:rFonts w:ascii="Aptos" w:hAnsi="Aptos"/>
                <w:b w:val="0"/>
                <w:sz w:val="17"/>
              </w:rPr>
              <w:t>Google Calendar</w:t>
            </w:r>
          </w:p>
        </w:tc>
        <w:tc>
          <w:tcPr>
            <w:tcW w:type="dxa" w:w="1008"/>
            <w:vAlign w:val="center"/>
          </w:tcPr>
          <w:p>
            <w:r/>
            <w:r>
              <w:rPr>
                <w:rFonts w:ascii="Aptos" w:hAnsi="Aptos"/>
                <w:b w:val="0"/>
                <w:sz w:val="17"/>
              </w:rPr>
              <w:t>C</w:t>
            </w:r>
          </w:p>
        </w:tc>
        <w:tc>
          <w:tcPr>
            <w:tcW w:type="dxa" w:w="3456"/>
            <w:vAlign w:val="center"/>
          </w:tcPr>
          <w:p>
            <w:r/>
            <w:r>
              <w:rPr>
                <w:rFonts w:ascii="Aptos" w:hAnsi="Aptos"/>
                <w:b w:val="0"/>
                <w:sz w:val="17"/>
              </w:rPr>
              <w:t>Disponibilidad y citas</w:t>
            </w:r>
          </w:p>
        </w:tc>
        <w:tc>
          <w:tcPr>
            <w:tcW w:type="dxa" w:w="4464"/>
            <w:vAlign w:val="center"/>
          </w:tcPr>
          <w:p>
            <w:r/>
            <w:r>
              <w:rPr>
                <w:rFonts w:ascii="Aptos" w:hAnsi="Aptos"/>
                <w:b w:val="0"/>
                <w:sz w:val="17"/>
              </w:rPr>
              <w:t>Crear/actualizar/cancelar eventos de forma consistente.</w:t>
            </w:r>
          </w:p>
        </w:tc>
      </w:tr>
    </w:tbl>
    <w:p>
      <w:pPr>
        <w:pStyle w:val="Heading1"/>
        <w:keepNext/>
      </w:pPr>
      <w:r>
        <w:t>11. Requerimientos no funcionales</w:t>
      </w:r>
    </w:p>
    <w:tbl>
      <w:tblPr>
        <w:tblStyle w:val="TableGrid"/>
        <w:tblW w:type="auto" w:w="0"/>
        <w:jc w:val="center"/>
        <w:tblLook w:firstColumn="1" w:firstRow="1" w:lastColumn="0" w:lastRow="0" w:noHBand="0" w:noVBand="1" w:val="04A0"/>
      </w:tblPr>
      <w:tblGrid>
        <w:gridCol w:w="3408"/>
        <w:gridCol w:w="3408"/>
        <w:gridCol w:w="3408"/>
      </w:tblGrid>
      <w:tr>
        <w:trPr>
          <w:tblHeader/>
          <w:cantSplit/>
        </w:trPr>
        <w:tc>
          <w:tcPr>
            <w:tcW w:type="dxa" w:w="1296"/>
            <w:vAlign w:val="center"/>
            <w:shd w:fill="21394F"/>
          </w:tcPr>
          <w:p>
            <w:r/>
            <w:r>
              <w:rPr>
                <w:rFonts w:ascii="Aptos" w:hAnsi="Aptos"/>
                <w:b/>
                <w:color w:val="FFFFFF"/>
                <w:sz w:val="17"/>
              </w:rPr>
              <w:t>ID</w:t>
            </w:r>
          </w:p>
        </w:tc>
        <w:tc>
          <w:tcPr>
            <w:tcW w:type="dxa" w:w="2016"/>
            <w:vAlign w:val="center"/>
            <w:shd w:fill="21394F"/>
          </w:tcPr>
          <w:p>
            <w:r/>
            <w:r>
              <w:rPr>
                <w:rFonts w:ascii="Aptos" w:hAnsi="Aptos"/>
                <w:b/>
                <w:color w:val="FFFFFF"/>
                <w:sz w:val="17"/>
              </w:rPr>
              <w:t>Categoría</w:t>
            </w:r>
          </w:p>
        </w:tc>
        <w:tc>
          <w:tcPr>
            <w:tcW w:type="dxa" w:w="7488"/>
            <w:vAlign w:val="center"/>
            <w:shd w:fill="21394F"/>
          </w:tcPr>
          <w:p>
            <w:r/>
            <w:r>
              <w:rPr>
                <w:rFonts w:ascii="Aptos" w:hAnsi="Aptos"/>
                <w:b/>
                <w:color w:val="FFFFFF"/>
                <w:sz w:val="17"/>
              </w:rPr>
              <w:t>Requisito</w:t>
            </w:r>
          </w:p>
        </w:tc>
      </w:tr>
      <w:tr>
        <w:trPr>
          <w:cantSplit/>
        </w:trPr>
        <w:tc>
          <w:tcPr>
            <w:tcW w:type="dxa" w:w="1296"/>
            <w:vAlign w:val="center"/>
          </w:tcPr>
          <w:p>
            <w:r/>
            <w:r>
              <w:rPr>
                <w:rFonts w:ascii="Aptos" w:hAnsi="Aptos"/>
                <w:b w:val="0"/>
                <w:sz w:val="17"/>
              </w:rPr>
              <w:t>RNF-01</w:t>
            </w:r>
          </w:p>
        </w:tc>
        <w:tc>
          <w:tcPr>
            <w:tcW w:type="dxa" w:w="2016"/>
            <w:vAlign w:val="center"/>
          </w:tcPr>
          <w:p>
            <w:r/>
            <w:r>
              <w:rPr>
                <w:rFonts w:ascii="Aptos" w:hAnsi="Aptos"/>
                <w:b w:val="0"/>
                <w:sz w:val="17"/>
              </w:rPr>
              <w:t>Seguridad</w:t>
            </w:r>
          </w:p>
        </w:tc>
        <w:tc>
          <w:tcPr>
            <w:tcW w:type="dxa" w:w="7488"/>
            <w:vAlign w:val="center"/>
          </w:tcPr>
          <w:p>
            <w:r/>
            <w:r>
              <w:rPr>
                <w:rFonts w:ascii="Aptos" w:hAnsi="Aptos"/>
                <w:b w:val="0"/>
                <w:sz w:val="17"/>
              </w:rPr>
              <w:t>HTTPS; secretos fuera del código; backoffice autenticado; tokens opacos; validación de webhook; rate limiting en endpoints sensibles.</w:t>
            </w:r>
          </w:p>
        </w:tc>
      </w:tr>
      <w:tr>
        <w:trPr>
          <w:cantSplit/>
        </w:trPr>
        <w:tc>
          <w:tcPr>
            <w:tcW w:type="dxa" w:w="1296"/>
            <w:vAlign w:val="center"/>
          </w:tcPr>
          <w:p>
            <w:r/>
            <w:r>
              <w:rPr>
                <w:rFonts w:ascii="Aptos" w:hAnsi="Aptos"/>
                <w:b w:val="0"/>
                <w:sz w:val="17"/>
              </w:rPr>
              <w:t>RNF-02</w:t>
            </w:r>
          </w:p>
        </w:tc>
        <w:tc>
          <w:tcPr>
            <w:tcW w:type="dxa" w:w="2016"/>
            <w:vAlign w:val="center"/>
          </w:tcPr>
          <w:p>
            <w:r/>
            <w:r>
              <w:rPr>
                <w:rFonts w:ascii="Aptos" w:hAnsi="Aptos"/>
                <w:b w:val="0"/>
                <w:sz w:val="17"/>
              </w:rPr>
              <w:t>Privacidad</w:t>
            </w:r>
          </w:p>
        </w:tc>
        <w:tc>
          <w:tcPr>
            <w:tcW w:type="dxa" w:w="7488"/>
            <w:vAlign w:val="center"/>
          </w:tcPr>
          <w:p>
            <w:r/>
            <w:r>
              <w:rPr>
                <w:rFonts w:ascii="Aptos" w:hAnsi="Aptos"/>
                <w:b w:val="0"/>
                <w:sz w:val="17"/>
              </w:rPr>
              <w:t>Minimización; consentimiento por finalidad; unsubscribe; retención configurable; separación de correos transaccionales y comerciales.</w:t>
            </w:r>
          </w:p>
        </w:tc>
      </w:tr>
      <w:tr>
        <w:trPr>
          <w:cantSplit/>
        </w:trPr>
        <w:tc>
          <w:tcPr>
            <w:tcW w:type="dxa" w:w="1296"/>
            <w:vAlign w:val="center"/>
          </w:tcPr>
          <w:p>
            <w:r/>
            <w:r>
              <w:rPr>
                <w:rFonts w:ascii="Aptos" w:hAnsi="Aptos"/>
                <w:b w:val="0"/>
                <w:sz w:val="17"/>
              </w:rPr>
              <w:t>RNF-03</w:t>
            </w:r>
          </w:p>
        </w:tc>
        <w:tc>
          <w:tcPr>
            <w:tcW w:type="dxa" w:w="2016"/>
            <w:vAlign w:val="center"/>
          </w:tcPr>
          <w:p>
            <w:r/>
            <w:r>
              <w:rPr>
                <w:rFonts w:ascii="Aptos" w:hAnsi="Aptos"/>
                <w:b w:val="0"/>
                <w:sz w:val="17"/>
              </w:rPr>
              <w:t>Accesibilidad</w:t>
            </w:r>
          </w:p>
        </w:tc>
        <w:tc>
          <w:tcPr>
            <w:tcW w:type="dxa" w:w="7488"/>
            <w:vAlign w:val="center"/>
          </w:tcPr>
          <w:p>
            <w:r/>
            <w:r>
              <w:rPr>
                <w:rFonts w:ascii="Aptos" w:hAnsi="Aptos"/>
                <w:b w:val="0"/>
                <w:sz w:val="17"/>
              </w:rPr>
              <w:t>Objetivo WCAG 2.2 AA para navegación, formularios, contraste, teclado y mensajes de error.</w:t>
            </w:r>
          </w:p>
        </w:tc>
      </w:tr>
      <w:tr>
        <w:trPr>
          <w:cantSplit/>
        </w:trPr>
        <w:tc>
          <w:tcPr>
            <w:tcW w:type="dxa" w:w="1296"/>
            <w:vAlign w:val="center"/>
          </w:tcPr>
          <w:p>
            <w:r/>
            <w:r>
              <w:rPr>
                <w:rFonts w:ascii="Aptos" w:hAnsi="Aptos"/>
                <w:b w:val="0"/>
                <w:sz w:val="17"/>
              </w:rPr>
              <w:t>RNF-04</w:t>
            </w:r>
          </w:p>
        </w:tc>
        <w:tc>
          <w:tcPr>
            <w:tcW w:type="dxa" w:w="2016"/>
            <w:vAlign w:val="center"/>
          </w:tcPr>
          <w:p>
            <w:r/>
            <w:r>
              <w:rPr>
                <w:rFonts w:ascii="Aptos" w:hAnsi="Aptos"/>
                <w:b w:val="0"/>
                <w:sz w:val="17"/>
              </w:rPr>
              <w:t>Performance</w:t>
            </w:r>
          </w:p>
        </w:tc>
        <w:tc>
          <w:tcPr>
            <w:tcW w:type="dxa" w:w="7488"/>
            <w:vAlign w:val="center"/>
          </w:tcPr>
          <w:p>
            <w:r/>
            <w:r>
              <w:rPr>
                <w:rFonts w:ascii="Aptos" w:hAnsi="Aptos"/>
                <w:b w:val="0"/>
                <w:sz w:val="17"/>
              </w:rPr>
              <w:t>Objetivo Core Web Vitals: LCP &lt; 2.5 s, INP &lt; 200 ms, CLS &lt; 0.1 en condiciones razonables de producción.</w:t>
            </w:r>
          </w:p>
        </w:tc>
      </w:tr>
      <w:tr>
        <w:trPr>
          <w:cantSplit/>
        </w:trPr>
        <w:tc>
          <w:tcPr>
            <w:tcW w:type="dxa" w:w="1296"/>
            <w:vAlign w:val="center"/>
          </w:tcPr>
          <w:p>
            <w:r/>
            <w:r>
              <w:rPr>
                <w:rFonts w:ascii="Aptos" w:hAnsi="Aptos"/>
                <w:b w:val="0"/>
                <w:sz w:val="17"/>
              </w:rPr>
              <w:t>RNF-05</w:t>
            </w:r>
          </w:p>
        </w:tc>
        <w:tc>
          <w:tcPr>
            <w:tcW w:type="dxa" w:w="2016"/>
            <w:vAlign w:val="center"/>
          </w:tcPr>
          <w:p>
            <w:r/>
            <w:r>
              <w:rPr>
                <w:rFonts w:ascii="Aptos" w:hAnsi="Aptos"/>
                <w:b w:val="0"/>
                <w:sz w:val="17"/>
              </w:rPr>
              <w:t>SEO</w:t>
            </w:r>
          </w:p>
        </w:tc>
        <w:tc>
          <w:tcPr>
            <w:tcW w:type="dxa" w:w="7488"/>
            <w:vAlign w:val="center"/>
          </w:tcPr>
          <w:p>
            <w:r/>
            <w:r>
              <w:rPr>
                <w:rFonts w:ascii="Aptos" w:hAnsi="Aptos"/>
                <w:b w:val="0"/>
                <w:sz w:val="17"/>
              </w:rPr>
              <w:t>URLs legibles, sitemap, robots, canonical, metadata y OpenGraph; artículos indexables.</w:t>
            </w:r>
          </w:p>
        </w:tc>
      </w:tr>
      <w:tr>
        <w:trPr>
          <w:cantSplit/>
        </w:trPr>
        <w:tc>
          <w:tcPr>
            <w:tcW w:type="dxa" w:w="1296"/>
            <w:vAlign w:val="center"/>
          </w:tcPr>
          <w:p>
            <w:r/>
            <w:r>
              <w:rPr>
                <w:rFonts w:ascii="Aptos" w:hAnsi="Aptos"/>
                <w:b w:val="0"/>
                <w:sz w:val="17"/>
              </w:rPr>
              <w:t>RNF-06</w:t>
            </w:r>
          </w:p>
        </w:tc>
        <w:tc>
          <w:tcPr>
            <w:tcW w:type="dxa" w:w="2016"/>
            <w:vAlign w:val="center"/>
          </w:tcPr>
          <w:p>
            <w:r/>
            <w:r>
              <w:rPr>
                <w:rFonts w:ascii="Aptos" w:hAnsi="Aptos"/>
                <w:b w:val="0"/>
                <w:sz w:val="17"/>
              </w:rPr>
              <w:t>Observabilidad</w:t>
            </w:r>
          </w:p>
        </w:tc>
        <w:tc>
          <w:tcPr>
            <w:tcW w:type="dxa" w:w="7488"/>
            <w:vAlign w:val="center"/>
          </w:tcPr>
          <w:p>
            <w:r/>
            <w:r>
              <w:rPr>
                <w:rFonts w:ascii="Aptos" w:hAnsi="Aptos"/>
                <w:b w:val="0"/>
                <w:sz w:val="17"/>
              </w:rPr>
              <w:t>Logs de aplicación, errores y operaciones críticas; alertas proporcionales a cada fase.</w:t>
            </w:r>
          </w:p>
        </w:tc>
      </w:tr>
      <w:tr>
        <w:trPr>
          <w:cantSplit/>
        </w:trPr>
        <w:tc>
          <w:tcPr>
            <w:tcW w:type="dxa" w:w="1296"/>
            <w:vAlign w:val="center"/>
          </w:tcPr>
          <w:p>
            <w:r/>
            <w:r>
              <w:rPr>
                <w:rFonts w:ascii="Aptos" w:hAnsi="Aptos"/>
                <w:b w:val="0"/>
                <w:sz w:val="17"/>
              </w:rPr>
              <w:t>RNF-07</w:t>
            </w:r>
          </w:p>
        </w:tc>
        <w:tc>
          <w:tcPr>
            <w:tcW w:type="dxa" w:w="2016"/>
            <w:vAlign w:val="center"/>
          </w:tcPr>
          <w:p>
            <w:r/>
            <w:r>
              <w:rPr>
                <w:rFonts w:ascii="Aptos" w:hAnsi="Aptos"/>
                <w:b w:val="0"/>
                <w:sz w:val="17"/>
              </w:rPr>
              <w:t>Disponibilidad</w:t>
            </w:r>
          </w:p>
        </w:tc>
        <w:tc>
          <w:tcPr>
            <w:tcW w:type="dxa" w:w="7488"/>
            <w:vAlign w:val="center"/>
          </w:tcPr>
          <w:p>
            <w:r/>
            <w:r>
              <w:rPr>
                <w:rFonts w:ascii="Aptos" w:hAnsi="Aptos"/>
                <w:b w:val="0"/>
                <w:sz w:val="17"/>
              </w:rPr>
              <w:t>Backups de datos operativos y procedimiento de restauración probado antes de monetización.</w:t>
            </w:r>
          </w:p>
        </w:tc>
      </w:tr>
      <w:tr>
        <w:trPr>
          <w:cantSplit/>
        </w:trPr>
        <w:tc>
          <w:tcPr>
            <w:tcW w:type="dxa" w:w="1296"/>
            <w:vAlign w:val="center"/>
          </w:tcPr>
          <w:p>
            <w:r/>
            <w:r>
              <w:rPr>
                <w:rFonts w:ascii="Aptos" w:hAnsi="Aptos"/>
                <w:b w:val="0"/>
                <w:sz w:val="17"/>
              </w:rPr>
              <w:t>RNF-08</w:t>
            </w:r>
          </w:p>
        </w:tc>
        <w:tc>
          <w:tcPr>
            <w:tcW w:type="dxa" w:w="2016"/>
            <w:vAlign w:val="center"/>
          </w:tcPr>
          <w:p>
            <w:r/>
            <w:r>
              <w:rPr>
                <w:rFonts w:ascii="Aptos" w:hAnsi="Aptos"/>
                <w:b w:val="0"/>
                <w:sz w:val="17"/>
              </w:rPr>
              <w:t>Mantenibilidad</w:t>
            </w:r>
          </w:p>
        </w:tc>
        <w:tc>
          <w:tcPr>
            <w:tcW w:type="dxa" w:w="7488"/>
            <w:vAlign w:val="center"/>
          </w:tcPr>
          <w:p>
            <w:r/>
            <w:r>
              <w:rPr>
                <w:rFonts w:ascii="Aptos" w:hAnsi="Aptos"/>
                <w:b w:val="0"/>
                <w:sz w:val="17"/>
              </w:rPr>
              <w:t>Arquitectura modular; configuración por ambiente; migraciones controladas; pruebas automatizadas para flujos críticos.</w:t>
            </w:r>
          </w:p>
        </w:tc>
      </w:tr>
      <w:tr>
        <w:trPr>
          <w:cantSplit/>
        </w:trPr>
        <w:tc>
          <w:tcPr>
            <w:tcW w:type="dxa" w:w="1296"/>
            <w:vAlign w:val="center"/>
          </w:tcPr>
          <w:p>
            <w:r/>
            <w:r>
              <w:rPr>
                <w:rFonts w:ascii="Aptos" w:hAnsi="Aptos"/>
                <w:b w:val="0"/>
                <w:sz w:val="17"/>
              </w:rPr>
              <w:t>RNF-09</w:t>
            </w:r>
          </w:p>
        </w:tc>
        <w:tc>
          <w:tcPr>
            <w:tcW w:type="dxa" w:w="2016"/>
            <w:vAlign w:val="center"/>
          </w:tcPr>
          <w:p>
            <w:r/>
            <w:r>
              <w:rPr>
                <w:rFonts w:ascii="Aptos" w:hAnsi="Aptos"/>
                <w:b w:val="0"/>
                <w:sz w:val="17"/>
              </w:rPr>
              <w:t>Responsive</w:t>
            </w:r>
          </w:p>
        </w:tc>
        <w:tc>
          <w:tcPr>
            <w:tcW w:type="dxa" w:w="7488"/>
            <w:vAlign w:val="center"/>
          </w:tcPr>
          <w:p>
            <w:r/>
            <w:r>
              <w:rPr>
                <w:rFonts w:ascii="Aptos" w:hAnsi="Aptos"/>
                <w:b w:val="0"/>
                <w:sz w:val="17"/>
              </w:rPr>
              <w:t>Experiencia funcional en móvil, tablet y desktop; prioridad móvil para formularios y Check.</w:t>
            </w:r>
          </w:p>
        </w:tc>
      </w:tr>
      <w:tr>
        <w:trPr>
          <w:cantSplit/>
        </w:trPr>
        <w:tc>
          <w:tcPr>
            <w:tcW w:type="dxa" w:w="1296"/>
            <w:vAlign w:val="center"/>
          </w:tcPr>
          <w:p>
            <w:r/>
            <w:r>
              <w:rPr>
                <w:rFonts w:ascii="Aptos" w:hAnsi="Aptos"/>
                <w:b w:val="0"/>
                <w:sz w:val="17"/>
              </w:rPr>
              <w:t>RNF-10</w:t>
            </w:r>
          </w:p>
        </w:tc>
        <w:tc>
          <w:tcPr>
            <w:tcW w:type="dxa" w:w="2016"/>
            <w:vAlign w:val="center"/>
          </w:tcPr>
          <w:p>
            <w:r/>
            <w:r>
              <w:rPr>
                <w:rFonts w:ascii="Aptos" w:hAnsi="Aptos"/>
                <w:b w:val="0"/>
                <w:sz w:val="17"/>
              </w:rPr>
              <w:t>Idempotencia</w:t>
            </w:r>
          </w:p>
        </w:tc>
        <w:tc>
          <w:tcPr>
            <w:tcW w:type="dxa" w:w="7488"/>
            <w:vAlign w:val="center"/>
          </w:tcPr>
          <w:p>
            <w:r/>
            <w:r>
              <w:rPr>
                <w:rFonts w:ascii="Aptos" w:hAnsi="Aptos"/>
                <w:b w:val="0"/>
                <w:sz w:val="17"/>
              </w:rPr>
              <w:t>Webhooks, generación de entregas y acciones operativas sensibles no deberán duplicarse ante reintentos.</w:t>
            </w:r>
          </w:p>
        </w:tc>
      </w:tr>
    </w:tbl>
    <w:p>
      <w:pPr>
        <w:pStyle w:val="Heading1"/>
        <w:keepNext/>
      </w:pPr>
      <w:r>
        <w:t>12. Privacidad y retención</w:t>
      </w:r>
    </w:p>
    <w:p>
      <w:r>
        <w:t>La aplicación deberá operar con políticas de retención configurables y documentadas. Para el MVP se adoptan los siguientes valores de trabajo, sujetos a validación legal antes de producción:</w:t>
      </w:r>
    </w:p>
    <w:tbl>
      <w:tblPr>
        <w:tblStyle w:val="TableGrid"/>
        <w:tblW w:type="auto" w:w="0"/>
        <w:jc w:val="center"/>
        <w:tblLook w:firstColumn="1" w:firstRow="1" w:lastColumn="0" w:lastRow="0" w:noHBand="0" w:noVBand="1" w:val="04A0"/>
      </w:tblPr>
      <w:tblGrid>
        <w:gridCol w:w="3408"/>
        <w:gridCol w:w="3408"/>
        <w:gridCol w:w="3408"/>
      </w:tblGrid>
      <w:tr>
        <w:trPr>
          <w:tblHeader/>
          <w:cantSplit/>
        </w:trPr>
        <w:tc>
          <w:tcPr>
            <w:tcW w:type="dxa" w:w="2880"/>
            <w:vAlign w:val="center"/>
            <w:shd w:fill="21394F"/>
          </w:tcPr>
          <w:p>
            <w:r/>
            <w:r>
              <w:rPr>
                <w:rFonts w:ascii="Aptos" w:hAnsi="Aptos"/>
                <w:b/>
                <w:color w:val="FFFFFF"/>
                <w:sz w:val="17"/>
              </w:rPr>
              <w:t>Conjunto</w:t>
            </w:r>
          </w:p>
        </w:tc>
        <w:tc>
          <w:tcPr>
            <w:tcW w:type="dxa" w:w="3600"/>
            <w:vAlign w:val="center"/>
            <w:shd w:fill="21394F"/>
          </w:tcPr>
          <w:p>
            <w:r/>
            <w:r>
              <w:rPr>
                <w:rFonts w:ascii="Aptos" w:hAnsi="Aptos"/>
                <w:b/>
                <w:color w:val="FFFFFF"/>
                <w:sz w:val="17"/>
              </w:rPr>
              <w:t>Retención de trabajo</w:t>
            </w:r>
          </w:p>
        </w:tc>
        <w:tc>
          <w:tcPr>
            <w:tcW w:type="dxa" w:w="4320"/>
            <w:vAlign w:val="center"/>
            <w:shd w:fill="21394F"/>
          </w:tcPr>
          <w:p>
            <w:r/>
            <w:r>
              <w:rPr>
                <w:rFonts w:ascii="Aptos" w:hAnsi="Aptos"/>
                <w:b/>
                <w:color w:val="FFFFFF"/>
                <w:sz w:val="17"/>
              </w:rPr>
              <w:t>Regla</w:t>
            </w:r>
          </w:p>
        </w:tc>
      </w:tr>
      <w:tr>
        <w:trPr>
          <w:cantSplit/>
        </w:trPr>
        <w:tc>
          <w:tcPr>
            <w:tcW w:type="dxa" w:w="2880"/>
            <w:vAlign w:val="center"/>
          </w:tcPr>
          <w:p>
            <w:r>
              <w:t>Leads sin relación posterior</w:t>
            </w:r>
          </w:p>
        </w:tc>
        <w:tc>
          <w:tcPr>
            <w:tcW w:type="dxa" w:w="3600"/>
            <w:vAlign w:val="center"/>
          </w:tcPr>
          <w:p>
            <w:r>
              <w:t>Captura del Check: 12 meses desde finalización. Otros leads: valor de trabajo 24 meses desde última interacción.</w:t>
            </w:r>
          </w:p>
        </w:tc>
        <w:tc>
          <w:tcPr>
            <w:tcW w:type="dxa" w:w="4320"/>
            <w:vAlign w:val="center"/>
          </w:tcPr>
          <w:p>
            <w:r>
              <w:t>No prolongar el diagnóstico por otra interacción. Una finalidad independiente conserva solo los datos necesarios bajo su propia política.</w:t>
            </w:r>
          </w:p>
        </w:tc>
      </w:tr>
      <w:tr>
        <w:trPr>
          <w:cantSplit/>
        </w:trPr>
        <w:tc>
          <w:tcPr>
            <w:tcW w:type="dxa" w:w="2880"/>
            <w:vAlign w:val="center"/>
          </w:tcPr>
          <w:p>
            <w:r/>
            <w:r>
              <w:rPr>
                <w:rFonts w:ascii="Aptos" w:hAnsi="Aptos"/>
                <w:b w:val="0"/>
                <w:sz w:val="17"/>
              </w:rPr>
              <w:t>Consentimiento comercial</w:t>
            </w:r>
          </w:p>
        </w:tc>
        <w:tc>
          <w:tcPr>
            <w:tcW w:type="dxa" w:w="3600"/>
            <w:vAlign w:val="center"/>
          </w:tcPr>
          <w:p>
            <w:r/>
            <w:r>
              <w:rPr>
                <w:rFonts w:ascii="Aptos" w:hAnsi="Aptos"/>
                <w:b w:val="0"/>
                <w:sz w:val="17"/>
              </w:rPr>
              <w:t>Hasta baja/oposición o 24 meses de inactividad</w:t>
            </w:r>
          </w:p>
        </w:tc>
        <w:tc>
          <w:tcPr>
            <w:tcW w:type="dxa" w:w="4320"/>
            <w:vAlign w:val="center"/>
          </w:tcPr>
          <w:p>
            <w:r/>
            <w:r>
              <w:rPr>
                <w:rFonts w:ascii="Aptos" w:hAnsi="Aptos"/>
                <w:b w:val="0"/>
                <w:sz w:val="17"/>
              </w:rPr>
              <w:t>La baja comercial debe conservar evidencia mínima de supresión.</w:t>
            </w:r>
          </w:p>
        </w:tc>
      </w:tr>
      <w:tr>
        <w:trPr>
          <w:cantSplit/>
        </w:trPr>
        <w:tc>
          <w:tcPr>
            <w:tcW w:type="dxa" w:w="2880"/>
            <w:vAlign w:val="center"/>
          </w:tcPr>
          <w:p>
            <w:r>
              <w:t>Respuestas/diagnóstico Check</w:t>
            </w:r>
          </w:p>
        </w:tc>
        <w:tc>
          <w:tcPr>
            <w:tcW w:type="dxa" w:w="3600"/>
            <w:vAlign w:val="center"/>
          </w:tcPr>
          <w:p>
            <w:r>
              <w:t>Contacto, respuestas y resultado: 12 meses desde finalización.</w:t>
            </w:r>
          </w:p>
        </w:tc>
        <w:tc>
          <w:tcPr>
            <w:tcW w:type="dxa" w:w="4320"/>
            <w:vAlign w:val="center"/>
          </w:tcPr>
          <w:p>
            <w:r>
              <w:t>Conservación interna para análisis y seguimiento autorizado; luego anonimizar/eliminar. Sin recuperación del visitante; validar privacidad antes de producción.</w:t>
            </w:r>
          </w:p>
        </w:tc>
      </w:tr>
      <w:tr>
        <w:trPr>
          <w:cantSplit/>
        </w:trPr>
        <w:tc>
          <w:tcPr>
            <w:tcW w:type="dxa" w:w="2880"/>
            <w:vAlign w:val="center"/>
          </w:tcPr>
          <w:p>
            <w:r/>
            <w:r>
              <w:rPr>
                <w:rFonts w:ascii="Aptos" w:hAnsi="Aptos"/>
                <w:b w:val="0"/>
                <w:sz w:val="17"/>
              </w:rPr>
              <w:t>Órdenes/pagos/CFDI</w:t>
            </w:r>
          </w:p>
        </w:tc>
        <w:tc>
          <w:tcPr>
            <w:tcW w:type="dxa" w:w="3600"/>
            <w:vAlign w:val="center"/>
          </w:tcPr>
          <w:p>
            <w:r/>
            <w:r>
              <w:rPr>
                <w:rFonts w:ascii="Aptos" w:hAnsi="Aptos"/>
                <w:b w:val="0"/>
                <w:sz w:val="17"/>
              </w:rPr>
              <w:t>Conforme a obligaciones fiscales/contables aplicables</w:t>
            </w:r>
          </w:p>
        </w:tc>
        <w:tc>
          <w:tcPr>
            <w:tcW w:type="dxa" w:w="4320"/>
            <w:vAlign w:val="center"/>
          </w:tcPr>
          <w:p>
            <w:r/>
            <w:r>
              <w:rPr>
                <w:rFonts w:ascii="Aptos" w:hAnsi="Aptos"/>
                <w:b w:val="0"/>
                <w:sz w:val="17"/>
              </w:rPr>
              <w:t>No se eliminan por baja comercial.</w:t>
            </w:r>
          </w:p>
        </w:tc>
      </w:tr>
      <w:tr>
        <w:trPr>
          <w:cantSplit/>
        </w:trPr>
        <w:tc>
          <w:tcPr>
            <w:tcW w:type="dxa" w:w="2880"/>
            <w:vAlign w:val="center"/>
          </w:tcPr>
          <w:p>
            <w:r/>
            <w:r>
              <w:rPr>
                <w:rFonts w:ascii="Aptos" w:hAnsi="Aptos"/>
                <w:b w:val="0"/>
                <w:sz w:val="17"/>
              </w:rPr>
              <w:t>Comentarios/solicitudes</w:t>
            </w:r>
          </w:p>
        </w:tc>
        <w:tc>
          <w:tcPr>
            <w:tcW w:type="dxa" w:w="3600"/>
            <w:vAlign w:val="center"/>
          </w:tcPr>
          <w:p>
            <w:r/>
            <w:r>
              <w:rPr>
                <w:rFonts w:ascii="Aptos" w:hAnsi="Aptos"/>
                <w:b w:val="0"/>
                <w:sz w:val="17"/>
              </w:rPr>
              <w:t>12 meses después del cierre</w:t>
            </w:r>
          </w:p>
        </w:tc>
        <w:tc>
          <w:tcPr>
            <w:tcW w:type="dxa" w:w="4320"/>
            <w:vAlign w:val="center"/>
          </w:tcPr>
          <w:p>
            <w:r/>
            <w:r>
              <w:rPr>
                <w:rFonts w:ascii="Aptos" w:hAnsi="Aptos"/>
                <w:b w:val="0"/>
                <w:sz w:val="17"/>
              </w:rPr>
              <w:t>Extensible si existe relación o controversia activa.</w:t>
            </w:r>
          </w:p>
        </w:tc>
      </w:tr>
    </w:tbl>
    <w:p>
      <w:pPr>
        <w:pStyle w:val="Heading1"/>
        <w:keepNext/>
      </w:pPr>
      <w:r>
        <w:t>13. Eventos analíticos mínimos</w:t>
      </w:r>
    </w:p>
    <w:tbl>
      <w:tblPr>
        <w:tblStyle w:val="TableGrid"/>
        <w:tblW w:type="auto" w:w="0"/>
        <w:jc w:val="center"/>
        <w:tblLook w:firstColumn="1" w:firstRow="1" w:lastColumn="0" w:lastRow="0" w:noHBand="0" w:noVBand="1" w:val="04A0"/>
      </w:tblPr>
      <w:tblGrid>
        <w:gridCol w:w="5112"/>
        <w:gridCol w:w="5112"/>
      </w:tblGrid>
      <w:tr>
        <w:trPr>
          <w:tblHeader/>
          <w:cantSplit/>
        </w:trPr>
        <w:tc>
          <w:tcPr>
            <w:tcW w:type="dxa" w:w="3312"/>
            <w:vAlign w:val="center"/>
            <w:shd w:fill="21394F"/>
          </w:tcPr>
          <w:p>
            <w:r/>
            <w:r>
              <w:rPr>
                <w:rFonts w:ascii="Aptos" w:hAnsi="Aptos"/>
                <w:b/>
                <w:color w:val="FFFFFF"/>
                <w:sz w:val="17"/>
              </w:rPr>
              <w:t>Evento</w:t>
            </w:r>
          </w:p>
        </w:tc>
        <w:tc>
          <w:tcPr>
            <w:tcW w:type="dxa" w:w="7488"/>
            <w:vAlign w:val="center"/>
            <w:shd w:fill="21394F"/>
          </w:tcPr>
          <w:p>
            <w:r/>
            <w:r>
              <w:rPr>
                <w:rFonts w:ascii="Aptos" w:hAnsi="Aptos"/>
                <w:b/>
                <w:color w:val="FFFFFF"/>
                <w:sz w:val="17"/>
              </w:rPr>
              <w:t>Cuándo</w:t>
            </w:r>
          </w:p>
        </w:tc>
      </w:tr>
      <w:tr>
        <w:trPr>
          <w:cantSplit/>
        </w:trPr>
        <w:tc>
          <w:tcPr>
            <w:tcW w:type="dxa" w:w="3312"/>
            <w:vAlign w:val="center"/>
          </w:tcPr>
          <w:p>
            <w:r/>
            <w:r>
              <w:rPr>
                <w:rFonts w:ascii="Aptos" w:hAnsi="Aptos"/>
                <w:b w:val="0"/>
                <w:sz w:val="17"/>
              </w:rPr>
              <w:t>PAGE_VIEW</w:t>
            </w:r>
          </w:p>
        </w:tc>
        <w:tc>
          <w:tcPr>
            <w:tcW w:type="dxa" w:w="7488"/>
            <w:vAlign w:val="center"/>
          </w:tcPr>
          <w:p>
            <w:r/>
            <w:r>
              <w:rPr>
                <w:rFonts w:ascii="Aptos" w:hAnsi="Aptos"/>
                <w:b w:val="0"/>
                <w:sz w:val="17"/>
              </w:rPr>
              <w:t>Carga de página pública</w:t>
            </w:r>
          </w:p>
        </w:tc>
      </w:tr>
      <w:tr>
        <w:trPr>
          <w:cantSplit/>
        </w:trPr>
        <w:tc>
          <w:tcPr>
            <w:tcW w:type="dxa" w:w="3312"/>
            <w:vAlign w:val="center"/>
          </w:tcPr>
          <w:p>
            <w:r/>
            <w:r>
              <w:rPr>
                <w:rFonts w:ascii="Aptos" w:hAnsi="Aptos"/>
                <w:b w:val="0"/>
                <w:sz w:val="17"/>
              </w:rPr>
              <w:t xml:space="preserve">CTA_CLICK</w:t>
            </w:r>
          </w:p>
        </w:tc>
        <w:tc>
          <w:tcPr>
            <w:tcW w:type="dxa" w:w="7488"/>
            <w:vAlign w:val="center"/>
          </w:tcPr>
          <w:p>
            <w:r/>
            <w:r>
              <w:rPr>
                <w:rFonts w:ascii="Aptos" w:hAnsi="Aptos"/>
                <w:b w:val="0"/>
                <w:sz w:val="17"/>
              </w:rPr>
              <w:t xml:space="preserve">Clic en un CTA principal (Home, artículo, calculadora, resultado)</w:t>
            </w:r>
          </w:p>
        </w:tc>
      </w:tr>
      <w:tr>
        <w:trPr>
          <w:cantSplit/>
        </w:trPr>
        <w:tc>
          <w:tcPr>
            <w:tcW w:type="dxa" w:w="3312"/>
            <w:vAlign w:val="center"/>
          </w:tcPr>
          <w:p>
            <w:r/>
            <w:r>
              <w:rPr>
                <w:rFonts w:ascii="Aptos" w:hAnsi="Aptos"/>
                <w:b w:val="0"/>
                <w:sz w:val="17"/>
              </w:rPr>
              <w:t>TOOL_STARTED / TOOL_COMPLETED</w:t>
            </w:r>
          </w:p>
        </w:tc>
        <w:tc>
          <w:tcPr>
            <w:tcW w:type="dxa" w:w="7488"/>
            <w:vAlign w:val="center"/>
          </w:tcPr>
          <w:p>
            <w:r/>
            <w:r>
              <w:rPr>
                <w:rFonts w:ascii="Aptos" w:hAnsi="Aptos"/>
                <w:b w:val="0"/>
                <w:sz w:val="17"/>
              </w:rPr>
              <w:t>Inicio/finalización de calculadora</w:t>
            </w:r>
          </w:p>
        </w:tc>
      </w:tr>
      <w:tr>
        <w:trPr>
          <w:cantSplit/>
        </w:trPr>
        <w:tc>
          <w:tcPr>
            <w:tcW w:type="dxa" w:w="3312"/>
            <w:vAlign w:val="center"/>
          </w:tcPr>
          <w:p>
            <w:r/>
            <w:r>
              <w:rPr>
                <w:rFonts w:ascii="Aptos" w:hAnsi="Aptos"/>
                <w:b w:val="0"/>
                <w:sz w:val="17"/>
              </w:rPr>
              <w:t>CHECK_STARTED / CHECK_COMPLETED</w:t>
            </w:r>
          </w:p>
        </w:tc>
        <w:tc>
          <w:tcPr>
            <w:tcW w:type="dxa" w:w="7488"/>
            <w:vAlign w:val="center"/>
          </w:tcPr>
          <w:p>
            <w:r/>
            <w:r>
              <w:rPr>
                <w:rFonts w:ascii="Aptos" w:hAnsi="Aptos"/>
                <w:b w:val="0"/>
                <w:sz w:val="17"/>
              </w:rPr>
              <w:t>Inicio/finalización de preguntas</w:t>
            </w:r>
          </w:p>
        </w:tc>
      </w:tr>
      <w:tr>
        <w:trPr>
          <w:cantSplit/>
        </w:trPr>
        <w:tc>
          <w:tcPr>
            <w:tcW w:type="dxa" w:w="3312"/>
            <w:vAlign w:val="center"/>
          </w:tcPr>
          <w:p>
            <w:r>
              <w:t>DIAGNOSIS_RELEASED</w:t>
            </w:r>
          </w:p>
        </w:tc>
        <w:tc>
          <w:tcPr>
            <w:tcW w:type="dxa" w:w="7488"/>
            <w:vAlign w:val="center"/>
          </w:tcPr>
          <w:p>
            <w:r>
              <w:t>Resultado habilitado tras envío válido y persistencia; una vez por diagnóstico, sin magic link.</w:t>
            </w:r>
          </w:p>
        </w:tc>
      </w:tr>
      <w:tr>
        <w:trPr>
          <w:cantSplit/>
        </w:trPr>
        <w:tc>
          <w:tcPr>
            <w:tcW w:type="dxa" w:w="3312"/>
            <w:vAlign w:val="center"/>
          </w:tcPr>
          <w:p>
            <w:r>
              <w:t>PDF_DOWNLOADED</w:t>
            </w:r>
          </w:p>
        </w:tc>
        <w:tc>
          <w:tcPr>
            <w:tcW w:type="dxa" w:w="7488"/>
            <w:vAlign w:val="center"/>
          </w:tcPr>
          <w:p>
            <w:r>
              <w:t>Entrega completada del PDF en el recorrido activo del Check; reintentos diferenciados de resultados únicos.</w:t>
            </w:r>
          </w:p>
        </w:tc>
      </w:tr>
      <w:tr>
        <w:trPr>
          <w:cantSplit/>
        </w:trPr>
        <w:tc>
          <w:tcPr>
            <w:tcW w:type="dxa" w:w="3312"/>
            <w:vAlign w:val="center"/>
          </w:tcPr>
          <w:p>
            <w:r>
              <w:t>LEAD_CREATED</w:t>
            </w:r>
          </w:p>
        </w:tc>
        <w:tc>
          <w:tcPr>
            <w:tcW w:type="dxa" w:w="7488"/>
            <w:vAlign w:val="center"/>
          </w:tcPr>
          <w:p>
            <w:r>
              <w:t>Solo creación de un lead nuevo; nunca actualización de uno existente.</w:t>
            </w:r>
          </w:p>
        </w:tc>
      </w:tr>
      <w:tr>
        <w:trPr>
          <w:cantSplit/>
        </w:trPr>
        <w:tc>
          <w:tcPr>
            <w:tcW w:type="dxa" w:w="3312"/>
            <w:vAlign w:val="center"/>
          </w:tcPr>
          <w:p>
            <w:r/>
            <w:r>
              <w:rPr>
                <w:rFonts w:ascii="Aptos" w:hAnsi="Aptos"/>
                <w:b w:val="0"/>
                <w:sz w:val="17"/>
              </w:rPr>
              <w:t>LEADMAGNET_DELIVERED</w:t>
            </w:r>
          </w:p>
        </w:tc>
        <w:tc>
          <w:tcPr>
            <w:tcW w:type="dxa" w:w="7488"/>
            <w:vAlign w:val="center"/>
          </w:tcPr>
          <w:p>
            <w:r/>
            <w:r>
              <w:rPr>
                <w:rFonts w:ascii="Aptos" w:hAnsi="Aptos"/>
                <w:b w:val="0"/>
                <w:sz w:val="17"/>
              </w:rPr>
              <w:t>Entrega de recurso gratuito</w:t>
            </w:r>
          </w:p>
        </w:tc>
      </w:tr>
      <w:tr>
        <w:trPr>
          <w:cantSplit/>
        </w:trPr>
        <w:tc>
          <w:tcPr>
            <w:tcW w:type="dxa" w:w="3312"/>
            <w:vAlign w:val="center"/>
          </w:tcPr>
          <w:p>
            <w:r/>
            <w:r>
              <w:rPr>
                <w:rFonts w:ascii="Aptos" w:hAnsi="Aptos"/>
                <w:b w:val="0"/>
                <w:sz w:val="17"/>
              </w:rPr>
              <w:t>ORIENTATION_REQUESTED</w:t>
            </w:r>
          </w:p>
        </w:tc>
        <w:tc>
          <w:tcPr>
            <w:tcW w:type="dxa" w:w="7488"/>
            <w:vAlign w:val="center"/>
          </w:tcPr>
          <w:p>
            <w:r/>
            <w:r>
              <w:rPr>
                <w:rFonts w:ascii="Aptos" w:hAnsi="Aptos"/>
                <w:b w:val="0"/>
                <w:sz w:val="17"/>
              </w:rPr>
              <w:t>Solicitud de orientación desde Check</w:t>
            </w:r>
          </w:p>
        </w:tc>
      </w:tr>
      <w:tr>
        <w:trPr>
          <w:cantSplit/>
        </w:trPr>
        <w:tc>
          <w:tcPr>
            <w:tcW w:type="dxa" w:w="3312"/>
            <w:vAlign w:val="center"/>
          </w:tcPr>
          <w:p>
            <w:r/>
            <w:r>
              <w:rPr>
                <w:rFonts w:ascii="Aptos" w:hAnsi="Aptos"/>
                <w:b w:val="0"/>
                <w:sz w:val="17"/>
              </w:rPr>
              <w:t>PRODUCT_VIEWED</w:t>
            </w:r>
          </w:p>
        </w:tc>
        <w:tc>
          <w:tcPr>
            <w:tcW w:type="dxa" w:w="7488"/>
            <w:vAlign w:val="center"/>
          </w:tcPr>
          <w:p>
            <w:r/>
            <w:r>
              <w:rPr>
                <w:rFonts w:ascii="Aptos" w:hAnsi="Aptos"/>
                <w:b w:val="0"/>
                <w:sz w:val="17"/>
              </w:rPr>
              <w:t>Vista de recurso de pago</w:t>
            </w:r>
          </w:p>
        </w:tc>
      </w:tr>
      <w:tr>
        <w:trPr>
          <w:cantSplit/>
        </w:trPr>
        <w:tc>
          <w:tcPr>
            <w:tcW w:type="dxa" w:w="3312"/>
            <w:vAlign w:val="center"/>
          </w:tcPr>
          <w:p>
            <w:r/>
            <w:r>
              <w:rPr>
                <w:rFonts w:ascii="Aptos" w:hAnsi="Aptos"/>
                <w:b w:val="0"/>
                <w:sz w:val="17"/>
              </w:rPr>
              <w:t>CHECKOUT_STARTED</w:t>
            </w:r>
          </w:p>
        </w:tc>
        <w:tc>
          <w:tcPr>
            <w:tcW w:type="dxa" w:w="7488"/>
            <w:vAlign w:val="center"/>
          </w:tcPr>
          <w:p>
            <w:r/>
            <w:r>
              <w:rPr>
                <w:rFonts w:ascii="Aptos" w:hAnsi="Aptos"/>
                <w:b w:val="0"/>
                <w:sz w:val="17"/>
              </w:rPr>
              <w:t>Inicio de Stripe Checkout</w:t>
            </w:r>
          </w:p>
        </w:tc>
      </w:tr>
      <w:tr>
        <w:trPr>
          <w:cantSplit/>
        </w:trPr>
        <w:tc>
          <w:tcPr>
            <w:tcW w:type="dxa" w:w="3312"/>
            <w:vAlign w:val="center"/>
          </w:tcPr>
          <w:p>
            <w:r/>
            <w:r>
              <w:rPr>
                <w:rFonts w:ascii="Aptos" w:hAnsi="Aptos"/>
                <w:b w:val="0"/>
                <w:sz w:val="17"/>
              </w:rPr>
              <w:t>PAYMENT_CONFIRMED</w:t>
            </w:r>
          </w:p>
        </w:tc>
        <w:tc>
          <w:tcPr>
            <w:tcW w:type="dxa" w:w="7488"/>
            <w:vAlign w:val="center"/>
          </w:tcPr>
          <w:p>
            <w:r/>
            <w:r>
              <w:rPr>
                <w:rFonts w:ascii="Aptos" w:hAnsi="Aptos"/>
                <w:b w:val="0"/>
                <w:sz w:val="17"/>
              </w:rPr>
              <w:t>Webhook válido confirma pago</w:t>
            </w:r>
          </w:p>
        </w:tc>
      </w:tr>
      <w:tr>
        <w:trPr>
          <w:cantSplit/>
        </w:trPr>
        <w:tc>
          <w:tcPr>
            <w:tcW w:type="dxa" w:w="3312"/>
            <w:vAlign w:val="center"/>
          </w:tcPr>
          <w:p>
            <w:r/>
            <w:r>
              <w:rPr>
                <w:rFonts w:ascii="Aptos" w:hAnsi="Aptos"/>
                <w:b w:val="0"/>
                <w:sz w:val="17"/>
              </w:rPr>
              <w:t>DOWNLOAD_GRANTED</w:t>
            </w:r>
          </w:p>
        </w:tc>
        <w:tc>
          <w:tcPr>
            <w:tcW w:type="dxa" w:w="7488"/>
            <w:vAlign w:val="center"/>
          </w:tcPr>
          <w:p>
            <w:r/>
            <w:r>
              <w:rPr>
                <w:rFonts w:ascii="Aptos" w:hAnsi="Aptos"/>
                <w:b w:val="0"/>
                <w:sz w:val="17"/>
              </w:rPr>
              <w:t>Acceso de descarga generado</w:t>
            </w:r>
          </w:p>
        </w:tc>
      </w:tr>
      <w:tr>
        <w:trPr>
          <w:cantSplit/>
        </w:trPr>
        <w:tc>
          <w:tcPr>
            <w:tcW w:type="dxa" w:w="3312"/>
            <w:vAlign w:val="center"/>
          </w:tcPr>
          <w:p>
            <w:r/>
            <w:r>
              <w:rPr>
                <w:rFonts w:ascii="Aptos" w:hAnsi="Aptos"/>
                <w:b w:val="0"/>
                <w:sz w:val="17"/>
              </w:rPr>
              <w:t>INVOICE_REQUESTED</w:t>
            </w:r>
          </w:p>
        </w:tc>
        <w:tc>
          <w:tcPr>
            <w:tcW w:type="dxa" w:w="7488"/>
            <w:vAlign w:val="center"/>
          </w:tcPr>
          <w:p>
            <w:r/>
            <w:r>
              <w:rPr>
                <w:rFonts w:ascii="Aptos" w:hAnsi="Aptos"/>
                <w:b w:val="0"/>
                <w:sz w:val="17"/>
              </w:rPr>
              <w:t>Solicitud de CFDI</w:t>
            </w:r>
          </w:p>
        </w:tc>
      </w:tr>
      <w:tr>
        <w:trPr>
          <w:cantSplit/>
        </w:trPr>
        <w:tc>
          <w:tcPr>
            <w:tcW w:type="dxa" w:w="3312"/>
            <w:vAlign w:val="center"/>
          </w:tcPr>
          <w:p>
            <w:r/>
            <w:r>
              <w:rPr>
                <w:rFonts w:ascii="Aptos" w:hAnsi="Aptos"/>
                <w:b w:val="0"/>
                <w:sz w:val="17"/>
              </w:rPr>
              <w:t>APPOINTMENT_BOOKED</w:t>
            </w:r>
          </w:p>
        </w:tc>
        <w:tc>
          <w:tcPr>
            <w:tcW w:type="dxa" w:w="7488"/>
            <w:vAlign w:val="center"/>
          </w:tcPr>
          <w:p>
            <w:r/>
            <w:r>
              <w:rPr>
                <w:rFonts w:ascii="Aptos" w:hAnsi="Aptos"/>
                <w:b w:val="0"/>
                <w:sz w:val="17"/>
              </w:rPr>
              <w:t>Cita confirmada</w:t>
            </w:r>
          </w:p>
        </w:tc>
      </w:tr>
      <w:tr>
        <w:trPr>
          <w:cantSplit/>
        </w:trPr>
        <w:tc>
          <w:tcPr>
            <w:tcW w:type="dxa" w:w="3312"/>
            <w:vAlign w:val="center"/>
          </w:tcPr>
          <w:p>
            <w:r/>
            <w:r>
              <w:rPr>
                <w:rFonts w:ascii="Aptos" w:hAnsi="Aptos"/>
                <w:b w:val="0"/>
                <w:sz w:val="17"/>
              </w:rPr>
              <w:t>EVENT_REGISTERED</w:t>
            </w:r>
          </w:p>
        </w:tc>
        <w:tc>
          <w:tcPr>
            <w:tcW w:type="dxa" w:w="7488"/>
            <w:vAlign w:val="center"/>
          </w:tcPr>
          <w:p>
            <w:r/>
            <w:r>
              <w:rPr>
                <w:rFonts w:ascii="Aptos" w:hAnsi="Aptos"/>
                <w:b w:val="0"/>
                <w:sz w:val="17"/>
              </w:rPr>
              <w:t>Inscripción confirmada</w:t>
            </w:r>
          </w:p>
        </w:tc>
      </w:tr>
      <w:tr>
        <w:trPr>
          <w:cantSplit/>
        </w:trPr>
        <w:tc>
          <w:tcPr>
            <w:tcW w:type="dxa" w:w="3312"/>
            <w:vAlign w:val="center"/>
          </w:tcPr>
          <w:p>
            <w:r/>
            <w:r>
              <w:rPr>
                <w:rFonts w:ascii="Aptos" w:hAnsi="Aptos"/>
                <w:b w:val="0"/>
                <w:sz w:val="17"/>
              </w:rPr>
              <w:t>FORM_SUBMITTED</w:t>
            </w:r>
          </w:p>
        </w:tc>
        <w:tc>
          <w:tcPr>
            <w:tcW w:type="dxa" w:w="7488"/>
            <w:vAlign w:val="center"/>
          </w:tcPr>
          <w:p>
            <w:r/>
            <w:r>
              <w:rPr>
                <w:rFonts w:ascii="Aptos" w:hAnsi="Aptos"/>
                <w:b w:val="0"/>
                <w:sz w:val="17"/>
              </w:rPr>
              <w:t>Comentario/solicitud enviado</w:t>
            </w:r>
          </w:p>
        </w:tc>
      </w:tr>
      <w:tr>
        <w:trPr>
          <w:cantSplit/>
        </w:trPr>
        <w:tc>
          <w:tcPr>
            <w:tcW w:type="dxa" w:w="3312"/>
            <w:vAlign w:val="center"/>
          </w:tcPr>
          <w:p>
            <w:r/>
            <w:r>
              <w:rPr>
                <w:rFonts w:ascii="Aptos" w:hAnsi="Aptos"/>
                <w:b w:val="0"/>
                <w:sz w:val="17"/>
              </w:rPr>
              <w:t>ERROR_OPERATIONAL</w:t>
            </w:r>
          </w:p>
        </w:tc>
        <w:tc>
          <w:tcPr>
            <w:tcW w:type="dxa" w:w="7488"/>
            <w:vAlign w:val="center"/>
          </w:tcPr>
          <w:p>
            <w:r/>
            <w:r>
              <w:rPr>
                <w:rFonts w:ascii="Aptos" w:hAnsi="Aptos"/>
                <w:b w:val="0"/>
                <w:sz w:val="17"/>
              </w:rPr>
              <w:t>Error relevante de flujo</w:t>
            </w:r>
          </w:p>
        </w:tc>
      </w:tr>
      <w:tr>
        <w:trPr>
          <w:cantSplit/>
        </w:trPr>
        <w:tc>
          <w:tcPr>
            <w:tcW w:type="dxa" w:w="3312"/>
            <w:vAlign w:val="center"/>
          </w:tcPr>
          <w:p>
            <w:r>
              <w:t>MAGICLINK_REQUESTED</w:t>
            </w:r>
          </w:p>
        </w:tc>
        <w:tc>
          <w:tcPr>
            <w:tcW w:type="dxa" w:w="7488"/>
            <w:vAlign w:val="center"/>
          </w:tcPr>
          <w:p>
            <w:r>
              <w:t>Solicitud de reemisión de compra u otro propósito habilitado; excluye Check.</w:t>
            </w:r>
          </w:p>
        </w:tc>
      </w:tr>
      <w:tr>
        <w:trPr>
          <w:cantSplit/>
        </w:trPr>
        <w:tc>
          <w:tcPr>
            <w:tcW w:type="dxa" w:w="3312"/>
            <w:vAlign w:val="center"/>
          </w:tcPr>
          <w:p>
            <w:r/>
            <w:r>
              <w:rPr>
                <w:rFonts w:ascii="Aptos" w:hAnsi="Aptos"/>
                <w:b w:val="0"/>
                <w:sz w:val="17"/>
              </w:rPr>
              <w:t xml:space="preserve">EMAIL_FAILED</w:t>
            </w:r>
          </w:p>
        </w:tc>
        <w:tc>
          <w:tcPr>
            <w:tcW w:type="dxa" w:w="7488"/>
            <w:vAlign w:val="center"/>
          </w:tcPr>
          <w:p>
            <w:r/>
            <w:r>
              <w:rPr>
                <w:rFonts w:ascii="Aptos" w:hAnsi="Aptos"/>
                <w:b w:val="0"/>
                <w:sz w:val="17"/>
              </w:rPr>
              <w:t xml:space="preserve">Fallo o rebote en un correo transaccional</w:t>
            </w:r>
          </w:p>
        </w:tc>
      </w:tr>
      <w:tr>
        <w:trPr>
          <w:cantSplit/>
        </w:trPr>
        <w:tc>
          <w:tcPr>
            <w:tcW w:type="dxa" w:w="5112"/>
          </w:tcPr>
          <w:p>
            <w:r>
              <w:t>CHECK_CONTACT_SUBMITTED</w:t>
            </w:r>
          </w:p>
        </w:tc>
        <w:tc>
          <w:tcPr>
            <w:tcW w:type="dxa" w:w="5112"/>
          </w:tcPr>
          <w:p>
            <w:r>
              <w:t>Captura válida asociada a la ejecución del Check, incluyendo lead ya existente.</w:t>
            </w:r>
          </w:p>
        </w:tc>
      </w:tr>
      <w:tr>
        <w:trPr>
          <w:cantSplit/>
        </w:trPr>
        <w:tc>
          <w:tcPr>
            <w:tcW w:type="dxa" w:w="5112"/>
          </w:tcPr>
          <w:p>
            <w:r>
              <w:t>PAID_DOWNLOAD_COMPLETED</w:t>
            </w:r>
          </w:p>
        </w:tc>
        <w:tc>
          <w:tcPr>
            <w:tcW w:type="dxa" w:w="5112"/>
          </w:tcPr>
          <w:p>
            <w:r>
              <w:t>Entrega exitosa de archivo comprado; incrementa contador conforme a RN-007.</w:t>
            </w:r>
          </w:p>
        </w:tc>
      </w:tr>
    </w:tbl>
    <w:p>
      <w:pPr>
        <w:pStyle w:val="Heading1"/>
        <w:keepNext/>
      </w:pPr>
      <w:r>
        <w:t>14. Hipótesis y gates de validación</w:t>
      </w:r>
    </w:p>
    <w:tbl>
      <w:tblPr>
        <w:tblStyle w:val="TableGrid"/>
        <w:tblW w:type="auto" w:w="0"/>
        <w:jc w:val="center"/>
        <w:tblLook w:firstColumn="1" w:firstRow="1" w:lastColumn="0" w:lastRow="0" w:noHBand="0" w:noVBand="1" w:val="04A0"/>
      </w:tblPr>
      <w:tblGrid>
        <w:gridCol w:w="3408"/>
        <w:gridCol w:w="3408"/>
        <w:gridCol w:w="3408"/>
      </w:tblGrid>
      <w:tr>
        <w:trPr>
          <w:tblHeader/>
          <w:cantSplit/>
        </w:trPr>
        <w:tc>
          <w:tcPr>
            <w:tcW w:type="dxa" w:w="1440"/>
            <w:vAlign w:val="center"/>
            <w:shd w:fill="21394F"/>
          </w:tcPr>
          <w:p>
            <w:r/>
            <w:r>
              <w:rPr>
                <w:rFonts w:ascii="Aptos" w:hAnsi="Aptos"/>
                <w:b/>
                <w:color w:val="FFFFFF"/>
                <w:sz w:val="17"/>
              </w:rPr>
              <w:t>Fase</w:t>
            </w:r>
          </w:p>
        </w:tc>
        <w:tc>
          <w:tcPr>
            <w:tcW w:type="dxa" w:w="2880"/>
            <w:vAlign w:val="center"/>
            <w:shd w:fill="21394F"/>
          </w:tcPr>
          <w:p>
            <w:r/>
            <w:r>
              <w:rPr>
                <w:rFonts w:ascii="Aptos" w:hAnsi="Aptos"/>
                <w:b/>
                <w:color w:val="FFFFFF"/>
                <w:sz w:val="17"/>
              </w:rPr>
              <w:t>Muestra</w:t>
            </w:r>
          </w:p>
        </w:tc>
        <w:tc>
          <w:tcPr>
            <w:tcW w:type="dxa" w:w="6912"/>
            <w:vAlign w:val="center"/>
            <w:shd w:fill="21394F"/>
          </w:tcPr>
          <w:p>
            <w:r/>
            <w:r>
              <w:rPr>
                <w:rFonts w:ascii="Aptos" w:hAnsi="Aptos"/>
                <w:b/>
                <w:color w:val="FFFFFF"/>
                <w:sz w:val="17"/>
              </w:rPr>
              <w:t>Gate</w:t>
            </w:r>
          </w:p>
        </w:tc>
      </w:tr>
      <w:tr>
        <w:trPr>
          <w:cantSplit/>
        </w:trPr>
        <w:tc>
          <w:tcPr>
            <w:tcW w:type="dxa" w:w="1440"/>
            <w:vAlign w:val="center"/>
          </w:tcPr>
          <w:p>
            <w:r/>
            <w:r>
              <w:rPr>
                <w:rFonts w:ascii="Aptos" w:hAnsi="Aptos"/>
                <w:b w:val="0"/>
                <w:sz w:val="17"/>
              </w:rPr>
              <w:t>A</w:t>
            </w:r>
          </w:p>
        </w:tc>
        <w:tc>
          <w:tcPr>
            <w:tcW w:type="dxa" w:w="2880"/>
            <w:vAlign w:val="center"/>
          </w:tcPr>
          <w:p>
            <w:r/>
            <w:r>
              <w:rPr>
                <w:rFonts w:ascii="Aptos" w:hAnsi="Aptos"/>
                <w:b w:val="0"/>
                <w:sz w:val="17"/>
              </w:rPr>
              <w:t xml:space="preserve">≥ 500 sesiones calificadas (definición en RF-A13)</w:t>
            </w:r>
          </w:p>
        </w:tc>
        <w:tc>
          <w:tcPr>
            <w:tcW w:type="dxa" w:w="6912"/>
            <w:vAlign w:val="center"/>
          </w:tcPr>
          <w:p>
            <w:r/>
            <w:r>
              <w:rPr>
                <w:rFonts w:ascii="Aptos" w:hAnsi="Aptos"/>
                <w:b w:val="0"/>
                <w:sz w:val="17"/>
              </w:rPr>
              <w:t>Visitante→lead ≥5%; Check finalizado ≥40% entre quienes lo inician; ≥15 diagnósticos liberados; ≥3 solicitudes de orientación; sin incidentes graves de datos/seguridad.</w:t>
            </w:r>
          </w:p>
        </w:tc>
      </w:tr>
      <w:tr>
        <w:trPr>
          <w:cantSplit/>
        </w:trPr>
        <w:tc>
          <w:tcPr>
            <w:tcW w:type="dxa" w:w="1440"/>
            <w:vAlign w:val="center"/>
          </w:tcPr>
          <w:p>
            <w:r/>
            <w:r>
              <w:rPr>
                <w:rFonts w:ascii="Aptos" w:hAnsi="Aptos"/>
                <w:b w:val="0"/>
                <w:sz w:val="17"/>
              </w:rPr>
              <w:t>B</w:t>
            </w:r>
          </w:p>
        </w:tc>
        <w:tc>
          <w:tcPr>
            <w:tcW w:type="dxa" w:w="2880"/>
            <w:vAlign w:val="center"/>
          </w:tcPr>
          <w:p>
            <w:r/>
            <w:r>
              <w:rPr>
                <w:rFonts w:ascii="Aptos" w:hAnsi="Aptos"/>
                <w:b w:val="0"/>
                <w:sz w:val="17"/>
              </w:rPr>
              <w:t>≥ 100 vistas calificadas de recursos de pago</w:t>
            </w:r>
          </w:p>
        </w:tc>
        <w:tc>
          <w:tcPr>
            <w:tcW w:type="dxa" w:w="6912"/>
            <w:vAlign w:val="center"/>
          </w:tcPr>
          <w:p>
            <w:r/>
            <w:r>
              <w:rPr>
                <w:rFonts w:ascii="Aptos" w:hAnsi="Aptos"/>
                <w:b w:val="0"/>
                <w:sz w:val="17"/>
              </w:rPr>
              <w:t>≥5 compras reales de al menos 3 compradores distintos; 0 fallos de entrega sin resolver &gt;24 h; flujo fiscal operativo.</w:t>
            </w:r>
          </w:p>
        </w:tc>
      </w:tr>
      <w:tr>
        <w:trPr>
          <w:cantSplit/>
        </w:trPr>
        <w:tc>
          <w:tcPr>
            <w:tcW w:type="dxa" w:w="1440"/>
            <w:vAlign w:val="center"/>
          </w:tcPr>
          <w:p>
            <w:r/>
            <w:r>
              <w:rPr>
                <w:rFonts w:ascii="Aptos" w:hAnsi="Aptos"/>
                <w:b w:val="0"/>
                <w:sz w:val="17"/>
              </w:rPr>
              <w:t>C</w:t>
            </w:r>
          </w:p>
        </w:tc>
        <w:tc>
          <w:tcPr>
            <w:tcW w:type="dxa" w:w="2880"/>
            <w:vAlign w:val="center"/>
          </w:tcPr>
          <w:p>
            <w:r/>
            <w:r>
              <w:rPr>
                <w:rFonts w:ascii="Aptos" w:hAnsi="Aptos"/>
                <w:b w:val="0"/>
                <w:sz w:val="17"/>
              </w:rPr>
              <w:t>≥50 leads calificados expuestos a oferta</w:t>
            </w:r>
          </w:p>
        </w:tc>
        <w:tc>
          <w:tcPr>
            <w:tcW w:type="dxa" w:w="6912"/>
            <w:vAlign w:val="center"/>
          </w:tcPr>
          <w:p>
            <w:r/>
            <w:r>
              <w:rPr>
                <w:rFonts w:ascii="Aptos" w:hAnsi="Aptos"/>
                <w:b w:val="0"/>
                <w:sz w:val="17"/>
              </w:rPr>
              <w:t>≥3 sesiones o inscripciones pagadas; 0 conflictos críticos de agenda; políticas de servicio probadas.</w:t>
            </w:r>
          </w:p>
        </w:tc>
      </w:tr>
    </w:tbl>
    <w:p>
      <w:pPr>
        <w:pStyle w:val="Heading1"/>
        <w:keepNext/>
      </w:pPr>
      <w:r>
        <w:t>15. Criterios de aceptación del BRD</w:t>
      </w:r>
    </w:p>
    <w:p>
      <w:pPr>
        <w:pStyle w:val="ListBullet"/>
        <w:spacing w:after="20"/>
      </w:pPr>
      <w:r>
        <w:t>El alcance A/B/C puede trazarse a requerimientos funcionales concretos.</w:t>
      </w:r>
    </w:p>
    <w:p>
      <w:pPr>
        <w:pStyle w:val="ListBullet"/>
        <w:spacing w:after="20"/>
      </w:pPr>
      <w:r>
        <w:t>Check v1.3 conserva preguntas, opciones, puntuación, niveles y catálogo aprobados. Su captura y entrega cumplen RN-005, RF-A05 y RF-A17; el contenido del informe cumple RN-016 y sección 7.2.</w:t>
      </w:r>
    </w:p>
    <w:p>
      <w:pPr>
        <w:pStyle w:val="ListBullet"/>
        <w:spacing w:after="20"/>
      </w:pPr>
      <w:r>
        <w:t>No existe dependencia funcional de cuentas públicas de usuario.</w:t>
      </w:r>
    </w:p>
    <w:p>
      <w:pPr>
        <w:pStyle w:val="ListBullet"/>
        <w:spacing w:after="20"/>
      </w:pPr>
      <w:r>
        <w:t>Check inmediato sin recuperación pública. Compras y otros propósitos habilitados conservan magic links; compras cumplen RN-007.</w:t>
      </w:r>
    </w:p>
    <w:p>
      <w:pPr>
        <w:pStyle w:val="ListBullet"/>
        <w:spacing w:after="20"/>
      </w:pPr>
      <w:r>
        <w:t>Privacidad, consentimientos, facturación y analítica están representados como capacidades y entidades.</w:t>
      </w:r>
    </w:p>
    <w:p>
      <w:pPr>
        <w:pStyle w:val="ListBullet"/>
        <w:spacing w:after="20"/>
      </w:pPr>
      <w:r>
        <w:t>Las decisiones que solo afectan Fase B o C no bloquean el desarrollo de Fase A.</w:t>
      </w:r>
    </w:p>
    <w:p>
      <w:pPr>
        <w:pStyle w:val="ListBullet"/>
        <w:spacing w:after="20"/>
      </w:pPr>
      <w:r>
        <w:t>Los requerimientos definidos permiten derivar sitemap, arquitectura y backlog. Los flujos afectados por decisiones pendientes deberán cerrar sus reglas y criterios de aceptación antes de implementarse por completo; el estado de borrador no equivale a aprobación integral.</w:t>
      </w:r>
    </w:p>
    <w:p>
      <w:pPr>
        <w:pStyle w:val="Heading1"/>
        <w:keepNext/>
      </w:pPr>
      <w:r>
        <w:t>16. Decisiones pendientes por fase</w:t>
      </w:r>
    </w:p>
    <w:tbl>
      <w:tblPr>
        <w:tblStyle w:val="TableGrid"/>
        <w:tblW w:type="auto" w:w="0"/>
        <w:jc w:val="center"/>
        <w:tblLook w:firstColumn="1" w:firstRow="1" w:lastColumn="0" w:lastRow="0" w:noHBand="0" w:noVBand="1" w:val="04A0"/>
      </w:tblPr>
      <w:tblGrid>
        <w:gridCol w:w="3408"/>
        <w:gridCol w:w="3408"/>
        <w:gridCol w:w="3408"/>
      </w:tblGrid>
      <w:tr>
        <w:trPr>
          <w:tblHeader/>
          <w:cantSplit/>
        </w:trPr>
        <w:tc>
          <w:tcPr>
            <w:tcW w:type="dxa" w:w="2304"/>
            <w:vAlign w:val="center"/>
            <w:shd w:fill="21394F"/>
          </w:tcPr>
          <w:p>
            <w:r/>
            <w:r>
              <w:rPr>
                <w:rFonts w:ascii="Aptos" w:hAnsi="Aptos"/>
                <w:b/>
                <w:color w:val="FFFFFF"/>
                <w:sz w:val="17"/>
              </w:rPr>
              <w:t>Momento</w:t>
            </w:r>
          </w:p>
        </w:tc>
        <w:tc>
          <w:tcPr>
            <w:tcW w:type="dxa" w:w="6912"/>
            <w:vAlign w:val="center"/>
            <w:shd w:fill="21394F"/>
          </w:tcPr>
          <w:p>
            <w:r/>
            <w:r>
              <w:rPr>
                <w:rFonts w:ascii="Aptos" w:hAnsi="Aptos"/>
                <w:b/>
                <w:color w:val="FFFFFF"/>
                <w:sz w:val="17"/>
              </w:rPr>
              <w:t>Decisión</w:t>
            </w:r>
          </w:p>
        </w:tc>
        <w:tc>
          <w:tcPr>
            <w:tcW w:type="dxa" w:w="2016"/>
            <w:vAlign w:val="center"/>
            <w:shd w:fill="21394F"/>
          </w:tcPr>
          <w:p>
            <w:r/>
            <w:r>
              <w:rPr>
                <w:rFonts w:ascii="Aptos" w:hAnsi="Aptos"/>
                <w:b/>
                <w:color w:val="FFFFFF"/>
                <w:sz w:val="17"/>
              </w:rPr>
              <w:t>Bloquea</w:t>
            </w:r>
          </w:p>
        </w:tc>
      </w:tr>
      <w:tr>
        <w:trPr>
          <w:cantSplit/>
        </w:trPr>
        <w:tc>
          <w:tcPr>
            <w:tcW w:type="dxa" w:w="2304"/>
            <w:vAlign w:val="center"/>
          </w:tcPr>
          <w:p>
            <w:r>
              <w:t>Antes de Fase A productiva</w:t>
            </w:r>
          </w:p>
        </w:tc>
        <w:tc>
          <w:tcPr>
            <w:tcW w:type="dxa" w:w="6912"/>
            <w:vAlign w:val="center"/>
          </w:tcPr>
          <w:p>
            <w:r>
              <w:t>Textos legales y privacidad; implementación/validación de retención 12 meses del Check; calculadora y lead magnet; correo para lead magnets y notificaciones; responsable, canal y plazo de orientación; reglas de acceso de lead magnet.</w:t>
            </w:r>
          </w:p>
        </w:tc>
        <w:tc>
          <w:tcPr>
            <w:tcW w:type="dxa" w:w="2016"/>
            <w:vAlign w:val="center"/>
          </w:tcPr>
          <w:p>
            <w:r>
              <w:t>Salida productiva A.</w:t>
            </w:r>
          </w:p>
        </w:tc>
      </w:tr>
      <w:tr>
        <w:trPr>
          <w:cantSplit/>
        </w:trPr>
        <w:tc>
          <w:tcPr>
            <w:tcW w:type="dxa" w:w="2304"/>
            <w:vAlign w:val="center"/>
          </w:tcPr>
          <w:p>
            <w:r>
              <w:t>Antes de Fase B</w:t>
            </w:r>
          </w:p>
        </w:tc>
        <w:tc>
          <w:tcPr>
            <w:tcW w:type="dxa" w:w="6912"/>
            <w:vAlign w:val="center"/>
          </w:tcPr>
          <w:p>
            <w:r>
              <w:t>Catálogo/precios, operación fiscal, reembolsos y pruebas de correo de compra, concurrencia y conteo de descarga exitosa. Vigencia 14 días y tres descargas ya aprobadas.</w:t>
            </w:r>
          </w:p>
        </w:tc>
        <w:tc>
          <w:tcPr>
            <w:tcW w:type="dxa" w:w="2016"/>
            <w:vAlign w:val="center"/>
          </w:tcPr>
          <w:p>
            <w:r>
              <w:t>Salida productiva B.</w:t>
            </w:r>
          </w:p>
        </w:tc>
      </w:tr>
      <w:tr>
        <w:trPr>
          <w:cantSplit/>
        </w:trPr>
        <w:tc>
          <w:tcPr>
            <w:tcW w:type="dxa" w:w="2304"/>
            <w:vAlign w:val="center"/>
          </w:tcPr>
          <w:p>
            <w:r/>
            <w:r>
              <w:rPr>
                <w:rFonts w:ascii="Aptos" w:hAnsi="Aptos"/>
                <w:b w:val="0"/>
                <w:sz w:val="17"/>
              </w:rPr>
              <w:t>Antes de Fase C</w:t>
            </w:r>
          </w:p>
        </w:tc>
        <w:tc>
          <w:tcPr>
            <w:tcW w:type="dxa" w:w="6912"/>
            <w:vAlign w:val="center"/>
          </w:tcPr>
          <w:p>
            <w:r/>
            <w:r>
              <w:rPr>
                <w:rFonts w:ascii="Aptos" w:hAnsi="Aptos"/>
                <w:b w:val="0"/>
                <w:sz w:val="17"/>
              </w:rPr>
              <w:t>Ventana de reserva temporal; política de cancelación/reprogramación/reembolso; duración/tipos de servicio</w:t>
            </w:r>
          </w:p>
        </w:tc>
        <w:tc>
          <w:tcPr>
            <w:tcW w:type="dxa" w:w="2016"/>
            <w:vAlign w:val="center"/>
          </w:tcPr>
          <w:p>
            <w:r/>
            <w:r>
              <w:rPr>
                <w:rFonts w:ascii="Aptos" w:hAnsi="Aptos"/>
                <w:b w:val="0"/>
                <w:sz w:val="17"/>
              </w:rPr>
              <w:t>Salida productiva C</w:t>
            </w:r>
          </w:p>
        </w:tc>
      </w:tr>
      <w:tr>
        <w:trPr>
          <w:cantSplit/>
        </w:trPr>
        <w:tc>
          <w:tcPr>
            <w:tcW w:type="dxa" w:w="2304"/>
            <w:vAlign w:val="center"/>
          </w:tcPr>
          <w:p>
            <w:r/>
            <w:r>
              <w:rPr>
                <w:rFonts w:ascii="Aptos" w:hAnsi="Aptos"/>
                <w:b w:val="0"/>
                <w:sz w:val="17"/>
              </w:rPr>
              <w:t>No bloqueante</w:t>
            </w:r>
          </w:p>
        </w:tc>
        <w:tc>
          <w:tcPr>
            <w:tcW w:type="dxa" w:w="6912"/>
            <w:vAlign w:val="center"/>
          </w:tcPr>
          <w:p>
            <w:r/>
            <w:r>
              <w:rPr>
                <w:rFonts w:ascii="Aptos" w:hAnsi="Aptos"/>
                <w:b w:val="0"/>
                <w:sz w:val="17"/>
              </w:rPr>
              <w:t>Nombre comercial definitivo, CRM futuro, catálogo ampliado de herramientas</w:t>
            </w:r>
          </w:p>
        </w:tc>
        <w:tc>
          <w:tcPr>
            <w:tcW w:type="dxa" w:w="2016"/>
            <w:vAlign w:val="center"/>
          </w:tcPr>
          <w:p>
            <w:r/>
            <w:r>
              <w:rPr>
                <w:rFonts w:ascii="Aptos" w:hAnsi="Aptos"/>
                <w:b w:val="0"/>
                <w:sz w:val="17"/>
              </w:rPr>
              <w:t>Ninguna fase inicial</w:t>
            </w:r>
          </w:p>
        </w:tc>
      </w:tr>
      <w:tr>
        <w:trPr>
          <w:cantSplit/>
        </w:trPr>
        <w:tc>
          <w:tcPr>
            <w:tcW w:type="dxa" w:w="3408"/>
          </w:tcPr>
          <w:p>
            <w:r>
              <w:t>Antes de cerrar el diagnóstico completo de A</w:t>
            </w:r>
          </w:p>
        </w:tc>
        <w:tc>
          <w:tcPr>
            <w:tcW w:type="dxa" w:w="3408"/>
          </w:tcPr>
          <w:p>
            <w:r>
              <w:t>Contenido del PDF; duración e invalidación técnica del contexto activo; eventos, deduplicación y periodo de medición; responsable del catálogo. Captura, descarga, orientación y plazo interno ya aprobados.</w:t>
            </w:r>
          </w:p>
        </w:tc>
        <w:tc>
          <w:tcPr>
            <w:tcW w:type="dxa" w:w="3408"/>
          </w:tcPr>
          <w:p>
            <w:r>
              <w:t>Implementación y aceptación de los flujos afectados.</w:t>
            </w:r>
          </w:p>
        </w:tc>
      </w:tr>
    </w:tbl>
    <w:p>
      <w:pPr>
        <w:pStyle w:val="Heading1"/>
        <w:keepNext/>
      </w:pPr>
      <w:r>
        <w:t>17. Siguiente paso</w:t>
      </w:r>
    </w:p>
    <w:p>
      <w:r>
        <w:t>El BRD v0.6 permite preparar backlog y contratos de Fase A con las decisiones aprobadas. Se homologan sitemap v0.2, arquitectura v0.5 y propuesta visual v0.2. Los pendientes exclusivos de B/C no bloquean A; los flujos afectados por pendientes deben cerrarlos antes de aceptación.</w:t>
      </w:r>
    </w:p>
    <w:p>
      <w:pPr>
        <w:pStyle w:val="Heading1"/>
        <w:keepNext/>
      </w:pPr>
      <w:r>
        <w:t>18. Control de cambios</w:t>
      </w:r>
    </w:p>
    <w:p>
      <w:pPr>
        <w:pStyle w:val="ListBullet"/>
      </w:pPr>
      <w:r>
        <w:t>v0.6 del 13 de octubre de 2026. Check v1.3: captura y descarga inmediata, sin recuperación; WhatsApp opcional, retención interna 12 meses y orientación solicitada. RF-A15 retirado y RF-A17 agregado. Compras: correo en Checkout, magic link, 14 días y tres descargas exitosas; reemisión conserva límites.</w:t>
      </w:r>
    </w:p>
    <w:p>
      <w:pPr>
        <w:pStyle w:val="ListBullet"/>
      </w:pPr>
      <w:r>
        <w:t>v0.5 · Se incorpora por referencia el Catálogo de acciones Check PyME v0.1 y selección v0.1, aprobados el 12 de octubre de 2026. Se actualizan RN-016, secciones 7.1 y 7.2 y RF-A16. Se retira el catálogo de pendientes, se definen conservación de versiones y mantenimiento. No cambian preguntas ni puntuación.</w:t>
      </w:r>
    </w:p>
    <w:p>
      <w:pPr>
        <w:pStyle w:val="ListBullet"/>
      </w:pPr>
      <w:r>
        <w:t>v0.4 · Se integra regla de resultado aprobada: hasta dos fortalezas, hasta dos brechas y tres acciones de catálogo; RN-016 y sección 7.1, casos de aceptación y Check PyME v1.2. Se alinea el propósito amplio y la prioridad de públicos con el documento rector. Se mantiene pendiente la aprobación editorial del catálogo.</w:t>
      </w:r>
    </w:p>
    <w:p>
      <w:pPr>
        <w:pStyle w:val="ListBullet"/>
        <w:spacing w:after="20"/>
      </w:pPr>
      <w:r>
        <w:t>v0.3 · RN-003 actualizada al Anexo A de Concepto y alcance v0.5 (Check PyME v1.1); se retira el pendiente de actualizar el anexo.</w:t>
      </w:r>
    </w:p>
    <w:p>
      <w:pPr>
        <w:pStyle w:val="ListBullet"/>
        <w:spacing w:after="20"/>
      </w:pPr>
      <w:r>
        <w:t>v0.3 · Sección 13: nuevos eventos CTA_CLICK y PDF_DOWNLOADED, necesarios para medir los CTA y la descarga del PDF (sitemap y journeys de Fase A).</w:t>
      </w:r>
    </w:p>
    <w:p>
      <w:pPr>
        <w:pStyle w:val="ListBullet"/>
        <w:spacing w:after="20"/>
      </w:pPr>
      <w:r>
        <w:t>v0.2 · Se documentaron opciones y redondeo del Check, magic links, identidad del lead, orientación, eventos, MFA y casos límite. Las versiones anteriores conservan el detalle histórico; sus reglas de recuperación del Check quedan sustituidas por v0.6.</w:t>
      </w:r>
    </w:p>
    <w:p>
      <w:pPr>
        <w:spacing w:before="240"/>
      </w:pPr>
      <w:r>
        <w:rPr>
          <w:b/>
        </w:rPr>
        <w:t>Fuente de alcance: Concepto v0.8, Check v1.3 y decisiones aprobadas el 13 de octubre de 2026. Catálogo y selección v0.1 aprobados el 12 de octubre. Este BRD registra las decisiones y conserva los pendientes identificados; no afirma cierre integral de todos los requisitos.</w:t>
      </w:r>
      <w:r/>
    </w:p>
    <w:sectPr w:rsidR="00FC693F" w:rsidRPr="0006063C" w:rsidSect="00034616">
      <w:headerReference w:type="default" r:id="rId9"/>
      <w:footerReference w:type="default" r:id="rId10"/>
      <w:headerReference w:type="first" r:id="rId11"/>
      <w:headerReference w:type="even" r:id="rId12"/>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Documento de trabajo · Octubre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6E"/>
        <w:sz w:val="16"/>
      </w:rPr>
      <w:t>BRD | PLATAFORMA DIGITAL | v0.6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139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1394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1394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139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Plataforma digital v0.6</dc:title>
  <dc:subject>Método Productivo; flujos aprobados del Check PyME y compras digitales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