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563EB"/>
          <w:sz w:val="22"/>
        </w:rPr>
        <w:t>ETAPA 1</w:t>
      </w:r>
    </w:p>
    <w:p>
      <w:pPr>
        <w:pStyle w:val="Title"/>
      </w:pPr>
      <w:r>
        <w:t>Concepto y alcance del producto</w:t>
      </w:r>
    </w:p>
    <w:p>
      <w:pPr>
        <w:pStyle w:val="Subtitle"/>
      </w:pPr>
      <w:r>
        <w:t>Plataforma digital de herramientas, contenidos, captación y servicios</w:t>
      </w:r>
    </w:p>
    <w:tbl>
      <w:tblPr>
        <w:tblW w:type="auto" w:w="0"/>
        <w:jc w:val="left"/>
        <w:tblLayout w:type="fixed"/>
        <w:tblLook w:firstColumn="1" w:firstRow="1" w:lastColumn="0" w:lastRow="0" w:noHBand="0" w:noVBand="1" w:val="04A0"/>
      </w:tblPr>
      <w:tblGrid>
        <w:gridCol w:w="5040"/>
        <w:gridCol w:w="5040"/>
      </w:tblGrid>
      <w:tr>
        <w:trPr>
          <w:tblHeader/>
          <w:cantSplit/>
        </w:trPr>
        <w:tc>
          <w:tcPr>
            <w:tcW w:type="dxa" w:w="2016"/>
            <w:tcMar>
              <w:top w:w="90" w:type="dxa"/>
              <w:start w:w="100" w:type="dxa"/>
              <w:bottom w:w="90" w:type="dxa"/>
              <w:end w:w="100" w:type="dxa"/>
            </w:tcMar>
            <w:shd w:fill="F4F7FA"/>
            <w:vAlign w:val="center"/>
          </w:tcPr>
          <w:p>
            <w:pPr>
              <w:spacing w:after="40"/>
            </w:pPr>
            <w:r>
              <w:rPr>
                <w:rFonts w:ascii="Aptos" w:hAnsi="Aptos"/>
                <w:b/>
                <w:sz w:val="16"/>
              </w:rPr>
              <w:t>Versión</w:t>
            </w:r>
          </w:p>
        </w:tc>
        <w:tc>
          <w:tcPr>
            <w:tcW w:type="dxa" w:w="8064"/>
            <w:tcMar>
              <w:top w:w="90" w:type="dxa"/>
              <w:start w:w="100" w:type="dxa"/>
              <w:bottom w:w="90" w:type="dxa"/>
              <w:end w:w="100" w:type="dxa"/>
            </w:tcMar>
            <w:vAlign w:val="center"/>
          </w:tcPr>
          <w:p>
            <w:r>
              <w:t>0.8</w:t>
            </w:r>
          </w:p>
        </w:tc>
      </w:tr>
      <w:tr>
        <w:trPr>
          <w:cantSplit/>
        </w:trPr>
        <w:tc>
          <w:tcPr>
            <w:tcW w:type="dxa" w:w="2016"/>
            <w:tcMar>
              <w:top w:w="90" w:type="dxa"/>
              <w:start w:w="100" w:type="dxa"/>
              <w:bottom w:w="90" w:type="dxa"/>
              <w:end w:w="100" w:type="dxa"/>
            </w:tcMar>
            <w:shd w:fill="F4F7FA"/>
            <w:vAlign w:val="center"/>
          </w:tcPr>
          <w:p>
            <w:pPr>
              <w:spacing w:after="40"/>
            </w:pPr>
            <w:r>
              <w:rPr>
                <w:rFonts w:ascii="Aptos" w:hAnsi="Aptos"/>
                <w:b/>
                <w:sz w:val="16"/>
              </w:rPr>
              <w:t>Estado</w:t>
            </w:r>
          </w:p>
        </w:tc>
        <w:tc>
          <w:tcPr>
            <w:tcW w:type="dxa" w:w="8064"/>
            <w:tcMar>
              <w:top w:w="90" w:type="dxa"/>
              <w:start w:w="100" w:type="dxa"/>
              <w:bottom w:w="90" w:type="dxa"/>
              <w:end w:w="100" w:type="dxa"/>
            </w:tcMar>
            <w:vAlign w:val="center"/>
          </w:tcPr>
          <w:p>
            <w:r>
              <w:t>Decisiones de flujo aprobadas; consolidación documental para revisión</w:t>
            </w:r>
          </w:p>
        </w:tc>
      </w:tr>
      <w:tr>
        <w:trPr>
          <w:cantSplit/>
        </w:trPr>
        <w:tc>
          <w:tcPr>
            <w:tcW w:type="dxa" w:w="2016"/>
            <w:tcMar>
              <w:top w:w="90" w:type="dxa"/>
              <w:start w:w="100" w:type="dxa"/>
              <w:bottom w:w="90" w:type="dxa"/>
              <w:end w:w="100" w:type="dxa"/>
            </w:tcMar>
            <w:shd w:fill="F4F7FA"/>
            <w:vAlign w:val="center"/>
          </w:tcPr>
          <w:p>
            <w:pPr>
              <w:spacing w:after="40"/>
            </w:pPr>
            <w:r>
              <w:rPr>
                <w:rFonts w:ascii="Aptos" w:hAnsi="Aptos"/>
                <w:b/>
                <w:sz w:val="16"/>
              </w:rPr>
              <w:t>Fecha</w:t>
            </w:r>
          </w:p>
        </w:tc>
        <w:tc>
          <w:tcPr>
            <w:tcW w:type="dxa" w:w="8064"/>
            <w:tcMar>
              <w:top w:w="90" w:type="dxa"/>
              <w:start w:w="100" w:type="dxa"/>
              <w:bottom w:w="90" w:type="dxa"/>
              <w:end w:w="100" w:type="dxa"/>
            </w:tcMar>
            <w:vAlign w:val="center"/>
          </w:tcPr>
          <w:p>
            <w:r>
              <w:t>13 de octubre de 2026</w:t>
            </w:r>
          </w:p>
        </w:tc>
      </w:tr>
      <w:tr>
        <w:trPr>
          <w:cantSplit/>
        </w:trPr>
        <w:tc>
          <w:tcPr>
            <w:tcW w:type="dxa" w:w="2016"/>
            <w:tcMar>
              <w:top w:w="90" w:type="dxa"/>
              <w:start w:w="100" w:type="dxa"/>
              <w:bottom w:w="90" w:type="dxa"/>
              <w:end w:w="100" w:type="dxa"/>
            </w:tcMar>
            <w:shd w:fill="F4F7FA"/>
            <w:vAlign w:val="center"/>
          </w:tcPr>
          <w:p>
            <w:pPr>
              <w:spacing w:after="40"/>
            </w:pPr>
            <w:r>
              <w:rPr>
                <w:rFonts w:ascii="Aptos" w:hAnsi="Aptos"/>
                <w:b/>
                <w:sz w:val="16"/>
              </w:rPr>
              <w:t>Propósito</w:t>
            </w:r>
          </w:p>
        </w:tc>
        <w:tc>
          <w:tcPr>
            <w:tcW w:type="dxa" w:w="8064"/>
            <w:tcMar>
              <w:top w:w="90" w:type="dxa"/>
              <w:start w:w="100" w:type="dxa"/>
              <w:bottom w:w="90" w:type="dxa"/>
              <w:end w:w="100" w:type="dxa"/>
            </w:tcMar>
            <w:vAlign w:val="center"/>
          </w:tcPr>
          <w:p>
            <w:pPr>
              <w:spacing w:after="40"/>
            </w:pPr>
            <w:r>
              <w:rPr>
                <w:rFonts w:ascii="Aptos" w:hAnsi="Aptos"/>
                <w:sz w:val="16"/>
              </w:rPr>
              <w:t>Documento rector de Etapa 1 y entrada para el BRD</w:t>
            </w:r>
          </w:p>
        </w:tc>
      </w:tr>
    </w:tbl>
    <w:p/>
    <w:p>
      <w:pPr>
        <w:pStyle w:val="Callout"/>
      </w:pPr>
      <w:r>
        <w:t>Principio rector. La plataforma es pública y sin cuentas de cliente. El Check libera el informe inmediatamente después de capturar datos, sin correo de acceso ni recuperación posterior para el visitante. Las compras digitales y los demás flujos que lo requieran conservan magic links por propósito.</w:t>
      </w:r>
      <w:r>
        <w:rPr>
          <w:b w:val="0"/>
        </w:rPr>
      </w:r>
    </w:p>
    <w:p>
      <w:pPr>
        <w:pStyle w:val="Heading1"/>
        <w:keepNext/>
      </w:pPr>
      <w:r>
        <w:t>1. Propósito del documento</w:t>
      </w:r>
    </w:p>
    <w:p>
      <w:r>
        <w:t>Definir el concepto del producto, su propósito, usuarios prioritarios, propuesta de valor, capacidades, fases de alcance, principios operativos y decisiones fundacionales antes de elaborar el BRD, la arquitectura técnica, los journeys y el diseño de pantallas.</w:t>
      </w:r>
    </w:p>
    <w:p>
      <w:r>
        <w:t>Este documento no especifica todavía todos los requerimientos funcionales ni el diseño técnico definitivo. Su función es reducir ambigüedad de producto y fijar decisiones que condicionan las siguientes etapas.</w:t>
      </w:r>
    </w:p>
    <w:p>
      <w:pPr>
        <w:pStyle w:val="Heading1"/>
        <w:keepNext/>
      </w:pPr>
      <w:r>
        <w:t>2. Definición del producto</w:t>
      </w:r>
    </w:p>
    <w:p>
      <w:r>
        <w:t>La solución se concibe como una plataforma digital pública orientada a educación financiera y empresarial, diagnóstico inicial para PyMEs, captación comercial y monetización de servicios y materiales digitales. El sitio concentrará contenidos, herramientas y llamadas a la acción dentro de una experiencia coherente, medible y de baja fricción.</w:t>
      </w:r>
    </w:p>
    <w:p>
      <w:pPr>
        <w:pStyle w:val="Heading1"/>
        <w:keepNext/>
      </w:pPr>
      <w:r>
        <w:t>3. Objetivos del producto</w:t>
      </w:r>
    </w:p>
    <w:p>
      <w:pPr>
        <w:pStyle w:val="ListBullet"/>
      </w:pPr>
      <w:r>
        <w:t>Construir un activo digital propio que concentre contenido, herramientas y servicios.</w:t>
      </w:r>
    </w:p>
    <w:p>
      <w:pPr>
        <w:pStyle w:val="ListBullet"/>
      </w:pPr>
      <w:r>
        <w:t>Captar leads mediante intercambios claros de valor, sin obligar a crear una cuenta.</w:t>
      </w:r>
    </w:p>
    <w:p>
      <w:pPr>
        <w:pStyle w:val="ListBullet"/>
      </w:pPr>
      <w:r>
        <w:t>Validar primero la capacidad de atraer, activar y convertir audiencia antes de ampliar la complejidad operativa.</w:t>
      </w:r>
    </w:p>
    <w:p>
      <w:pPr>
        <w:pStyle w:val="ListBullet"/>
      </w:pPr>
      <w:r>
        <w:t>Automatizar la entrega de lead magnets, diagnósticos y posteriormente materiales digitales de pago.</w:t>
      </w:r>
    </w:p>
    <w:p>
      <w:pPr>
        <w:pStyle w:val="ListBullet"/>
      </w:pPr>
      <w:r>
        <w:t>Posicionar el Check PyME como diferenciador principal y puerta de entrada a servicios de mayor valor.</w:t>
      </w:r>
    </w:p>
    <w:p>
      <w:pPr>
        <w:pStyle w:val="ListBullet"/>
      </w:pPr>
      <w:r>
        <w:t>Generar trazabilidad mediante identificadores transaccionales y eventos analíticos.</w:t>
      </w:r>
    </w:p>
    <w:p>
      <w:pPr>
        <w:pStyle w:val="ListBullet"/>
      </w:pPr>
      <w:r>
        <w:t>Crear una base técnica y de contenido escalable para incorporar nuevas herramientas, pagos, agenda y eventos por fases.</w:t>
      </w:r>
    </w:p>
    <w:p>
      <w:pPr>
        <w:pStyle w:val="Heading1"/>
        <w:keepNext/>
      </w:pPr>
      <w:r>
        <w:t>4. Usuarios objetivo y prioridad</w:t>
      </w:r>
    </w:p>
    <w:p>
      <w:r>
        <w:t>La priorización inicial no es homogénea; el producto se diseñará primero para PyMEs y después ampliará su cobertura a otros perfiles.</w:t>
      </w:r>
    </w:p>
    <w:tbl>
      <w:tblPr>
        <w:tblW w:type="auto" w:w="0"/>
        <w:jc w:val="left"/>
        <w:tblLook w:firstColumn="1" w:firstRow="1" w:lastColumn="0" w:lastRow="0" w:noHBand="0" w:noVBand="1" w:val="04A0"/>
      </w:tblPr>
      <w:tblGrid>
        <w:gridCol w:w="3360"/>
        <w:gridCol w:w="3360"/>
        <w:gridCol w:w="3360"/>
      </w:tblGrid>
      <w:tr>
        <w:trPr>
          <w:tblHeader w:val="true"/>
          <w:cantSplit/>
        </w:trPr>
        <w:tc>
          <w:tcPr>
            <w:tcW w:type="dxa" w:w="3360"/>
            <w:shd w:fill="21394F"/>
            <w:vAlign w:val="center"/>
          </w:tcPr>
          <w:p>
            <w:pPr>
              <w:spacing w:after="40"/>
            </w:pPr>
            <w:r>
              <w:rPr>
                <w:rFonts w:ascii="Aptos" w:hAnsi="Aptos"/>
                <w:b/>
                <w:color w:val="FFFFFF"/>
                <w:sz w:val="16"/>
              </w:rPr>
              <w:t>Prioridad</w:t>
            </w:r>
          </w:p>
        </w:tc>
        <w:tc>
          <w:tcPr>
            <w:tcW w:type="dxa" w:w="3360"/>
            <w:shd w:fill="21394F"/>
            <w:vAlign w:val="center"/>
          </w:tcPr>
          <w:p>
            <w:pPr>
              <w:spacing w:after="40"/>
            </w:pPr>
            <w:r>
              <w:rPr>
                <w:rFonts w:ascii="Aptos" w:hAnsi="Aptos"/>
                <w:b/>
                <w:color w:val="FFFFFF"/>
                <w:sz w:val="16"/>
              </w:rPr>
              <w:t>Perfil</w:t>
            </w:r>
          </w:p>
        </w:tc>
        <w:tc>
          <w:tcPr>
            <w:tcW w:type="dxa" w:w="3360"/>
            <w:shd w:fill="21394F"/>
            <w:vAlign w:val="center"/>
          </w:tcPr>
          <w:p>
            <w:pPr>
              <w:spacing w:after="40"/>
            </w:pPr>
            <w:r>
              <w:rPr>
                <w:rFonts w:ascii="Aptos" w:hAnsi="Aptos"/>
                <w:b/>
                <w:color w:val="FFFFFF"/>
                <w:sz w:val="16"/>
              </w:rPr>
              <w:t>Necesidad principal</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P1</w:t>
            </w:r>
          </w:p>
        </w:tc>
        <w:tc>
          <w:tcPr>
            <w:tcW w:type="dxa" w:w="3360"/>
            <w:tcMar>
              <w:top w:w="90" w:type="dxa"/>
              <w:start w:w="100" w:type="dxa"/>
              <w:bottom w:w="90" w:type="dxa"/>
              <w:end w:w="100" w:type="dxa"/>
            </w:tcMar>
            <w:vAlign w:val="center"/>
          </w:tcPr>
          <w:p>
            <w:pPr>
              <w:spacing w:after="40"/>
            </w:pPr>
            <w:r>
              <w:rPr>
                <w:rFonts w:ascii="Aptos" w:hAnsi="Aptos"/>
                <w:sz w:val="16"/>
              </w:rPr>
              <w:t>Propietarios, administradores y responsables financieros de PyMEs</w:t>
            </w:r>
          </w:p>
        </w:tc>
        <w:tc>
          <w:tcPr>
            <w:tcW w:type="dxa" w:w="3360"/>
            <w:tcMar>
              <w:top w:w="90" w:type="dxa"/>
              <w:start w:w="100" w:type="dxa"/>
              <w:bottom w:w="90" w:type="dxa"/>
              <w:end w:w="100" w:type="dxa"/>
            </w:tcMar>
            <w:vAlign w:val="center"/>
          </w:tcPr>
          <w:p>
            <w:r>
              <w:t>Evaluar prácticas básicas de gestión: históricos de ventas, evolución de costos, concentración de clientes/proveedores/productos, procesos, calidad de información y preparación para necesidades de financiamiento; acceder a herramientas y orientación práctica.</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P2</w:t>
            </w:r>
          </w:p>
        </w:tc>
        <w:tc>
          <w:tcPr>
            <w:tcW w:type="dxa" w:w="3360"/>
            <w:tcMar>
              <w:top w:w="90" w:type="dxa"/>
              <w:start w:w="100" w:type="dxa"/>
              <w:bottom w:w="90" w:type="dxa"/>
              <w:end w:w="100" w:type="dxa"/>
            </w:tcMar>
            <w:vAlign w:val="center"/>
          </w:tcPr>
          <w:p>
            <w:pPr>
              <w:spacing w:after="40"/>
            </w:pPr>
            <w:r>
              <w:rPr>
                <w:rFonts w:ascii="Aptos" w:hAnsi="Aptos"/>
                <w:sz w:val="16"/>
              </w:rPr>
              <w:t>Personas interesadas en educación financiera y decisiones económicas</w:t>
            </w:r>
          </w:p>
        </w:tc>
        <w:tc>
          <w:tcPr>
            <w:tcW w:type="dxa" w:w="3360"/>
            <w:tcMar>
              <w:top w:w="90" w:type="dxa"/>
              <w:start w:w="100" w:type="dxa"/>
              <w:bottom w:w="90" w:type="dxa"/>
              <w:end w:w="100" w:type="dxa"/>
            </w:tcMar>
            <w:vAlign w:val="center"/>
          </w:tcPr>
          <w:p>
            <w:pPr>
              <w:spacing w:after="40"/>
            </w:pPr>
            <w:r>
              <w:rPr>
                <w:rFonts w:ascii="Aptos" w:hAnsi="Aptos"/>
                <w:sz w:val="16"/>
              </w:rPr>
              <w:t>Consultar contenido, calculadoras, recursos y guías.</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P2</w:t>
            </w:r>
          </w:p>
        </w:tc>
        <w:tc>
          <w:tcPr>
            <w:tcW w:type="dxa" w:w="3360"/>
            <w:tcMar>
              <w:top w:w="90" w:type="dxa"/>
              <w:start w:w="100" w:type="dxa"/>
              <w:bottom w:w="90" w:type="dxa"/>
              <w:end w:w="100" w:type="dxa"/>
            </w:tcMar>
            <w:vAlign w:val="center"/>
          </w:tcPr>
          <w:p>
            <w:pPr>
              <w:spacing w:after="40"/>
            </w:pPr>
            <w:r>
              <w:rPr>
                <w:rFonts w:ascii="Aptos" w:hAnsi="Aptos"/>
                <w:sz w:val="16"/>
              </w:rPr>
              <w:t>Prospectos de consultoría</w:t>
            </w:r>
          </w:p>
        </w:tc>
        <w:tc>
          <w:tcPr>
            <w:tcW w:type="dxa" w:w="3360"/>
            <w:tcMar>
              <w:top w:w="90" w:type="dxa"/>
              <w:start w:w="100" w:type="dxa"/>
              <w:bottom w:w="90" w:type="dxa"/>
              <w:end w:w="100" w:type="dxa"/>
            </w:tcMar>
            <w:vAlign w:val="center"/>
          </w:tcPr>
          <w:p>
            <w:pPr>
              <w:spacing w:after="40"/>
            </w:pPr>
            <w:r>
              <w:rPr>
                <w:rFonts w:ascii="Aptos" w:hAnsi="Aptos"/>
                <w:sz w:val="16"/>
              </w:rPr>
              <w:t>Evaluar una necesidad y, en fases posteriores, contratar una sesión one-to-one.</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P3</w:t>
            </w:r>
          </w:p>
        </w:tc>
        <w:tc>
          <w:tcPr>
            <w:tcW w:type="dxa" w:w="3360"/>
            <w:tcMar>
              <w:top w:w="90" w:type="dxa"/>
              <w:start w:w="100" w:type="dxa"/>
              <w:bottom w:w="90" w:type="dxa"/>
              <w:end w:w="100" w:type="dxa"/>
            </w:tcMar>
            <w:vAlign w:val="center"/>
          </w:tcPr>
          <w:p>
            <w:pPr>
              <w:spacing w:after="40"/>
            </w:pPr>
            <w:r>
              <w:rPr>
                <w:rFonts w:ascii="Aptos" w:hAnsi="Aptos"/>
                <w:sz w:val="16"/>
              </w:rPr>
              <w:t>Personas interesadas en cursos, talleres o sesiones en vivo</w:t>
            </w:r>
          </w:p>
        </w:tc>
        <w:tc>
          <w:tcPr>
            <w:tcW w:type="dxa" w:w="3360"/>
            <w:tcMar>
              <w:top w:w="90" w:type="dxa"/>
              <w:start w:w="100" w:type="dxa"/>
              <w:bottom w:w="90" w:type="dxa"/>
              <w:end w:w="100" w:type="dxa"/>
            </w:tcMar>
            <w:vAlign w:val="center"/>
          </w:tcPr>
          <w:p>
            <w:pPr>
              <w:spacing w:after="40"/>
            </w:pPr>
            <w:r>
              <w:rPr>
                <w:rFonts w:ascii="Aptos" w:hAnsi="Aptos"/>
                <w:sz w:val="16"/>
              </w:rPr>
              <w:t>Consultar agenda y, en fases posteriores, pagar acceso.</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P3</w:t>
            </w:r>
          </w:p>
        </w:tc>
        <w:tc>
          <w:tcPr>
            <w:tcW w:type="dxa" w:w="3360"/>
            <w:tcMar>
              <w:top w:w="90" w:type="dxa"/>
              <w:start w:w="100" w:type="dxa"/>
              <w:bottom w:w="90" w:type="dxa"/>
              <w:end w:w="100" w:type="dxa"/>
            </w:tcMar>
            <w:vAlign w:val="center"/>
          </w:tcPr>
          <w:p>
            <w:pPr>
              <w:spacing w:after="40"/>
            </w:pPr>
            <w:r>
              <w:rPr>
                <w:rFonts w:ascii="Aptos" w:hAnsi="Aptos"/>
                <w:sz w:val="16"/>
              </w:rPr>
              <w:t>Visitantes de contenido</w:t>
            </w:r>
          </w:p>
        </w:tc>
        <w:tc>
          <w:tcPr>
            <w:tcW w:type="dxa" w:w="3360"/>
            <w:tcMar>
              <w:top w:w="90" w:type="dxa"/>
              <w:start w:w="100" w:type="dxa"/>
              <w:bottom w:w="90" w:type="dxa"/>
              <w:end w:w="100" w:type="dxa"/>
            </w:tcMar>
            <w:vAlign w:val="center"/>
          </w:tcPr>
          <w:p>
            <w:pPr>
              <w:spacing w:after="40"/>
            </w:pPr>
            <w:r>
              <w:rPr>
                <w:rFonts w:ascii="Aptos" w:hAnsi="Aptos"/>
                <w:sz w:val="16"/>
              </w:rPr>
              <w:t>Consumir artículos, videos, plantillas y recursos descargables.</w:t>
            </w:r>
          </w:p>
        </w:tc>
      </w:tr>
    </w:tbl>
    <w:p>
      <w:pPr>
        <w:pStyle w:val="Heading1"/>
        <w:keepNext/>
      </w:pPr>
      <w:r>
        <w:t>5. Propuesta de valor</w:t>
      </w:r>
    </w:p>
    <w:p>
      <w:r>
        <w:t>Ofrecer información, herramientas y servicios prácticos que conviertan temas financieros y empresariales complejos en decisiones comprensibles, accionables y respaldadas por datos, con una experiencia digital profesional, medible y sin fricción de cuentas innecesarias.</w:t>
      </w:r>
    </w:p>
    <w:p>
      <w:pPr>
        <w:pStyle w:val="Heading1"/>
        <w:keepNext/>
      </w:pPr>
      <w:r>
        <w:t>6. Modelo de interacción e identidad sin cuentas</w:t>
      </w:r>
    </w:p>
    <w:p>
      <w:r>
        <w:t>El producto no operará con membresía ni contenido premium asociado a cuentas. El visitante podrá consumir contenido abierto y, cuando una interacción requiera identificación, recuperación o pago, se solicitarán únicamente los datos necesarios para esa operación.</w:t>
      </w:r>
    </w:p>
    <w:tbl>
      <w:tblPr>
        <w:tblW w:type="auto" w:w="0"/>
        <w:jc w:val="left"/>
        <w:tblLook w:firstColumn="1" w:firstRow="1" w:lastColumn="0" w:lastRow="0" w:noHBand="0" w:noVBand="1" w:val="04A0"/>
      </w:tblPr>
      <w:tblGrid>
        <w:gridCol w:w="10080"/>
      </w:tblGrid>
      <w:tr>
        <w:trPr>
          <w:tblHeader/>
          <w:cantSplit/>
        </w:trPr>
        <w:tc>
          <w:tcPr>
            <w:tcW w:type="dxa" w:w="10080"/>
            <w:shd w:fill="F4F7FA"/>
            <w:tcMar>
              <w:top w:w="120" w:type="dxa"/>
              <w:start w:w="140" w:type="dxa"/>
              <w:bottom w:w="120" w:type="dxa"/>
              <w:end w:w="140" w:type="dxa"/>
            </w:tcMar>
            <w:vAlign w:val="center"/>
          </w:tcPr>
          <w:p>
            <w:pPr>
              <w:spacing w:after="40"/>
            </w:pPr>
            <w:r>
              <w:rPr>
                <w:rFonts w:ascii="Aptos" w:hAnsi="Aptos"/>
                <w:b/>
                <w:color w:val="21394F"/>
                <w:sz w:val="16"/>
              </w:rPr>
              <w:t>Decisión fundacional: No habrá contraseñas ni perfiles públicos. El Check usa descarga inmediata en el recorrido activo. Las compras digitales usan magic links enviados al correo capturado en Stripe Checkout después de confirmar el pago; citas, eventos y lead magnets mantienen sus reglas por propósito.</w:t>
            </w:r>
            <w:r>
              <w:rPr>
                <w:rFonts w:ascii="Aptos" w:hAnsi="Aptos"/>
                <w:sz w:val="16"/>
              </w:rPr>
            </w:r>
          </w:p>
        </w:tc>
      </w:tr>
    </w:tbl>
    <w:p>
      <w:pPr>
        <w:pStyle w:val="ListBullet"/>
      </w:pPr>
      <w:r>
        <w:t>Lead magnet: el correo recibe el recurso o un enlace de descarga controlado.</w:t>
      </w:r>
    </w:p>
    <w:p>
      <w:pPr>
        <w:pStyle w:val="ListBullet"/>
      </w:pPr>
      <w:r>
        <w:t>Check PyME: Inicio → ocho preguntas → “Tu informe está listo” → formulario (nombre, correo y empresa obligatorios; WhatsApp opcional) → envío válido y persistencia → resultado completo y descarga inmediata del PDF → solicitud opcional de orientación. El Check no envía magic link ni requiere validar el correo para entregar el resultado. Mientras permanezca en la pantalla del resultado puede reintentar descargar el mismo informe. Al salir, no hay consulta, búsqueda por correo ni recuperación pública; para obtener otro informe debe completar un nuevo cuestionario y dejar sus datos otra vez.</w:t>
      </w:r>
    </w:p>
    <w:p>
      <w:pPr>
        <w:pStyle w:val="ListBullet"/>
      </w:pPr>
      <w:r>
        <w:t>Compra digital: Producto → Comprar → Stripe Checkout captura correo → webhook válido confirma pago → orden pagada con correo asociado → correo con magic link → confirmación explícita y descarga controlada. Acceso durante 14 días exactos desde la confirmación del pago y hasta tres descargas exitosas por derecho de entrega de la compra. Abrir el enlace, confirmar acceso sin descargar o un fallo técnico no descuenta descargas. Reemitir el magic link conserva el vencimiento y el saldo restante. Soporte puede autorizar excepciones documentadas y auditadas.</w:t>
      </w:r>
    </w:p>
    <w:p>
      <w:pPr>
        <w:pStyle w:val="ListBullet"/>
      </w:pPr>
      <w:r>
        <w:t>Cita: el correo recibe un enlace seguro para consultar, reprogramar o cancelar conforme a la política vigente.</w:t>
      </w:r>
    </w:p>
    <w:p>
      <w:pPr>
        <w:pStyle w:val="ListBullet"/>
      </w:pPr>
      <w:r>
        <w:t>Evento: el correo recibe confirmación, instrucciones de acceso y, cuando aplique, un enlace seguro para gestionar la inscripción.</w:t>
      </w:r>
    </w:p>
    <w:p>
      <w:r>
        <w:t>Los tokens deberán ser revocables cuando aplique, no contener datos personales en claro y estar asociados a una finalidad concreta. Los tiempos de vigencia y límites de uso se detallarán en el BRD y arquitectura.</w:t>
      </w:r>
    </w:p>
    <w:p>
      <w:r>
        <w:t>Los magic links de compras y otros flujos habilitados se abren en una página intermedia con confirmación explícita. Un GET no consume uso ni descarga. En compras, el límite cuenta descargas exitosas y no confirmaciones del enlace. Estas reglas no intervienen en el Check.</w:t>
      </w:r>
    </w:p>
    <w:p>
      <w:pPr>
        <w:pStyle w:val="Heading1"/>
        <w:keepNext/>
      </w:pPr>
      <w:r>
        <w:t>7. Capacidades objetivo</w:t>
      </w:r>
    </w:p>
    <w:tbl>
      <w:tblPr>
        <w:tblW w:type="auto" w:w="0"/>
        <w:jc w:val="left"/>
        <w:tblLook w:firstColumn="1" w:firstRow="1" w:lastColumn="0" w:lastRow="0" w:noHBand="0" w:noVBand="1" w:val="04A0"/>
      </w:tblPr>
      <w:tblGrid>
        <w:gridCol w:w="5040"/>
        <w:gridCol w:w="5040"/>
      </w:tblGrid>
      <w:tr>
        <w:trPr>
          <w:tblHeader w:val="true"/>
          <w:cantSplit/>
        </w:trPr>
        <w:tc>
          <w:tcPr>
            <w:tcW w:type="dxa" w:w="5040"/>
            <w:shd w:fill="21394F"/>
            <w:vAlign w:val="center"/>
          </w:tcPr>
          <w:p>
            <w:pPr>
              <w:spacing w:after="40"/>
            </w:pPr>
            <w:r>
              <w:rPr>
                <w:rFonts w:ascii="Aptos" w:hAnsi="Aptos"/>
                <w:b/>
                <w:color w:val="FFFFFF"/>
                <w:sz w:val="16"/>
              </w:rPr>
              <w:t>Capacidad</w:t>
            </w:r>
          </w:p>
        </w:tc>
        <w:tc>
          <w:tcPr>
            <w:tcW w:type="dxa" w:w="5040"/>
            <w:shd w:fill="21394F"/>
            <w:vAlign w:val="center"/>
          </w:tcPr>
          <w:p>
            <w:pPr>
              <w:spacing w:after="40"/>
            </w:pPr>
            <w:r>
              <w:rPr>
                <w:rFonts w:ascii="Aptos" w:hAnsi="Aptos"/>
                <w:b/>
                <w:color w:val="FFFFFF"/>
                <w:sz w:val="16"/>
              </w:rPr>
              <w:t>Propósito</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Home</w:t>
            </w:r>
          </w:p>
        </w:tc>
        <w:tc>
          <w:tcPr>
            <w:tcW w:type="dxa" w:w="5040"/>
            <w:tcMar>
              <w:top w:w="90" w:type="dxa"/>
              <w:start w:w="100" w:type="dxa"/>
              <w:bottom w:w="90" w:type="dxa"/>
              <w:end w:w="100" w:type="dxa"/>
            </w:tcMar>
            <w:vAlign w:val="center"/>
          </w:tcPr>
          <w:p>
            <w:pPr>
              <w:spacing w:after="40"/>
            </w:pPr>
            <w:r>
              <w:rPr>
                <w:rFonts w:ascii="Aptos" w:hAnsi="Aptos"/>
                <w:sz w:val="16"/>
              </w:rPr>
              <w:t>Presentar propuesta de valor, herramientas, recursos, servicios, eventos, videos, artículos, testimoniales y llamadas a la acción.</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Herramientas</w:t>
            </w:r>
          </w:p>
        </w:tc>
        <w:tc>
          <w:tcPr>
            <w:tcW w:type="dxa" w:w="5040"/>
            <w:tcMar>
              <w:top w:w="90" w:type="dxa"/>
              <w:start w:w="100" w:type="dxa"/>
              <w:bottom w:w="90" w:type="dxa"/>
              <w:end w:w="100" w:type="dxa"/>
            </w:tcMar>
            <w:vAlign w:val="center"/>
          </w:tcPr>
          <w:p>
            <w:pPr>
              <w:spacing w:after="40"/>
            </w:pPr>
            <w:r>
              <w:rPr>
                <w:rFonts w:ascii="Aptos" w:hAnsi="Aptos"/>
                <w:sz w:val="16"/>
              </w:rPr>
              <w:t>Publicar calculadoras y recursos interactivos independientes y escalables.</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Check PyME</w:t>
            </w:r>
          </w:p>
        </w:tc>
        <w:tc>
          <w:tcPr>
            <w:tcW w:type="dxa" w:w="5040"/>
            <w:tcMar>
              <w:top w:w="90" w:type="dxa"/>
              <w:start w:w="100" w:type="dxa"/>
              <w:bottom w:w="90" w:type="dxa"/>
              <w:end w:w="100" w:type="dxa"/>
            </w:tcMar>
            <w:vAlign w:val="center"/>
          </w:tcPr>
          <w:p>
            <w:pPr>
              <w:spacing w:after="40"/>
            </w:pPr>
            <w:r>
              <w:rPr>
                <w:rFonts w:ascii="Aptos" w:hAnsi="Aptos"/>
                <w:sz w:val="16"/>
              </w:rPr>
              <w:t>Aplicar un diagnóstico básico, generar resultado y habilitar descarga freemium previo registro de datos.</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Lead magnets</w:t>
            </w:r>
          </w:p>
        </w:tc>
        <w:tc>
          <w:tcPr>
            <w:tcW w:type="dxa" w:w="5040"/>
            <w:tcMar>
              <w:top w:w="90" w:type="dxa"/>
              <w:start w:w="100" w:type="dxa"/>
              <w:bottom w:w="90" w:type="dxa"/>
              <w:end w:w="100" w:type="dxa"/>
            </w:tcMar>
            <w:vAlign w:val="center"/>
          </w:tcPr>
          <w:p>
            <w:pPr>
              <w:spacing w:after="40"/>
            </w:pPr>
            <w:r>
              <w:rPr>
                <w:rFonts w:ascii="Aptos" w:hAnsi="Aptos"/>
                <w:sz w:val="16"/>
              </w:rPr>
              <w:t>Captar datos a cambio de recursos gratuitos con entrega automatizada.</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Contenido</w:t>
            </w:r>
          </w:p>
        </w:tc>
        <w:tc>
          <w:tcPr>
            <w:tcW w:type="dxa" w:w="5040"/>
            <w:tcMar>
              <w:top w:w="90" w:type="dxa"/>
              <w:start w:w="100" w:type="dxa"/>
              <w:bottom w:w="90" w:type="dxa"/>
              <w:end w:w="100" w:type="dxa"/>
            </w:tcMar>
            <w:vAlign w:val="center"/>
          </w:tcPr>
          <w:p>
            <w:pPr>
              <w:spacing w:after="40"/>
            </w:pPr>
            <w:r>
              <w:rPr>
                <w:rFonts w:ascii="Aptos" w:hAnsi="Aptos"/>
                <w:sz w:val="16"/>
              </w:rPr>
              <w:t>Publicar artículos, guías, videos destacados y enlaces a redes sociales.</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Analítica</w:t>
            </w:r>
          </w:p>
        </w:tc>
        <w:tc>
          <w:tcPr>
            <w:tcW w:type="dxa" w:w="5040"/>
            <w:tcMar>
              <w:top w:w="90" w:type="dxa"/>
              <w:start w:w="100" w:type="dxa"/>
              <w:bottom w:w="90" w:type="dxa"/>
              <w:end w:w="100" w:type="dxa"/>
            </w:tcMar>
            <w:vAlign w:val="center"/>
          </w:tcPr>
          <w:p>
            <w:pPr>
              <w:spacing w:after="40"/>
            </w:pPr>
            <w:r>
              <w:rPr>
                <w:rFonts w:ascii="Aptos" w:hAnsi="Aptos"/>
                <w:sz w:val="16"/>
              </w:rPr>
              <w:t>Medir adquisición, activación, conversión, uso de herramientas y errores.</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Recursos de pago</w:t>
            </w:r>
          </w:p>
        </w:tc>
        <w:tc>
          <w:tcPr>
            <w:tcW w:type="dxa" w:w="5040"/>
            <w:tcMar>
              <w:top w:w="90" w:type="dxa"/>
              <w:start w:w="100" w:type="dxa"/>
              <w:bottom w:w="90" w:type="dxa"/>
              <w:end w:w="100" w:type="dxa"/>
            </w:tcMar>
            <w:vAlign w:val="center"/>
          </w:tcPr>
          <w:p>
            <w:pPr>
              <w:spacing w:after="40"/>
            </w:pPr>
            <w:r>
              <w:rPr>
                <w:rFonts w:ascii="Aptos" w:hAnsi="Aptos"/>
                <w:sz w:val="16"/>
              </w:rPr>
              <w:t>Vender materiales digitales y entregar acceso de forma segura.</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Sesiones one-to-one</w:t>
            </w:r>
          </w:p>
        </w:tc>
        <w:tc>
          <w:tcPr>
            <w:tcW w:type="dxa" w:w="5040"/>
            <w:tcMar>
              <w:top w:w="90" w:type="dxa"/>
              <w:start w:w="100" w:type="dxa"/>
              <w:bottom w:w="90" w:type="dxa"/>
              <w:end w:w="100" w:type="dxa"/>
            </w:tcMar>
            <w:vAlign w:val="center"/>
          </w:tcPr>
          <w:p>
            <w:pPr>
              <w:spacing w:after="40"/>
            </w:pPr>
            <w:r>
              <w:rPr>
                <w:rFonts w:ascii="Aptos" w:hAnsi="Aptos"/>
                <w:sz w:val="16"/>
              </w:rPr>
              <w:t>Mostrar servicios, disponibilidad, pago, confirmación y gestión de cita.</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Cursos y eventos</w:t>
            </w:r>
          </w:p>
        </w:tc>
        <w:tc>
          <w:tcPr>
            <w:tcW w:type="dxa" w:w="5040"/>
            <w:tcMar>
              <w:top w:w="90" w:type="dxa"/>
              <w:start w:w="100" w:type="dxa"/>
              <w:bottom w:w="90" w:type="dxa"/>
              <w:end w:w="100" w:type="dxa"/>
            </w:tcMar>
            <w:vAlign w:val="center"/>
          </w:tcPr>
          <w:p>
            <w:pPr>
              <w:spacing w:after="40"/>
            </w:pPr>
            <w:r>
              <w:rPr>
                <w:rFonts w:ascii="Aptos" w:hAnsi="Aptos"/>
                <w:sz w:val="16"/>
              </w:rPr>
              <w:t>Consultar próximos eventos y vender acceso cuando aplique.</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Comentarios y solicitudes</w:t>
            </w:r>
          </w:p>
        </w:tc>
        <w:tc>
          <w:tcPr>
            <w:tcW w:type="dxa" w:w="5040"/>
            <w:tcMar>
              <w:top w:w="90" w:type="dxa"/>
              <w:start w:w="100" w:type="dxa"/>
              <w:bottom w:w="90" w:type="dxa"/>
              <w:end w:w="100" w:type="dxa"/>
            </w:tcMar>
            <w:vAlign w:val="center"/>
          </w:tcPr>
          <w:p>
            <w:pPr>
              <w:spacing w:after="40"/>
            </w:pPr>
            <w:r>
              <w:rPr>
                <w:rFonts w:ascii="Aptos" w:hAnsi="Aptos"/>
                <w:sz w:val="16"/>
              </w:rPr>
              <w:t>Recibir feedback, solicitudes, propuestas o incidencias categorizadas.</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Testimoniales</w:t>
            </w:r>
          </w:p>
        </w:tc>
        <w:tc>
          <w:tcPr>
            <w:tcW w:type="dxa" w:w="5040"/>
            <w:tcMar>
              <w:top w:w="90" w:type="dxa"/>
              <w:start w:w="100" w:type="dxa"/>
              <w:bottom w:w="90" w:type="dxa"/>
              <w:end w:w="100" w:type="dxa"/>
            </w:tcMar>
            <w:vAlign w:val="center"/>
          </w:tcPr>
          <w:p>
            <w:pPr>
              <w:spacing w:after="40"/>
            </w:pPr>
            <w:r>
              <w:rPr>
                <w:rFonts w:ascii="Aptos" w:hAnsi="Aptos"/>
                <w:sz w:val="16"/>
              </w:rPr>
              <w:t>Publicar testimonios autorizados.</w:t>
            </w:r>
          </w:p>
        </w:tc>
      </w:tr>
      <w:tr>
        <w:trPr>
          <w:cantSplit/>
        </w:trPr>
        <w:tc>
          <w:tcPr>
            <w:tcW w:type="dxa" w:w="5040"/>
            <w:tcMar>
              <w:top w:w="90" w:type="dxa"/>
              <w:start w:w="100" w:type="dxa"/>
              <w:bottom w:w="90" w:type="dxa"/>
              <w:end w:w="100" w:type="dxa"/>
            </w:tcMar>
            <w:vAlign w:val="center"/>
          </w:tcPr>
          <w:p>
            <w:pPr>
              <w:spacing w:after="40"/>
            </w:pPr>
            <w:r>
              <w:rPr>
                <w:rFonts w:ascii="Aptos" w:hAnsi="Aptos"/>
                <w:sz w:val="16"/>
              </w:rPr>
              <w:t>Backoffice</w:t>
            </w:r>
          </w:p>
        </w:tc>
        <w:tc>
          <w:tcPr>
            <w:tcW w:type="dxa" w:w="5040"/>
            <w:tcMar>
              <w:top w:w="90" w:type="dxa"/>
              <w:start w:w="100" w:type="dxa"/>
              <w:bottom w:w="90" w:type="dxa"/>
              <w:end w:w="100" w:type="dxa"/>
            </w:tcMar>
            <w:vAlign w:val="center"/>
          </w:tcPr>
          <w:p>
            <w:pPr>
              <w:spacing w:after="40"/>
            </w:pPr>
            <w:r>
              <w:rPr>
                <w:rFonts w:ascii="Aptos" w:hAnsi="Aptos"/>
                <w:sz w:val="16"/>
              </w:rPr>
              <w:t>Administrar contenidos y operaciones conforme se habiliten las fases.</w:t>
            </w:r>
          </w:p>
        </w:tc>
      </w:tr>
    </w:tbl>
    <w:p>
      <w:pPr>
        <w:pStyle w:val="Heading1"/>
        <w:keepNext/>
      </w:pPr>
      <w:r>
        <w:t>8. Alcance por fases</w:t>
      </w:r>
    </w:p>
    <w:p>
      <w:r>
        <w:t>El producto se desarrollará de forma incremental. El objetivo de la primera fase es validar adquisición, activación y captación antes de introducir pagos, agenda y eventos.</w:t>
      </w:r>
    </w:p>
    <w:tbl>
      <w:tblPr>
        <w:tblW w:type="auto" w:w="0"/>
        <w:jc w:val="left"/>
        <w:tblLook w:firstColumn="1" w:firstRow="1" w:lastColumn="0" w:lastRow="0" w:noHBand="0" w:noVBand="1" w:val="04A0"/>
      </w:tblPr>
      <w:tblGrid>
        <w:gridCol w:w="2520"/>
        <w:gridCol w:w="2520"/>
        <w:gridCol w:w="2520"/>
        <w:gridCol w:w="2520"/>
      </w:tblGrid>
      <w:tr>
        <w:trPr>
          <w:tblHeader w:val="true"/>
          <w:cantSplit/>
        </w:trPr>
        <w:tc>
          <w:tcPr>
            <w:tcW w:type="dxa" w:w="2520"/>
            <w:shd w:fill="21394F"/>
            <w:vAlign w:val="center"/>
          </w:tcPr>
          <w:p>
            <w:pPr>
              <w:spacing w:after="40"/>
            </w:pPr>
            <w:r>
              <w:rPr>
                <w:rFonts w:ascii="Aptos" w:hAnsi="Aptos"/>
                <w:b/>
                <w:color w:val="FFFFFF"/>
                <w:sz w:val="16"/>
              </w:rPr>
              <w:t>Fase</w:t>
            </w:r>
          </w:p>
        </w:tc>
        <w:tc>
          <w:tcPr>
            <w:tcW w:type="dxa" w:w="2520"/>
            <w:shd w:fill="21394F"/>
            <w:vAlign w:val="center"/>
          </w:tcPr>
          <w:p>
            <w:pPr>
              <w:spacing w:after="40"/>
            </w:pPr>
            <w:r>
              <w:rPr>
                <w:rFonts w:ascii="Aptos" w:hAnsi="Aptos"/>
                <w:b/>
                <w:color w:val="FFFFFF"/>
                <w:sz w:val="16"/>
              </w:rPr>
              <w:t>Objetivo</w:t>
            </w:r>
          </w:p>
        </w:tc>
        <w:tc>
          <w:tcPr>
            <w:tcW w:type="dxa" w:w="2520"/>
            <w:shd w:fill="21394F"/>
            <w:vAlign w:val="center"/>
          </w:tcPr>
          <w:p>
            <w:pPr>
              <w:spacing w:after="40"/>
            </w:pPr>
            <w:r>
              <w:rPr>
                <w:rFonts w:ascii="Aptos" w:hAnsi="Aptos"/>
                <w:b/>
                <w:color w:val="FFFFFF"/>
                <w:sz w:val="16"/>
              </w:rPr>
              <w:t>Incluye</w:t>
            </w:r>
          </w:p>
        </w:tc>
        <w:tc>
          <w:tcPr>
            <w:tcW w:type="dxa" w:w="2520"/>
            <w:shd w:fill="21394F"/>
            <w:vAlign w:val="center"/>
          </w:tcPr>
          <w:p>
            <w:pPr>
              <w:spacing w:after="40"/>
            </w:pPr>
            <w:r>
              <w:rPr>
                <w:rFonts w:ascii="Aptos" w:hAnsi="Aptos"/>
                <w:b/>
                <w:color w:val="FFFFFF"/>
                <w:sz w:val="16"/>
              </w:rPr>
              <w:t>Gate de salida</w:t>
            </w:r>
          </w:p>
        </w:tc>
      </w:tr>
      <w:tr>
        <w:trPr>
          <w:cantSplit/>
        </w:trPr>
        <w:tc>
          <w:tcPr>
            <w:tcW w:type="dxa" w:w="2520"/>
            <w:tcMar>
              <w:top w:w="100" w:type="dxa"/>
              <w:start w:w="90" w:type="dxa"/>
              <w:bottom w:w="100" w:type="dxa"/>
              <w:end w:w="90" w:type="dxa"/>
            </w:tcMar>
            <w:vAlign w:val="center"/>
          </w:tcPr>
          <w:p>
            <w:pPr>
              <w:spacing w:after="40"/>
            </w:pPr>
            <w:r>
              <w:rPr>
                <w:rFonts w:ascii="Aptos" w:hAnsi="Aptos"/>
                <w:sz w:val="16"/>
              </w:rPr>
              <w:t>A · Validación</w:t>
            </w:r>
          </w:p>
        </w:tc>
        <w:tc>
          <w:tcPr>
            <w:tcW w:type="dxa" w:w="2520"/>
            <w:tcMar>
              <w:top w:w="100" w:type="dxa"/>
              <w:start w:w="90" w:type="dxa"/>
              <w:bottom w:w="100" w:type="dxa"/>
              <w:end w:w="90" w:type="dxa"/>
            </w:tcMar>
            <w:vAlign w:val="center"/>
          </w:tcPr>
          <w:p>
            <w:pPr>
              <w:spacing w:after="40"/>
            </w:pPr>
            <w:r>
              <w:rPr>
                <w:rFonts w:ascii="Aptos" w:hAnsi="Aptos"/>
                <w:sz w:val="16"/>
              </w:rPr>
              <w:t>Validar propuesta de valor, utilidad de herramientas y captación.</w:t>
            </w:r>
          </w:p>
        </w:tc>
        <w:tc>
          <w:tcPr>
            <w:tcW w:type="dxa" w:w="2520"/>
            <w:tcMar>
              <w:top w:w="100" w:type="dxa"/>
              <w:start w:w="90" w:type="dxa"/>
              <w:bottom w:w="100" w:type="dxa"/>
              <w:end w:w="90" w:type="dxa"/>
            </w:tcMar>
            <w:vAlign w:val="center"/>
          </w:tcPr>
          <w:p>
            <w:pPr>
              <w:spacing w:after="40"/>
            </w:pPr>
            <w:r>
              <w:rPr>
                <w:rFonts w:ascii="Aptos" w:hAnsi="Aptos"/>
                <w:sz w:val="16"/>
              </w:rPr>
              <w:t xml:space="preserve">Home; 1 calculadora; lead magnet; Check PyME freemium; blog/artículos; analítica; formularios; privacidad/consentimientos; backoffice mínimo operativo.; botón “Solicitar orientación” en el resultado del Check PyME, con seguimiento manual.</w:t>
            </w:r>
          </w:p>
        </w:tc>
        <w:tc>
          <w:tcPr>
            <w:tcW w:type="dxa" w:w="2520"/>
            <w:tcMar>
              <w:top w:w="100" w:type="dxa"/>
              <w:start w:w="90" w:type="dxa"/>
              <w:bottom w:w="100" w:type="dxa"/>
              <w:end w:w="90" w:type="dxa"/>
            </w:tcMar>
            <w:vAlign w:val="center"/>
          </w:tcPr>
          <w:p>
            <w:r>
              <w:t>Umbrales de sección 17; descarga inmediata del Check confiable, sin incidentes graves; correo fiable para lead magnets y notificaciones.</w:t>
            </w:r>
          </w:p>
        </w:tc>
      </w:tr>
      <w:tr>
        <w:trPr>
          <w:cantSplit/>
        </w:trPr>
        <w:tc>
          <w:tcPr>
            <w:tcW w:type="dxa" w:w="2520"/>
            <w:tcMar>
              <w:top w:w="100" w:type="dxa"/>
              <w:start w:w="90" w:type="dxa"/>
              <w:bottom w:w="100" w:type="dxa"/>
              <w:end w:w="90" w:type="dxa"/>
            </w:tcMar>
            <w:vAlign w:val="center"/>
          </w:tcPr>
          <w:p>
            <w:pPr>
              <w:spacing w:after="40"/>
            </w:pPr>
            <w:r>
              <w:rPr>
                <w:rFonts w:ascii="Aptos" w:hAnsi="Aptos"/>
                <w:sz w:val="16"/>
              </w:rPr>
              <w:t>B · Monetización digital</w:t>
            </w:r>
          </w:p>
        </w:tc>
        <w:tc>
          <w:tcPr>
            <w:tcW w:type="dxa" w:w="2520"/>
            <w:tcMar>
              <w:top w:w="100" w:type="dxa"/>
              <w:start w:w="90" w:type="dxa"/>
              <w:bottom w:w="100" w:type="dxa"/>
              <w:end w:w="90" w:type="dxa"/>
            </w:tcMar>
            <w:vAlign w:val="center"/>
          </w:tcPr>
          <w:p>
            <w:pPr>
              <w:spacing w:after="40"/>
            </w:pPr>
            <w:r>
              <w:rPr>
                <w:rFonts w:ascii="Aptos" w:hAnsi="Aptos"/>
                <w:sz w:val="16"/>
              </w:rPr>
              <w:t>Validar disposición de pago por materiales.</w:t>
            </w:r>
          </w:p>
        </w:tc>
        <w:tc>
          <w:tcPr>
            <w:tcW w:type="dxa" w:w="2520"/>
            <w:tcMar>
              <w:top w:w="100" w:type="dxa"/>
              <w:start w:w="90" w:type="dxa"/>
              <w:bottom w:w="100" w:type="dxa"/>
              <w:end w:w="90" w:type="dxa"/>
            </w:tcMar>
            <w:vAlign w:val="center"/>
          </w:tcPr>
          <w:p>
            <w:pPr>
              <w:spacing w:after="40"/>
            </w:pPr>
            <w:r>
              <w:rPr>
                <w:rFonts w:ascii="Aptos" w:hAnsi="Aptos"/>
                <w:sz w:val="16"/>
              </w:rPr>
              <w:t>Stripe; catálogo de recursos de pago; órdenes; pagos; entrega segura; magic links de recuperación; soporte a facturación/CFDI; analítica comercial.</w:t>
            </w:r>
          </w:p>
        </w:tc>
        <w:tc>
          <w:tcPr>
            <w:tcW w:type="dxa" w:w="2520"/>
            <w:tcMar>
              <w:top w:w="100" w:type="dxa"/>
              <w:start w:w="90" w:type="dxa"/>
              <w:bottom w:w="100" w:type="dxa"/>
              <w:end w:w="90" w:type="dxa"/>
            </w:tcMar>
            <w:vAlign w:val="center"/>
          </w:tcPr>
          <w:p>
            <w:pPr>
              <w:spacing w:after="40"/>
            </w:pPr>
            <w:r>
              <w:rPr>
                <w:rFonts w:ascii="Aptos" w:hAnsi="Aptos"/>
                <w:sz w:val="16"/>
              </w:rPr>
              <w:t>Compras reales, entrega fiable, conciliación de pagos y flujo fiscal operativo.</w:t>
            </w:r>
          </w:p>
        </w:tc>
      </w:tr>
      <w:tr>
        <w:trPr>
          <w:cantSplit/>
        </w:trPr>
        <w:tc>
          <w:tcPr>
            <w:tcW w:type="dxa" w:w="2520"/>
            <w:tcMar>
              <w:top w:w="100" w:type="dxa"/>
              <w:start w:w="90" w:type="dxa"/>
              <w:bottom w:w="100" w:type="dxa"/>
              <w:end w:w="90" w:type="dxa"/>
            </w:tcMar>
            <w:vAlign w:val="center"/>
          </w:tcPr>
          <w:p>
            <w:pPr>
              <w:spacing w:after="40"/>
            </w:pPr>
            <w:r>
              <w:rPr>
                <w:rFonts w:ascii="Aptos" w:hAnsi="Aptos"/>
                <w:sz w:val="16"/>
              </w:rPr>
              <w:t>C · Servicios y eventos</w:t>
            </w:r>
          </w:p>
        </w:tc>
        <w:tc>
          <w:tcPr>
            <w:tcW w:type="dxa" w:w="2520"/>
            <w:tcMar>
              <w:top w:w="100" w:type="dxa"/>
              <w:start w:w="90" w:type="dxa"/>
              <w:bottom w:w="100" w:type="dxa"/>
              <w:end w:w="90" w:type="dxa"/>
            </w:tcMar>
            <w:vAlign w:val="center"/>
          </w:tcPr>
          <w:p>
            <w:pPr>
              <w:spacing w:after="40"/>
            </w:pPr>
            <w:r>
              <w:rPr>
                <w:rFonts w:ascii="Aptos" w:hAnsi="Aptos"/>
                <w:sz w:val="16"/>
              </w:rPr>
              <w:t>Validar contratación de tiempo experto y sesiones en vivo.</w:t>
            </w:r>
          </w:p>
        </w:tc>
        <w:tc>
          <w:tcPr>
            <w:tcW w:type="dxa" w:w="2520"/>
            <w:tcMar>
              <w:top w:w="100" w:type="dxa"/>
              <w:start w:w="90" w:type="dxa"/>
              <w:bottom w:w="100" w:type="dxa"/>
              <w:end w:w="90" w:type="dxa"/>
            </w:tcMar>
            <w:vAlign w:val="center"/>
          </w:tcPr>
          <w:p>
            <w:pPr>
              <w:spacing w:after="40"/>
            </w:pPr>
            <w:r>
              <w:rPr>
                <w:rFonts w:ascii="Aptos" w:hAnsi="Aptos"/>
                <w:sz w:val="16"/>
              </w:rPr>
              <w:t>Agenda one-to-one; reserva temporal; pago; reprogramación/cancelación; eventos; inscripciones; recordatorios; acceso a sesiones.</w:t>
            </w:r>
          </w:p>
        </w:tc>
        <w:tc>
          <w:tcPr>
            <w:tcW w:type="dxa" w:w="2520"/>
            <w:tcMar>
              <w:top w:w="100" w:type="dxa"/>
              <w:start w:w="90" w:type="dxa"/>
              <w:bottom w:w="100" w:type="dxa"/>
              <w:end w:w="90" w:type="dxa"/>
            </w:tcMar>
            <w:vAlign w:val="center"/>
          </w:tcPr>
          <w:p>
            <w:pPr>
              <w:spacing w:after="40"/>
            </w:pPr>
            <w:r>
              <w:rPr>
                <w:rFonts w:ascii="Aptos" w:hAnsi="Aptos"/>
                <w:sz w:val="16"/>
              </w:rPr>
              <w:t>Citas/eventos pagados, operación sin conflictos de agenda y políticas de servicio probadas.</w:t>
            </w:r>
          </w:p>
        </w:tc>
      </w:tr>
    </w:tbl>
    <w:p>
      <w:r>
        <w:t>El backoffice no se considera una fase comercial independiente: se implementará únicamente en la medida necesaria para operar cada fase con control, trazabilidad y soporte.</w:t>
      </w:r>
    </w:p>
    <w:p>
      <w:pPr>
        <w:pStyle w:val="Heading1"/>
        <w:keepNext/>
      </w:pPr>
      <w:r>
        <w:t>9. Fuera de alcance inicial</w:t>
      </w:r>
    </w:p>
    <w:p>
      <w:pPr>
        <w:pStyle w:val="ListBullet"/>
      </w:pPr>
      <w:r>
        <w:t>Registro público de usuarios, contraseñas y perfiles personales.</w:t>
      </w:r>
    </w:p>
    <w:p>
      <w:pPr>
        <w:pStyle w:val="ListBullet"/>
      </w:pPr>
      <w:r>
        <w:t>Dashboard “Mis compras”, “Mis cursos” o “Mis recursos”.</w:t>
      </w:r>
    </w:p>
    <w:p>
      <w:pPr>
        <w:pStyle w:val="ListBullet"/>
      </w:pPr>
      <w:r>
        <w:t>Membresías o suscripciones con contenido premium.</w:t>
      </w:r>
    </w:p>
    <w:p>
      <w:pPr>
        <w:pStyle w:val="ListBullet"/>
      </w:pPr>
      <w:r>
        <w:t>LMS propio con avance, evaluaciones y certificados.</w:t>
      </w:r>
    </w:p>
    <w:p>
      <w:pPr>
        <w:pStyle w:val="ListBullet"/>
      </w:pPr>
      <w:r>
        <w:t>CRM completo desarrollado desde cero.</w:t>
      </w:r>
    </w:p>
    <w:p>
      <w:pPr>
        <w:pStyle w:val="ListBullet"/>
      </w:pPr>
      <w:r>
        <w:t>Marketplace de terceros.</w:t>
      </w:r>
    </w:p>
    <w:p>
      <w:pPr>
        <w:pStyle w:val="ListBullet"/>
      </w:pPr>
      <w:r>
        <w:t>Aplicación móvil nativa.</w:t>
      </w:r>
    </w:p>
    <w:p>
      <w:pPr>
        <w:pStyle w:val="ListBullet"/>
      </w:pPr>
      <w:r>
        <w:t>Microservicios como arquitectura inicial.</w:t>
      </w:r>
    </w:p>
    <w:p>
      <w:pPr>
        <w:pStyle w:val="ListBullet"/>
      </w:pPr>
      <w:r>
        <w:t>Recomendaciones personalizadas mediante IA en la primera versión.</w:t>
      </w:r>
    </w:p>
    <w:p>
      <w:pPr>
        <w:pStyle w:val="Heading1"/>
        <w:keepNext/>
      </w:pPr>
      <w:r>
        <w:t>10. Check PyME como diferenciador</w:t>
      </w:r>
    </w:p>
    <w:p>
      <w:r>
        <w:t>El Check PyME v1.3 queda congelado en esta versión como un diagnóstico básico de gestión y preparación financiera, diseñado para reducir fricción. No solicitará estados financieros, cifras detalladas ni información compleja. Su propósito es identificar si la empresa cuenta con prácticas mínimas de observación, control y toma de decisiones; no constituye un dictamen financiero, contable, fiscal, legal ni una evaluación de elegibilidad crediticia.</w:t>
      </w:r>
    </w:p>
    <w:p>
      <w:pPr/>
      <w:r>
        <w:rPr>
          <w:b/>
        </w:rPr>
        <w:t>Definición congelada.</w:t>
      </w:r>
      <w:r>
        <w:t xml:space="preserve"> Cualquier cambio posterior en dimensiones, preguntas, escala o interpretación deberá registrarse como una nueva versión del Check PyME y evaluarse por su impacto en comparabilidad de resultados y analítica.</w:t>
      </w:r>
    </w:p>
    <w:p>
      <w:r>
        <w:t>El detalle de preguntas, puntuación, niveles, contenido del resultado y entrega del Check PyME v1.3 se encuentra en el Anexo A. El catálogo de acciones v0.1 y selección v0.1 aprobados se conservan; el cambio v1.3 afecta el recorrido de captura y entrega.</w:t>
      </w:r>
    </w:p>
    <w:p>
      <w:pPr>
        <w:pStyle w:val="Heading1"/>
        <w:keepNext/>
      </w:pPr>
      <w:r>
        <w:t>11. Modelo conceptual de conversión</w:t>
      </w:r>
    </w:p>
    <w:p>
      <w:pPr>
        <w:jc w:val="center"/>
      </w:pPr>
      <w:r>
        <w:rPr>
          <w:b/>
          <w:color w:val="21394F"/>
        </w:rPr>
        <w:t>Contenido / búsqueda  →  Herramienta o Check PyME  →  Captura de lead  →  Entrega de valor  →  Recurso / evento / consulta  →  Pago cuando corresponda  →  Entrega / cita / acceso  →  Seguimiento y analítica</w:t>
      </w:r>
    </w:p>
    <w:p>
      <w:pPr>
        <w:pStyle w:val="Heading1"/>
        <w:keepNext/>
      </w:pPr>
      <w:r>
        <w:t>12. Entidades conceptuales</w:t>
      </w:r>
    </w:p>
    <w:p>
      <w:r>
        <w:t>Sin definir todavía el modelo físico de datos, se reconocen las siguientes entidades principales:</w:t>
      </w:r>
    </w:p>
    <w:p>
      <w:pPr>
        <w:pStyle w:val="ListBullet"/>
      </w:pPr>
      <w:r>
        <w:t>Lead</w:t>
      </w:r>
    </w:p>
    <w:p>
      <w:pPr>
        <w:pStyle w:val="ListBullet"/>
      </w:pPr>
      <w:r>
        <w:t>Consentimiento</w:t>
      </w:r>
    </w:p>
    <w:p>
      <w:pPr>
        <w:pStyle w:val="ListBullet"/>
      </w:pPr>
      <w:r>
        <w:t>Preferencia de contacto / baja</w:t>
      </w:r>
    </w:p>
    <w:p>
      <w:pPr>
        <w:pStyle w:val="ListBullet"/>
      </w:pPr>
      <w:r>
        <w:t>Diagnóstico</w:t>
      </w:r>
    </w:p>
    <w:p>
      <w:pPr>
        <w:pStyle w:val="ListBullet"/>
      </w:pPr>
      <w:r>
        <w:t>Herramienta</w:t>
      </w:r>
    </w:p>
    <w:p>
      <w:pPr>
        <w:pStyle w:val="ListBullet"/>
      </w:pPr>
      <w:r>
        <w:t>Recurso digital</w:t>
      </w:r>
    </w:p>
    <w:p>
      <w:pPr>
        <w:pStyle w:val="ListBullet"/>
      </w:pPr>
      <w:r>
        <w:t>Producto</w:t>
      </w:r>
    </w:p>
    <w:p>
      <w:pPr>
        <w:pStyle w:val="ListBullet"/>
      </w:pPr>
      <w:r>
        <w:t>Orden</w:t>
      </w:r>
    </w:p>
    <w:p>
      <w:pPr>
        <w:pStyle w:val="ListBullet"/>
      </w:pPr>
      <w:r>
        <w:t>Pago</w:t>
      </w:r>
    </w:p>
    <w:p>
      <w:pPr>
        <w:pStyle w:val="ListBullet"/>
      </w:pPr>
      <w:r>
        <w:t>Solicitud de factura</w:t>
      </w:r>
    </w:p>
    <w:p>
      <w:pPr>
        <w:pStyle w:val="ListBullet"/>
      </w:pPr>
      <w:r>
        <w:t>Datos fiscales</w:t>
      </w:r>
    </w:p>
    <w:p>
      <w:pPr>
        <w:pStyle w:val="ListBullet"/>
      </w:pPr>
      <w:r>
        <w:t>CFDI / referencia de facturación</w:t>
      </w:r>
    </w:p>
    <w:p>
      <w:pPr>
        <w:pStyle w:val="ListBullet"/>
      </w:pPr>
      <w:r>
        <w:t>Descarga</w:t>
      </w:r>
    </w:p>
    <w:p>
      <w:pPr>
        <w:pStyle w:val="ListBullet"/>
      </w:pPr>
      <w:r>
        <w:t>Token de acceso / magic link</w:t>
      </w:r>
    </w:p>
    <w:p>
      <w:pPr>
        <w:pStyle w:val="ListBullet"/>
      </w:pPr>
      <w:r>
        <w:t>Servicio</w:t>
      </w:r>
    </w:p>
    <w:p>
      <w:pPr>
        <w:pStyle w:val="ListBullet"/>
      </w:pPr>
      <w:r>
        <w:t>Cita</w:t>
      </w:r>
    </w:p>
    <w:p>
      <w:pPr>
        <w:pStyle w:val="ListBullet"/>
      </w:pPr>
      <w:r>
        <w:t>Evento</w:t>
      </w:r>
    </w:p>
    <w:p>
      <w:pPr>
        <w:pStyle w:val="ListBullet"/>
      </w:pPr>
      <w:r>
        <w:t>Inscripción</w:t>
      </w:r>
    </w:p>
    <w:p>
      <w:pPr>
        <w:pStyle w:val="ListBullet"/>
      </w:pPr>
      <w:r>
        <w:t>Documento</w:t>
      </w:r>
    </w:p>
    <w:p>
      <w:pPr>
        <w:pStyle w:val="ListBullet"/>
      </w:pPr>
      <w:r>
        <w:t>Artículo</w:t>
      </w:r>
    </w:p>
    <w:p>
      <w:pPr>
        <w:pStyle w:val="ListBullet"/>
      </w:pPr>
      <w:r>
        <w:t>Video</w:t>
      </w:r>
    </w:p>
    <w:p>
      <w:pPr>
        <w:pStyle w:val="ListBullet"/>
      </w:pPr>
      <w:r>
        <w:t>Comentario / solicitud</w:t>
      </w:r>
    </w:p>
    <w:p>
      <w:pPr>
        <w:pStyle w:val="ListBullet"/>
      </w:pPr>
      <w:r>
        <w:t>Testimonial</w:t>
      </w:r>
    </w:p>
    <w:p>
      <w:pPr>
        <w:pStyle w:val="ListBullet"/>
      </w:pPr>
      <w:r>
        <w:t>Evento analítico</w:t>
      </w:r>
    </w:p>
    <w:p>
      <w:pPr>
        <w:pStyle w:val="ListBullet"/>
      </w:pPr>
      <w:r>
        <w:t>Registro de auditoría</w:t>
      </w:r>
    </w:p>
    <w:p>
      <w:r>
        <w:t>La plataforma utilizará identificadores técnicos internos y, cuando sea útil operativamente, identificadores públicos legibles, por ejemplo LEAD-2026-000001, ORD-2026-000001 o APT-2026-000001. Los identificadores públicos no deberán funcionar como secreto de autenticación.</w:t>
      </w:r>
    </w:p>
    <w:p>
      <w:pPr>
        <w:pStyle w:val="Heading1"/>
        <w:keepNext/>
      </w:pPr>
      <w:r>
        <w:t>13. Integraciones previstas</w:t>
      </w:r>
    </w:p>
    <w:tbl>
      <w:tblPr>
        <w:tblW w:type="auto" w:w="0"/>
        <w:jc w:val="left"/>
        <w:tblLook w:firstColumn="1" w:firstRow="1" w:lastColumn="0" w:lastRow="0" w:noHBand="0" w:noVBand="1" w:val="04A0"/>
      </w:tblPr>
      <w:tblGrid>
        <w:gridCol w:w="3360"/>
        <w:gridCol w:w="3360"/>
        <w:gridCol w:w="3360"/>
      </w:tblGrid>
      <w:tr>
        <w:trPr>
          <w:tblHeader w:val="true"/>
          <w:cantSplit/>
        </w:trPr>
        <w:tc>
          <w:tcPr>
            <w:tcW w:type="dxa" w:w="3360"/>
            <w:shd w:fill="21394F"/>
            <w:vAlign w:val="center"/>
          </w:tcPr>
          <w:p>
            <w:pPr>
              <w:spacing w:after="40"/>
            </w:pPr>
            <w:r>
              <w:rPr>
                <w:rFonts w:ascii="Aptos" w:hAnsi="Aptos"/>
                <w:b/>
                <w:color w:val="FFFFFF"/>
                <w:sz w:val="16"/>
              </w:rPr>
              <w:t>Integración</w:t>
            </w:r>
          </w:p>
        </w:tc>
        <w:tc>
          <w:tcPr>
            <w:tcW w:type="dxa" w:w="3360"/>
            <w:shd w:fill="21394F"/>
            <w:vAlign w:val="center"/>
          </w:tcPr>
          <w:p>
            <w:pPr>
              <w:spacing w:after="40"/>
            </w:pPr>
            <w:r>
              <w:rPr>
                <w:rFonts w:ascii="Aptos" w:hAnsi="Aptos"/>
                <w:b/>
                <w:color w:val="FFFFFF"/>
                <w:sz w:val="16"/>
              </w:rPr>
              <w:t>Fase</w:t>
            </w:r>
          </w:p>
        </w:tc>
        <w:tc>
          <w:tcPr>
            <w:tcW w:type="dxa" w:w="3360"/>
            <w:shd w:fill="21394F"/>
            <w:vAlign w:val="center"/>
          </w:tcPr>
          <w:p>
            <w:pPr>
              <w:spacing w:after="40"/>
            </w:pPr>
            <w:r>
              <w:rPr>
                <w:rFonts w:ascii="Aptos" w:hAnsi="Aptos"/>
                <w:b/>
                <w:color w:val="FFFFFF"/>
                <w:sz w:val="16"/>
              </w:rPr>
              <w:t>Uso previsto</w:t>
            </w:r>
          </w:p>
        </w:tc>
      </w:tr>
      <w:tr>
        <w:trPr>
          <w:cantSplit/>
        </w:trPr>
        <w:tc>
          <w:tcPr>
            <w:tcW w:type="dxa" w:w="3360"/>
            <w:tcMar>
              <w:top w:w="90" w:type="dxa"/>
              <w:start w:w="100" w:type="dxa"/>
              <w:bottom w:w="90" w:type="dxa"/>
              <w:end w:w="100" w:type="dxa"/>
            </w:tcMar>
            <w:vAlign w:val="center"/>
          </w:tcPr>
          <w:p>
            <w:r>
              <w:t>Correo transaccional</w:t>
            </w:r>
          </w:p>
        </w:tc>
        <w:tc>
          <w:tcPr>
            <w:tcW w:type="dxa" w:w="3360"/>
            <w:tcMar>
              <w:top w:w="90" w:type="dxa"/>
              <w:start w:w="100" w:type="dxa"/>
              <w:bottom w:w="90" w:type="dxa"/>
              <w:end w:w="100" w:type="dxa"/>
            </w:tcMar>
            <w:vAlign w:val="center"/>
          </w:tcPr>
          <w:p>
            <w:r>
              <w:t>A</w:t>
            </w:r>
          </w:p>
        </w:tc>
        <w:tc>
          <w:tcPr>
            <w:tcW w:type="dxa" w:w="3360"/>
            <w:tcMar>
              <w:top w:w="90" w:type="dxa"/>
              <w:start w:w="100" w:type="dxa"/>
              <w:bottom w:w="90" w:type="dxa"/>
              <w:end w:w="100" w:type="dxa"/>
            </w:tcMar>
            <w:vAlign w:val="center"/>
          </w:tcPr>
          <w:p>
            <w:r>
              <w:t>Lead magnets, bajas y notificaciones; en B, envío del magic link de compra. La descarga del Check no depende de correo.</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Analítica</w:t>
            </w:r>
          </w:p>
        </w:tc>
        <w:tc>
          <w:tcPr>
            <w:tcW w:type="dxa" w:w="3360"/>
            <w:tcMar>
              <w:top w:w="90" w:type="dxa"/>
              <w:start w:w="100" w:type="dxa"/>
              <w:bottom w:w="90" w:type="dxa"/>
              <w:end w:w="100" w:type="dxa"/>
            </w:tcMar>
            <w:vAlign w:val="center"/>
          </w:tcPr>
          <w:p>
            <w:pPr>
              <w:spacing w:after="40"/>
            </w:pPr>
            <w:r>
              <w:rPr>
                <w:rFonts w:ascii="Aptos" w:hAnsi="Aptos"/>
                <w:sz w:val="16"/>
              </w:rPr>
              <w:t>A</w:t>
            </w:r>
          </w:p>
        </w:tc>
        <w:tc>
          <w:tcPr>
            <w:tcW w:type="dxa" w:w="3360"/>
            <w:tcMar>
              <w:top w:w="90" w:type="dxa"/>
              <w:start w:w="100" w:type="dxa"/>
              <w:bottom w:w="90" w:type="dxa"/>
              <w:end w:w="100" w:type="dxa"/>
            </w:tcMar>
            <w:vAlign w:val="center"/>
          </w:tcPr>
          <w:p>
            <w:pPr>
              <w:spacing w:after="40"/>
            </w:pPr>
            <w:r>
              <w:rPr>
                <w:rFonts w:ascii="Aptos" w:hAnsi="Aptos"/>
                <w:sz w:val="16"/>
              </w:rPr>
              <w:t>Tráfico, funnels, conversiones, uso de herramientas y errores.</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Almacenamiento de objetos</w:t>
            </w:r>
          </w:p>
        </w:tc>
        <w:tc>
          <w:tcPr>
            <w:tcW w:type="dxa" w:w="3360"/>
            <w:tcMar>
              <w:top w:w="90" w:type="dxa"/>
              <w:start w:w="100" w:type="dxa"/>
              <w:bottom w:w="90" w:type="dxa"/>
              <w:end w:w="100" w:type="dxa"/>
            </w:tcMar>
            <w:vAlign w:val="center"/>
          </w:tcPr>
          <w:p>
            <w:pPr>
              <w:spacing w:after="40"/>
            </w:pPr>
            <w:r>
              <w:rPr>
                <w:rFonts w:ascii="Aptos" w:hAnsi="Aptos"/>
                <w:sz w:val="16"/>
              </w:rPr>
              <w:t>A</w:t>
            </w:r>
          </w:p>
        </w:tc>
        <w:tc>
          <w:tcPr>
            <w:tcW w:type="dxa" w:w="3360"/>
            <w:tcMar>
              <w:top w:w="90" w:type="dxa"/>
              <w:start w:w="100" w:type="dxa"/>
              <w:bottom w:w="90" w:type="dxa"/>
              <w:end w:w="100" w:type="dxa"/>
            </w:tcMar>
            <w:vAlign w:val="center"/>
          </w:tcPr>
          <w:p>
            <w:pPr>
              <w:spacing w:after="40"/>
            </w:pPr>
            <w:r>
              <w:rPr>
                <w:rFonts w:ascii="Aptos" w:hAnsi="Aptos"/>
                <w:sz w:val="16"/>
              </w:rPr>
              <w:t>PDFs, diagnósticos y archivos descargables fuera del acceso público directo.</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YouTube / video</w:t>
            </w:r>
          </w:p>
        </w:tc>
        <w:tc>
          <w:tcPr>
            <w:tcW w:type="dxa" w:w="3360"/>
            <w:tcMar>
              <w:top w:w="90" w:type="dxa"/>
              <w:start w:w="100" w:type="dxa"/>
              <w:bottom w:w="90" w:type="dxa"/>
              <w:end w:w="100" w:type="dxa"/>
            </w:tcMar>
            <w:vAlign w:val="center"/>
          </w:tcPr>
          <w:p>
            <w:pPr>
              <w:spacing w:after="40"/>
            </w:pPr>
            <w:r>
              <w:rPr>
                <w:rFonts w:ascii="Aptos" w:hAnsi="Aptos"/>
                <w:sz w:val="16"/>
              </w:rPr>
              <w:t>A</w:t>
            </w:r>
          </w:p>
        </w:tc>
        <w:tc>
          <w:tcPr>
            <w:tcW w:type="dxa" w:w="3360"/>
            <w:tcMar>
              <w:top w:w="90" w:type="dxa"/>
              <w:start w:w="100" w:type="dxa"/>
              <w:bottom w:w="90" w:type="dxa"/>
              <w:end w:w="100" w:type="dxa"/>
            </w:tcMar>
            <w:vAlign w:val="center"/>
          </w:tcPr>
          <w:p>
            <w:pPr>
              <w:spacing w:after="40"/>
            </w:pPr>
            <w:r>
              <w:rPr>
                <w:rFonts w:ascii="Aptos" w:hAnsi="Aptos"/>
                <w:sz w:val="16"/>
              </w:rPr>
              <w:t>Embeds sin almacenar video pesado en la plataforma.</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Stripe</w:t>
            </w:r>
          </w:p>
        </w:tc>
        <w:tc>
          <w:tcPr>
            <w:tcW w:type="dxa" w:w="3360"/>
            <w:tcMar>
              <w:top w:w="90" w:type="dxa"/>
              <w:start w:w="100" w:type="dxa"/>
              <w:bottom w:w="90" w:type="dxa"/>
              <w:end w:w="100" w:type="dxa"/>
            </w:tcMar>
            <w:vAlign w:val="center"/>
          </w:tcPr>
          <w:p>
            <w:pPr>
              <w:spacing w:after="40"/>
            </w:pPr>
            <w:r>
              <w:rPr>
                <w:rFonts w:ascii="Aptos" w:hAnsi="Aptos"/>
                <w:sz w:val="16"/>
              </w:rPr>
              <w:t>B</w:t>
            </w:r>
          </w:p>
        </w:tc>
        <w:tc>
          <w:tcPr>
            <w:tcW w:type="dxa" w:w="3360"/>
            <w:tcMar>
              <w:top w:w="90" w:type="dxa"/>
              <w:start w:w="100" w:type="dxa"/>
              <w:bottom w:w="90" w:type="dxa"/>
              <w:end w:w="100" w:type="dxa"/>
            </w:tcMar>
            <w:vAlign w:val="center"/>
          </w:tcPr>
          <w:p>
            <w:pPr>
              <w:spacing w:after="40"/>
            </w:pPr>
            <w:r>
              <w:rPr>
                <w:rFonts w:ascii="Aptos" w:hAnsi="Aptos"/>
                <w:sz w:val="16"/>
              </w:rPr>
              <w:t>Cobro de materiales digitales y, posteriormente, sesiones/eventos.</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Facturación / PAC o flujo fiscal</w:t>
            </w:r>
          </w:p>
        </w:tc>
        <w:tc>
          <w:tcPr>
            <w:tcW w:type="dxa" w:w="3360"/>
            <w:tcMar>
              <w:top w:w="90" w:type="dxa"/>
              <w:start w:w="100" w:type="dxa"/>
              <w:bottom w:w="90" w:type="dxa"/>
              <w:end w:w="100" w:type="dxa"/>
            </w:tcMar>
            <w:vAlign w:val="center"/>
          </w:tcPr>
          <w:p>
            <w:pPr>
              <w:spacing w:after="40"/>
            </w:pPr>
            <w:r>
              <w:rPr>
                <w:rFonts w:ascii="Aptos" w:hAnsi="Aptos"/>
                <w:sz w:val="16"/>
              </w:rPr>
              <w:t>B</w:t>
            </w:r>
          </w:p>
        </w:tc>
        <w:tc>
          <w:tcPr>
            <w:tcW w:type="dxa" w:w="3360"/>
            <w:tcMar>
              <w:top w:w="90" w:type="dxa"/>
              <w:start w:w="100" w:type="dxa"/>
              <w:bottom w:w="90" w:type="dxa"/>
              <w:end w:w="100" w:type="dxa"/>
            </w:tcMar>
            <w:vAlign w:val="center"/>
          </w:tcPr>
          <w:p>
            <w:pPr>
              <w:spacing w:after="40"/>
            </w:pPr>
            <w:r>
              <w:rPr>
                <w:rFonts w:ascii="Aptos" w:hAnsi="Aptos"/>
                <w:sz w:val="16"/>
              </w:rPr>
              <w:t>Solicitud y emisión/entrega de CFDI conforme al modelo fiscal definido.</w:t>
            </w:r>
          </w:p>
        </w:tc>
      </w:tr>
      <w:tr>
        <w:trPr>
          <w:cantSplit/>
        </w:trPr>
        <w:tc>
          <w:tcPr>
            <w:tcW w:type="dxa" w:w="3360"/>
            <w:tcMar>
              <w:top w:w="90" w:type="dxa"/>
              <w:start w:w="100" w:type="dxa"/>
              <w:bottom w:w="90" w:type="dxa"/>
              <w:end w:w="100" w:type="dxa"/>
            </w:tcMar>
            <w:vAlign w:val="center"/>
          </w:tcPr>
          <w:p>
            <w:pPr>
              <w:spacing w:after="40"/>
            </w:pPr>
            <w:r>
              <w:rPr>
                <w:rFonts w:ascii="Aptos" w:hAnsi="Aptos"/>
                <w:sz w:val="16"/>
              </w:rPr>
              <w:t>Google Calendar</w:t>
            </w:r>
          </w:p>
        </w:tc>
        <w:tc>
          <w:tcPr>
            <w:tcW w:type="dxa" w:w="3360"/>
            <w:tcMar>
              <w:top w:w="90" w:type="dxa"/>
              <w:start w:w="100" w:type="dxa"/>
              <w:bottom w:w="90" w:type="dxa"/>
              <w:end w:w="100" w:type="dxa"/>
            </w:tcMar>
            <w:vAlign w:val="center"/>
          </w:tcPr>
          <w:p>
            <w:pPr>
              <w:spacing w:after="40"/>
            </w:pPr>
            <w:r>
              <w:rPr>
                <w:rFonts w:ascii="Aptos" w:hAnsi="Aptos"/>
                <w:sz w:val="16"/>
              </w:rPr>
              <w:t>C</w:t>
            </w:r>
          </w:p>
        </w:tc>
        <w:tc>
          <w:tcPr>
            <w:tcW w:type="dxa" w:w="3360"/>
            <w:tcMar>
              <w:top w:w="90" w:type="dxa"/>
              <w:start w:w="100" w:type="dxa"/>
              <w:bottom w:w="90" w:type="dxa"/>
              <w:end w:w="100" w:type="dxa"/>
            </w:tcMar>
            <w:vAlign w:val="center"/>
          </w:tcPr>
          <w:p>
            <w:pPr>
              <w:spacing w:after="40"/>
            </w:pPr>
            <w:r>
              <w:rPr>
                <w:rFonts w:ascii="Aptos" w:hAnsi="Aptos"/>
                <w:sz w:val="16"/>
              </w:rPr>
              <w:t>Disponibilidad, creación, reprogramación/cancelación y operación de citas.</w:t>
            </w:r>
          </w:p>
        </w:tc>
      </w:tr>
    </w:tbl>
    <w:tbl>
      <w:tblPr>
        <w:tblW w:type="auto" w:w="0"/>
        <w:jc w:val="left"/>
        <w:tblLook w:firstColumn="1" w:firstRow="1" w:lastColumn="0" w:lastRow="0" w:noHBand="0" w:noVBand="1" w:val="04A0"/>
      </w:tblPr>
      <w:tblGrid>
        <w:gridCol w:w="10080"/>
      </w:tblGrid>
      <w:tr>
        <w:trPr>
          <w:tblHeader/>
          <w:cantSplit/>
        </w:trPr>
        <w:tc>
          <w:tcPr>
            <w:tcW w:type="dxa" w:w="10080"/>
            <w:shd w:fill="F4F7FA"/>
            <w:tcMar>
              <w:top w:w="120" w:type="dxa"/>
              <w:start w:w="140" w:type="dxa"/>
              <w:bottom w:w="120" w:type="dxa"/>
              <w:end w:w="140" w:type="dxa"/>
            </w:tcMar>
            <w:vAlign w:val="center"/>
          </w:tcPr>
          <w:p>
            <w:pPr>
              <w:spacing w:after="40"/>
            </w:pPr>
            <w:r>
              <w:rPr>
                <w:rFonts w:ascii="Aptos" w:hAnsi="Aptos"/>
                <w:b/>
                <w:color w:val="21394F"/>
                <w:sz w:val="16"/>
              </w:rPr>
              <w:t xml:space="preserve">Nota fiscal: </w:t>
            </w:r>
            <w:r>
              <w:rPr>
                <w:rFonts w:ascii="Aptos" w:hAnsi="Aptos"/>
                <w:sz w:val="16"/>
              </w:rPr>
              <w:t>La plataforma deberá soportar captura de los datos necesarios para solicitar CFDI 4.0 y conservar trazabilidad de la solicitud. El tratamiento de IVA, claves de producto/servicio y demás configuración fiscal deberá definirse por tipo de producto o servicio y validarse con asesoría fiscal antes de producción. Como referencia operativa del SAT, para solicitar factura se consideran RFC, nombre o razón social, código postal fiscal, uso del CFDI y régimen fiscal.</w:t>
            </w:r>
          </w:p>
        </w:tc>
      </w:tr>
    </w:tbl>
    <w:p>
      <w:pPr>
        <w:pStyle w:val="Heading1"/>
        <w:keepNext/>
      </w:pPr>
      <w:r>
        <w:t>14. Privacidad, consentimiento y retención</w:t>
      </w:r>
    </w:p>
    <w:p>
      <w:r>
        <w:t>La privacidad deberá diseñarse por finalidad, no como un aviso genérico. El Check PyME puede involucrar información financiera y operativa de una empresa; por ello se deberá minimizar la captura, definir retención y separar el consentimiento necesario para prestar el servicio del consentimiento comercial.</w:t>
      </w:r>
    </w:p>
    <w:tbl>
      <w:tblPr>
        <w:tblW w:type="auto" w:w="0"/>
        <w:jc w:val="left"/>
        <w:tblLook w:firstColumn="1" w:firstRow="1" w:lastColumn="0" w:lastRow="0" w:noHBand="0" w:noVBand="1" w:val="04A0"/>
      </w:tblPr>
      <w:tblGrid>
        <w:gridCol w:w="2520"/>
        <w:gridCol w:w="2520"/>
        <w:gridCol w:w="2520"/>
        <w:gridCol w:w="2520"/>
      </w:tblGrid>
      <w:tr>
        <w:trPr>
          <w:tblHeader w:val="true"/>
          <w:cantSplit/>
        </w:trPr>
        <w:tc>
          <w:tcPr>
            <w:tcW w:type="dxa" w:w="2520"/>
            <w:shd w:fill="21394F"/>
            <w:vAlign w:val="center"/>
          </w:tcPr>
          <w:p>
            <w:pPr>
              <w:spacing w:after="40"/>
            </w:pPr>
            <w:r>
              <w:rPr>
                <w:rFonts w:ascii="Aptos" w:hAnsi="Aptos"/>
                <w:b/>
                <w:color w:val="FFFFFF"/>
                <w:sz w:val="16"/>
              </w:rPr>
              <w:t>Dato / conjunto</w:t>
            </w:r>
          </w:p>
        </w:tc>
        <w:tc>
          <w:tcPr>
            <w:tcW w:type="dxa" w:w="2520"/>
            <w:shd w:fill="21394F"/>
            <w:vAlign w:val="center"/>
          </w:tcPr>
          <w:p>
            <w:pPr>
              <w:spacing w:after="40"/>
            </w:pPr>
            <w:r>
              <w:rPr>
                <w:rFonts w:ascii="Aptos" w:hAnsi="Aptos"/>
                <w:b/>
                <w:color w:val="FFFFFF"/>
                <w:sz w:val="16"/>
              </w:rPr>
              <w:t>Finalidad</w:t>
            </w:r>
          </w:p>
        </w:tc>
        <w:tc>
          <w:tcPr>
            <w:tcW w:type="dxa" w:w="2520"/>
            <w:shd w:fill="21394F"/>
            <w:vAlign w:val="center"/>
          </w:tcPr>
          <w:p>
            <w:pPr>
              <w:spacing w:after="40"/>
            </w:pPr>
            <w:r>
              <w:rPr>
                <w:rFonts w:ascii="Aptos" w:hAnsi="Aptos"/>
                <w:b/>
                <w:color w:val="FFFFFF"/>
                <w:sz w:val="16"/>
              </w:rPr>
              <w:t>Retención conceptual</w:t>
            </w:r>
          </w:p>
        </w:tc>
        <w:tc>
          <w:tcPr>
            <w:tcW w:type="dxa" w:w="2520"/>
            <w:shd w:fill="21394F"/>
            <w:vAlign w:val="center"/>
          </w:tcPr>
          <w:p>
            <w:pPr>
              <w:spacing w:after="40"/>
            </w:pPr>
            <w:r>
              <w:rPr>
                <w:rFonts w:ascii="Aptos" w:hAnsi="Aptos"/>
                <w:b/>
                <w:color w:val="FFFFFF"/>
                <w:sz w:val="16"/>
              </w:rPr>
              <w:t>Control</w:t>
            </w:r>
          </w:p>
        </w:tc>
      </w:tr>
      <w:tr>
        <w:trPr>
          <w:cantSplit/>
        </w:trPr>
        <w:tc>
          <w:tcPr>
            <w:tcW w:type="dxa" w:w="2520"/>
            <w:tcMar>
              <w:top w:w="90" w:type="dxa"/>
              <w:start w:w="80" w:type="dxa"/>
              <w:bottom w:w="90" w:type="dxa"/>
              <w:end w:w="80" w:type="dxa"/>
            </w:tcMar>
            <w:vAlign w:val="center"/>
          </w:tcPr>
          <w:p>
            <w:r>
              <w:t>Datos de lead</w:t>
            </w:r>
          </w:p>
        </w:tc>
        <w:tc>
          <w:tcPr>
            <w:tcW w:type="dxa" w:w="2520"/>
            <w:tcMar>
              <w:top w:w="90" w:type="dxa"/>
              <w:start w:w="80" w:type="dxa"/>
              <w:bottom w:w="90" w:type="dxa"/>
              <w:end w:w="80" w:type="dxa"/>
            </w:tcMar>
            <w:vAlign w:val="center"/>
          </w:tcPr>
          <w:p>
            <w:r>
              <w:t>Captación y entrega solicitada</w:t>
            </w:r>
          </w:p>
        </w:tc>
        <w:tc>
          <w:tcPr>
            <w:tcW w:type="dxa" w:w="2520"/>
            <w:tcMar>
              <w:top w:w="90" w:type="dxa"/>
              <w:start w:w="80" w:type="dxa"/>
              <w:bottom w:w="90" w:type="dxa"/>
              <w:end w:w="80" w:type="dxa"/>
            </w:tcMar>
            <w:vAlign w:val="center"/>
          </w:tcPr>
          <w:p>
            <w:r>
              <w:t>Datos de contacto originados en el Check: 12 meses desde su finalización; otras finalidades según política propia.</w:t>
            </w:r>
          </w:p>
        </w:tc>
        <w:tc>
          <w:tcPr>
            <w:tcW w:type="dxa" w:w="2520"/>
            <w:tcMar>
              <w:top w:w="90" w:type="dxa"/>
              <w:start w:w="80" w:type="dxa"/>
              <w:bottom w:w="90" w:type="dxa"/>
              <w:end w:w="80" w:type="dxa"/>
            </w:tcMar>
            <w:vAlign w:val="center"/>
          </w:tcPr>
          <w:p>
            <w:r>
              <w:t>Separar finalidad de Check, seguimiento solicitado y consentimiento comercial.</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Preferencia comercial</w:t>
            </w:r>
          </w:p>
        </w:tc>
        <w:tc>
          <w:tcPr>
            <w:tcW w:type="dxa" w:w="2520"/>
            <w:tcMar>
              <w:top w:w="90" w:type="dxa"/>
              <w:start w:w="80" w:type="dxa"/>
              <w:bottom w:w="90" w:type="dxa"/>
              <w:end w:w="80" w:type="dxa"/>
            </w:tcMar>
            <w:vAlign w:val="center"/>
          </w:tcPr>
          <w:p>
            <w:pPr>
              <w:spacing w:after="40"/>
            </w:pPr>
            <w:r>
              <w:rPr>
                <w:rFonts w:ascii="Aptos" w:hAnsi="Aptos"/>
                <w:sz w:val="16"/>
              </w:rPr>
              <w:t>Marketing / seguimiento</w:t>
            </w:r>
          </w:p>
        </w:tc>
        <w:tc>
          <w:tcPr>
            <w:tcW w:type="dxa" w:w="2520"/>
            <w:tcMar>
              <w:top w:w="90" w:type="dxa"/>
              <w:start w:w="80" w:type="dxa"/>
              <w:bottom w:w="90" w:type="dxa"/>
              <w:end w:w="80" w:type="dxa"/>
            </w:tcMar>
            <w:vAlign w:val="center"/>
          </w:tcPr>
          <w:p>
            <w:pPr>
              <w:spacing w:after="40"/>
            </w:pPr>
            <w:r>
              <w:rPr>
                <w:rFonts w:ascii="Aptos" w:hAnsi="Aptos"/>
                <w:sz w:val="16"/>
              </w:rPr>
              <w:t>Hasta baja, oposición o periodo de inactividad definido.</w:t>
            </w:r>
          </w:p>
        </w:tc>
        <w:tc>
          <w:tcPr>
            <w:tcW w:type="dxa" w:w="2520"/>
            <w:tcMar>
              <w:top w:w="90" w:type="dxa"/>
              <w:start w:w="80" w:type="dxa"/>
              <w:bottom w:w="90" w:type="dxa"/>
              <w:end w:w="80" w:type="dxa"/>
            </w:tcMar>
            <w:vAlign w:val="center"/>
          </w:tcPr>
          <w:p>
            <w:pPr>
              <w:spacing w:after="40"/>
            </w:pPr>
            <w:r>
              <w:rPr>
                <w:rFonts w:ascii="Aptos" w:hAnsi="Aptos"/>
                <w:sz w:val="16"/>
              </w:rPr>
              <w:t>Consentimiento separado cuando corresponda; mecanismo de unsubscribe.</w:t>
            </w:r>
          </w:p>
        </w:tc>
      </w:tr>
      <w:tr>
        <w:trPr>
          <w:cantSplit/>
        </w:trPr>
        <w:tc>
          <w:tcPr>
            <w:tcW w:type="dxa" w:w="2520"/>
            <w:tcMar>
              <w:top w:w="90" w:type="dxa"/>
              <w:start w:w="80" w:type="dxa"/>
              <w:bottom w:w="90" w:type="dxa"/>
              <w:end w:w="80" w:type="dxa"/>
            </w:tcMar>
            <w:vAlign w:val="center"/>
          </w:tcPr>
          <w:p>
            <w:r>
              <w:t>Respuestas Check PyME</w:t>
            </w:r>
          </w:p>
        </w:tc>
        <w:tc>
          <w:tcPr>
            <w:tcW w:type="dxa" w:w="2520"/>
            <w:tcMar>
              <w:top w:w="90" w:type="dxa"/>
              <w:start w:w="80" w:type="dxa"/>
              <w:bottom w:w="90" w:type="dxa"/>
              <w:end w:w="80" w:type="dxa"/>
            </w:tcMar>
            <w:vAlign w:val="center"/>
          </w:tcPr>
          <w:p>
            <w:r>
              <w:t>Generar diagnóstico y análisis interno autorizado</w:t>
            </w:r>
          </w:p>
        </w:tc>
        <w:tc>
          <w:tcPr>
            <w:tcW w:type="dxa" w:w="2520"/>
            <w:tcMar>
              <w:top w:w="90" w:type="dxa"/>
              <w:start w:w="80" w:type="dxa"/>
              <w:bottom w:w="90" w:type="dxa"/>
              <w:end w:w="80" w:type="dxa"/>
            </w:tcMar>
            <w:vAlign w:val="center"/>
          </w:tcPr>
          <w:p>
            <w:r>
              <w:t>Contacto, respuestas y resultado: 12 meses desde finalización; después eliminar o anonimizar.</w:t>
            </w:r>
          </w:p>
        </w:tc>
        <w:tc>
          <w:tcPr>
            <w:tcW w:type="dxa" w:w="2520"/>
            <w:tcMar>
              <w:top w:w="90" w:type="dxa"/>
              <w:start w:w="80" w:type="dxa"/>
              <w:bottom w:w="90" w:type="dxa"/>
              <w:end w:w="80" w:type="dxa"/>
            </w:tcMar>
            <w:vAlign w:val="center"/>
          </w:tcPr>
          <w:p>
            <w:r>
              <w:t>Sin recuperación pública; validación de privacidad antes de producción.</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Órdenes / pagos</w:t>
            </w:r>
          </w:p>
        </w:tc>
        <w:tc>
          <w:tcPr>
            <w:tcW w:type="dxa" w:w="2520"/>
            <w:tcMar>
              <w:top w:w="90" w:type="dxa"/>
              <w:start w:w="80" w:type="dxa"/>
              <w:bottom w:w="90" w:type="dxa"/>
              <w:end w:w="80" w:type="dxa"/>
            </w:tcMar>
            <w:vAlign w:val="center"/>
          </w:tcPr>
          <w:p>
            <w:pPr>
              <w:spacing w:after="40"/>
            </w:pPr>
            <w:r>
              <w:rPr>
                <w:rFonts w:ascii="Aptos" w:hAnsi="Aptos"/>
                <w:sz w:val="16"/>
              </w:rPr>
              <w:t>Cumplimiento y operación</w:t>
            </w:r>
          </w:p>
        </w:tc>
        <w:tc>
          <w:tcPr>
            <w:tcW w:type="dxa" w:w="2520"/>
            <w:tcMar>
              <w:top w:w="90" w:type="dxa"/>
              <w:start w:w="80" w:type="dxa"/>
              <w:bottom w:w="90" w:type="dxa"/>
              <w:end w:w="80" w:type="dxa"/>
            </w:tcMar>
            <w:vAlign w:val="center"/>
          </w:tcPr>
          <w:p>
            <w:pPr>
              <w:spacing w:after="40"/>
            </w:pPr>
            <w:r>
              <w:rPr>
                <w:rFonts w:ascii="Aptos" w:hAnsi="Aptos"/>
                <w:sz w:val="16"/>
              </w:rPr>
              <w:t>Conforme obligaciones fiscales, contables y de defensa de transacciones.</w:t>
            </w:r>
          </w:p>
        </w:tc>
        <w:tc>
          <w:tcPr>
            <w:tcW w:type="dxa" w:w="2520"/>
            <w:tcMar>
              <w:top w:w="90" w:type="dxa"/>
              <w:start w:w="80" w:type="dxa"/>
              <w:bottom w:w="90" w:type="dxa"/>
              <w:end w:w="80" w:type="dxa"/>
            </w:tcMar>
            <w:vAlign w:val="center"/>
          </w:tcPr>
          <w:p>
            <w:pPr>
              <w:spacing w:after="40"/>
            </w:pPr>
            <w:r>
              <w:rPr>
                <w:rFonts w:ascii="Aptos" w:hAnsi="Aptos"/>
                <w:sz w:val="16"/>
              </w:rPr>
              <w:t>No usar para marketing sin base separada.</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Datos fiscales / CFDI</w:t>
            </w:r>
          </w:p>
        </w:tc>
        <w:tc>
          <w:tcPr>
            <w:tcW w:type="dxa" w:w="2520"/>
            <w:tcMar>
              <w:top w:w="90" w:type="dxa"/>
              <w:start w:w="80" w:type="dxa"/>
              <w:bottom w:w="90" w:type="dxa"/>
              <w:end w:w="80" w:type="dxa"/>
            </w:tcMar>
            <w:vAlign w:val="center"/>
          </w:tcPr>
          <w:p>
            <w:pPr>
              <w:spacing w:after="40"/>
            </w:pPr>
            <w:r>
              <w:rPr>
                <w:rFonts w:ascii="Aptos" w:hAnsi="Aptos"/>
                <w:sz w:val="16"/>
              </w:rPr>
              <w:t>Facturación</w:t>
            </w:r>
          </w:p>
        </w:tc>
        <w:tc>
          <w:tcPr>
            <w:tcW w:type="dxa" w:w="2520"/>
            <w:tcMar>
              <w:top w:w="90" w:type="dxa"/>
              <w:start w:w="80" w:type="dxa"/>
              <w:bottom w:w="90" w:type="dxa"/>
              <w:end w:w="80" w:type="dxa"/>
            </w:tcMar>
            <w:vAlign w:val="center"/>
          </w:tcPr>
          <w:p>
            <w:pPr>
              <w:spacing w:after="40"/>
            </w:pPr>
            <w:r>
              <w:rPr>
                <w:rFonts w:ascii="Aptos" w:hAnsi="Aptos"/>
                <w:sz w:val="16"/>
              </w:rPr>
              <w:t>Conforme obligaciones fiscales aplicables.</w:t>
            </w:r>
          </w:p>
        </w:tc>
        <w:tc>
          <w:tcPr>
            <w:tcW w:type="dxa" w:w="2520"/>
            <w:tcMar>
              <w:top w:w="90" w:type="dxa"/>
              <w:start w:w="80" w:type="dxa"/>
              <w:bottom w:w="90" w:type="dxa"/>
              <w:end w:w="80" w:type="dxa"/>
            </w:tcMar>
            <w:vAlign w:val="center"/>
          </w:tcPr>
          <w:p>
            <w:pPr>
              <w:spacing w:after="40"/>
            </w:pPr>
            <w:r>
              <w:rPr>
                <w:rFonts w:ascii="Aptos" w:hAnsi="Aptos"/>
                <w:sz w:val="16"/>
              </w:rPr>
              <w:t>Acceso restringido y finalidad fiscal.</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Comentarios / solicitudes</w:t>
            </w:r>
          </w:p>
        </w:tc>
        <w:tc>
          <w:tcPr>
            <w:tcW w:type="dxa" w:w="2520"/>
            <w:tcMar>
              <w:top w:w="90" w:type="dxa"/>
              <w:start w:w="80" w:type="dxa"/>
              <w:bottom w:w="90" w:type="dxa"/>
              <w:end w:w="80" w:type="dxa"/>
            </w:tcMar>
            <w:vAlign w:val="center"/>
          </w:tcPr>
          <w:p>
            <w:pPr>
              <w:spacing w:after="40"/>
            </w:pPr>
            <w:r>
              <w:rPr>
                <w:rFonts w:ascii="Aptos" w:hAnsi="Aptos"/>
                <w:sz w:val="16"/>
              </w:rPr>
              <w:t>Atender contacto</w:t>
            </w:r>
          </w:p>
        </w:tc>
        <w:tc>
          <w:tcPr>
            <w:tcW w:type="dxa" w:w="2520"/>
            <w:tcMar>
              <w:top w:w="90" w:type="dxa"/>
              <w:start w:w="80" w:type="dxa"/>
              <w:bottom w:w="90" w:type="dxa"/>
              <w:end w:w="80" w:type="dxa"/>
            </w:tcMar>
            <w:vAlign w:val="center"/>
          </w:tcPr>
          <w:p>
            <w:pPr>
              <w:spacing w:after="40"/>
            </w:pPr>
            <w:r>
              <w:rPr>
                <w:rFonts w:ascii="Aptos" w:hAnsi="Aptos"/>
                <w:sz w:val="16"/>
              </w:rPr>
              <w:t>Hasta cierre + periodo de soporte definido.</w:t>
            </w:r>
          </w:p>
        </w:tc>
        <w:tc>
          <w:tcPr>
            <w:tcW w:type="dxa" w:w="2520"/>
            <w:tcMar>
              <w:top w:w="90" w:type="dxa"/>
              <w:start w:w="80" w:type="dxa"/>
              <w:bottom w:w="90" w:type="dxa"/>
              <w:end w:w="80" w:type="dxa"/>
            </w:tcMar>
            <w:vAlign w:val="center"/>
          </w:tcPr>
          <w:p>
            <w:pPr>
              <w:spacing w:after="40"/>
            </w:pPr>
            <w:r>
              <w:rPr>
                <w:rFonts w:ascii="Aptos" w:hAnsi="Aptos"/>
                <w:sz w:val="16"/>
              </w:rPr>
              <w:t>No convertir automáticamente en consentimiento comercial.</w:t>
            </w:r>
          </w:p>
        </w:tc>
      </w:tr>
    </w:tbl>
    <w:p>
      <w:r>
        <w:t>Para el Check se confirma una conservación interna de contacto, respuestas y resultado de 12 meses desde su finalización. El plazo queda sujeto a validación de privacidad antes de producción; no habilita recuperación para el visitante. La baja comercial no elimina automáticamente registros que deban conservarse por otra finalidad válida.</w:t>
      </w:r>
    </w:p>
    <w:p>
      <w:pPr>
        <w:pStyle w:val="Heading1"/>
        <w:keepNext/>
      </w:pPr>
      <w:r>
        <w:t>15. Seguridad y operación</w:t>
      </w:r>
    </w:p>
    <w:p>
      <w:pPr>
        <w:pStyle w:val="ListBullet"/>
      </w:pPr>
      <w:r>
        <w:t>Minimización de datos y almacenamiento privado de documentos y recursos.</w:t>
      </w:r>
    </w:p>
    <w:p>
      <w:pPr>
        <w:pStyle w:val="ListBullet"/>
      </w:pPr>
      <w:r>
        <w:t xml:space="preserve">Magic links con tokens opacos, de propósito específico, expirables y revocables cuando corresponda. El token se consume solo con una acción explícita del usuario, no al abrir el enlace.</w:t>
      </w:r>
    </w:p>
    <w:p>
      <w:pPr>
        <w:pStyle w:val="ListBullet"/>
      </w:pPr>
      <w:r>
        <w:t>Enlaces de descarga controlados y sin exposición directa del almacenamiento.</w:t>
      </w:r>
    </w:p>
    <w:p>
      <w:pPr>
        <w:pStyle w:val="ListBullet"/>
      </w:pPr>
      <w:r>
        <w:t>Validación de webhooks antes de confirmar pagos o entregar productos.</w:t>
      </w:r>
    </w:p>
    <w:p>
      <w:pPr>
        <w:pStyle w:val="ListBullet"/>
      </w:pPr>
      <w:r>
        <w:t>Validación de archivos por tipo, tamaño y contenido permitido.</w:t>
      </w:r>
    </w:p>
    <w:p>
      <w:pPr>
        <w:pStyle w:val="ListBullet"/>
      </w:pPr>
      <w:r>
        <w:t>Autenticación y autorización obligatoria para backoffice.</w:t>
      </w:r>
    </w:p>
    <w:p>
      <w:pPr>
        <w:pStyle w:val="ListBullet"/>
      </w:pPr>
      <w:r>
        <w:t>Rate limiting y controles antiabuso en formularios y endpoints sensibles.</w:t>
      </w:r>
    </w:p>
    <w:p>
      <w:pPr>
        <w:pStyle w:val="ListBullet"/>
      </w:pPr>
      <w:r>
        <w:t>Trazabilidad de eventos relevantes de negocio y seguridad.</w:t>
      </w:r>
    </w:p>
    <w:p>
      <w:pPr>
        <w:pStyle w:val="ListBullet"/>
      </w:pPr>
      <w:r>
        <w:t>Backups, observabilidad y procedimientos de recuperación proporcionales a la fase.</w:t>
      </w:r>
    </w:p>
    <w:p>
      <w:pPr>
        <w:pStyle w:val="Heading1"/>
        <w:keepNext/>
      </w:pPr>
      <w:r>
        <w:t>16. Imagen y posicionamiento deseado</w:t>
      </w:r>
    </w:p>
    <w:p>
      <w:r>
        <w:t>La plataforma deberá proyectar una imagen profesional, moderna, confiable y orientada a conocimiento. No se busca una estética bancaria tradicional ni una fintech agresiva. El lenguaje visual deberá favorecer claridad, datos, educación y acción.</w:t>
      </w:r>
    </w:p>
    <w:p>
      <w:pPr>
        <w:pStyle w:val="ListBullet"/>
      </w:pPr>
      <w:r>
        <w:t>Base clara con predominio de blanco, azul profundo y grises neutros.</w:t>
      </w:r>
    </w:p>
    <w:p>
      <w:pPr>
        <w:pStyle w:val="ListBullet"/>
      </w:pPr>
      <w:r>
        <w:t>Azul institucional de referencia #21394F, sujeto a validación en diseño visual.</w:t>
      </w:r>
    </w:p>
    <w:p>
      <w:pPr>
        <w:pStyle w:val="ListBullet"/>
      </w:pPr>
      <w:r>
        <w:t>Jerarquía tipográfica limpia y abundante espacio visual.</w:t>
      </w:r>
    </w:p>
    <w:p>
      <w:pPr>
        <w:pStyle w:val="ListBullet"/>
      </w:pPr>
      <w:r>
        <w:t>Componentes discretos, iconografía lineal y gráficas simples.</w:t>
      </w:r>
    </w:p>
    <w:p>
      <w:pPr>
        <w:pStyle w:val="ListBullet"/>
      </w:pPr>
      <w:r>
        <w:t>Fotografía e ilustración únicamente cuando aporten credibilidad o comprensión.</w:t>
      </w:r>
    </w:p>
    <w:p>
      <w:pPr>
        <w:pStyle w:val="ListBullet"/>
      </w:pPr>
      <w:r>
        <w:t>Evitar gradientes excesivos, clichés financieros y elementos decorativos que resten confianza.</w:t>
      </w:r>
    </w:p>
    <w:p>
      <w:pPr>
        <w:pStyle w:val="Heading1"/>
        <w:keepNext/>
      </w:pPr>
      <w:r>
        <w:t>17. Hipótesis y umbrales iniciales de validación</w:t>
      </w:r>
    </w:p>
    <w:p>
      <w:r>
        <w:t xml:space="preserve">Las siguientes cifras no son metas comerciales definitivas; son hipótesis iniciales para decidir si existe señal suficiente para avanzar de fase. Se revisarán al contar con datos reales de adquisición y calidad de tráfico. En las fases B y C se usan conteos absolutos como criterio de paso, porque con muestras pequeñas una sola operación mueve la tasa varios puntos porcentuales.</w:t>
      </w:r>
    </w:p>
    <w:p>
      <w:r>
        <w:t xml:space="preserve">Sesión calificada: sesión de una persona real (sin bots ni tráfico interno o de pruebas) con al menos dos páginas vistas o con interacción en una herramienta.</w:t>
      </w:r>
    </w:p>
    <w:tbl>
      <w:tblPr>
        <w:tblW w:type="auto" w:w="0"/>
        <w:jc w:val="left"/>
        <w:tblLook w:firstColumn="1" w:firstRow="1" w:lastColumn="0" w:lastRow="0" w:noHBand="0" w:noVBand="1" w:val="04A0"/>
      </w:tblPr>
      <w:tblGrid>
        <w:gridCol w:w="2520"/>
        <w:gridCol w:w="2520"/>
        <w:gridCol w:w="2520"/>
        <w:gridCol w:w="2520"/>
      </w:tblGrid>
      <w:tr>
        <w:trPr>
          <w:tblHeader w:val="true"/>
          <w:cantSplit/>
        </w:trPr>
        <w:tc>
          <w:tcPr>
            <w:tcW w:type="dxa" w:w="2520"/>
            <w:shd w:fill="21394F"/>
            <w:vAlign w:val="center"/>
          </w:tcPr>
          <w:p>
            <w:pPr>
              <w:spacing w:after="40"/>
            </w:pPr>
            <w:r>
              <w:rPr>
                <w:rFonts w:ascii="Aptos" w:hAnsi="Aptos"/>
                <w:b/>
                <w:color w:val="FFFFFF"/>
                <w:sz w:val="16"/>
              </w:rPr>
              <w:t>Fase</w:t>
            </w:r>
          </w:p>
        </w:tc>
        <w:tc>
          <w:tcPr>
            <w:tcW w:type="dxa" w:w="2520"/>
            <w:shd w:fill="21394F"/>
            <w:vAlign w:val="center"/>
          </w:tcPr>
          <w:p>
            <w:pPr>
              <w:spacing w:after="40"/>
            </w:pPr>
            <w:r>
              <w:rPr>
                <w:rFonts w:ascii="Aptos" w:hAnsi="Aptos"/>
                <w:b/>
                <w:color w:val="FFFFFF"/>
                <w:sz w:val="16"/>
              </w:rPr>
              <w:t>Muestra mínima</w:t>
            </w:r>
          </w:p>
        </w:tc>
        <w:tc>
          <w:tcPr>
            <w:tcW w:type="dxa" w:w="2520"/>
            <w:shd w:fill="21394F"/>
            <w:vAlign w:val="center"/>
          </w:tcPr>
          <w:p>
            <w:pPr>
              <w:spacing w:after="40"/>
            </w:pPr>
            <w:r>
              <w:rPr>
                <w:rFonts w:ascii="Aptos" w:hAnsi="Aptos"/>
                <w:b/>
                <w:color w:val="FFFFFF"/>
                <w:sz w:val="16"/>
              </w:rPr>
              <w:t>Señal de validación inicial</w:t>
            </w:r>
          </w:p>
        </w:tc>
        <w:tc>
          <w:tcPr>
            <w:tcW w:type="dxa" w:w="2520"/>
            <w:shd w:fill="21394F"/>
            <w:vAlign w:val="center"/>
          </w:tcPr>
          <w:p>
            <w:pPr>
              <w:spacing w:after="40"/>
            </w:pPr>
            <w:r>
              <w:rPr>
                <w:rFonts w:ascii="Aptos" w:hAnsi="Aptos"/>
                <w:b/>
                <w:color w:val="FFFFFF"/>
                <w:sz w:val="16"/>
              </w:rPr>
              <w:t>Observación</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A</w:t>
            </w:r>
          </w:p>
        </w:tc>
        <w:tc>
          <w:tcPr>
            <w:tcW w:type="dxa" w:w="2520"/>
            <w:tcMar>
              <w:top w:w="90" w:type="dxa"/>
              <w:start w:w="80" w:type="dxa"/>
              <w:bottom w:w="90" w:type="dxa"/>
              <w:end w:w="80" w:type="dxa"/>
            </w:tcMar>
            <w:vAlign w:val="center"/>
          </w:tcPr>
          <w:p>
            <w:pPr>
              <w:spacing w:after="40"/>
            </w:pPr>
            <w:r>
              <w:rPr>
                <w:rFonts w:ascii="Aptos" w:hAnsi="Aptos"/>
                <w:sz w:val="16"/>
              </w:rPr>
              <w:t xml:space="preserve">≥ 500 sesiones calificadas acumuladas</w:t>
            </w:r>
          </w:p>
        </w:tc>
        <w:tc>
          <w:tcPr>
            <w:tcW w:type="dxa" w:w="2520"/>
            <w:tcMar>
              <w:top w:w="90" w:type="dxa"/>
              <w:start w:w="80" w:type="dxa"/>
              <w:bottom w:w="90" w:type="dxa"/>
              <w:end w:w="80" w:type="dxa"/>
            </w:tcMar>
            <w:vAlign w:val="center"/>
          </w:tcPr>
          <w:p>
            <w:pPr>
              <w:spacing w:after="40"/>
            </w:pPr>
            <w:r>
              <w:rPr>
                <w:rFonts w:ascii="Aptos" w:hAnsi="Aptos"/>
                <w:sz w:val="16"/>
              </w:rPr>
              <w:t xml:space="preserve">Conversión visitante→lead ≥ 5% (≈ 25 leads); finalización del Check ≥ 40% entre quienes lo inician; ≥ 15 diagnósticos liberados; ≥ 3 solicitudes de orientación.</w:t>
            </w:r>
          </w:p>
        </w:tc>
        <w:tc>
          <w:tcPr>
            <w:tcW w:type="dxa" w:w="2520"/>
            <w:tcMar>
              <w:top w:w="90" w:type="dxa"/>
              <w:start w:w="80" w:type="dxa"/>
              <w:bottom w:w="90" w:type="dxa"/>
              <w:end w:w="80" w:type="dxa"/>
            </w:tcMar>
            <w:vAlign w:val="center"/>
          </w:tcPr>
          <w:p>
            <w:pPr>
              <w:spacing w:after="40"/>
            </w:pPr>
            <w:r>
              <w:rPr>
                <w:rFonts w:ascii="Aptos" w:hAnsi="Aptos"/>
                <w:sz w:val="16"/>
              </w:rPr>
              <w:t xml:space="preserve">Si el tráfico no es calificado, no se interpretará como fracaso de producto. Los diagnósticos liberados son un subconjunto de los leads.</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B</w:t>
            </w:r>
          </w:p>
        </w:tc>
        <w:tc>
          <w:tcPr>
            <w:tcW w:type="dxa" w:w="2520"/>
            <w:tcMar>
              <w:top w:w="90" w:type="dxa"/>
              <w:start w:w="80" w:type="dxa"/>
              <w:bottom w:w="90" w:type="dxa"/>
              <w:end w:w="80" w:type="dxa"/>
            </w:tcMar>
            <w:vAlign w:val="center"/>
          </w:tcPr>
          <w:p>
            <w:pPr>
              <w:spacing w:after="40"/>
            </w:pPr>
            <w:r>
              <w:rPr>
                <w:rFonts w:ascii="Aptos" w:hAnsi="Aptos"/>
                <w:sz w:val="16"/>
              </w:rPr>
              <w:t xml:space="preserve">≥ 100 vistas calificadas de recursos de pago</w:t>
            </w:r>
          </w:p>
        </w:tc>
        <w:tc>
          <w:tcPr>
            <w:tcW w:type="dxa" w:w="2520"/>
            <w:tcMar>
              <w:top w:w="90" w:type="dxa"/>
              <w:start w:w="80" w:type="dxa"/>
              <w:bottom w:w="90" w:type="dxa"/>
              <w:end w:w="80" w:type="dxa"/>
            </w:tcMar>
            <w:vAlign w:val="center"/>
          </w:tcPr>
          <w:p>
            <w:pPr>
              <w:spacing w:after="40"/>
            </w:pPr>
            <w:r>
              <w:rPr>
                <w:rFonts w:ascii="Aptos" w:hAnsi="Aptos"/>
                <w:sz w:val="16"/>
              </w:rPr>
              <w:t xml:space="preserve">≥ 5 compras reales de al menos 3 compradores distintos y ajenos al equipo; 0 fallos de entrega sin resolver en 24 horas. Conversión a compra ≥ 2% como referencia, no como criterio de paso.</w:t>
            </w:r>
          </w:p>
        </w:tc>
        <w:tc>
          <w:tcPr>
            <w:tcW w:type="dxa" w:w="2520"/>
            <w:tcMar>
              <w:top w:w="90" w:type="dxa"/>
              <w:start w:w="80" w:type="dxa"/>
              <w:bottom w:w="90" w:type="dxa"/>
              <w:end w:w="80" w:type="dxa"/>
            </w:tcMar>
            <w:vAlign w:val="center"/>
          </w:tcPr>
          <w:p>
            <w:pPr>
              <w:spacing w:after="40"/>
            </w:pPr>
            <w:r>
              <w:rPr>
                <w:rFonts w:ascii="Aptos" w:hAnsi="Aptos"/>
                <w:sz w:val="16"/>
              </w:rPr>
              <w:t xml:space="preserve">La señal comercial prevalece sobre volumen absoluto en etapa temprana.</w:t>
            </w:r>
          </w:p>
        </w:tc>
      </w:tr>
      <w:tr>
        <w:trPr>
          <w:cantSplit/>
        </w:trPr>
        <w:tc>
          <w:tcPr>
            <w:tcW w:type="dxa" w:w="2520"/>
            <w:tcMar>
              <w:top w:w="90" w:type="dxa"/>
              <w:start w:w="80" w:type="dxa"/>
              <w:bottom w:w="90" w:type="dxa"/>
              <w:end w:w="80" w:type="dxa"/>
            </w:tcMar>
            <w:vAlign w:val="center"/>
          </w:tcPr>
          <w:p>
            <w:pPr>
              <w:spacing w:after="40"/>
            </w:pPr>
            <w:r>
              <w:rPr>
                <w:rFonts w:ascii="Aptos" w:hAnsi="Aptos"/>
                <w:sz w:val="16"/>
              </w:rPr>
              <w:t>C</w:t>
            </w:r>
          </w:p>
        </w:tc>
        <w:tc>
          <w:tcPr>
            <w:tcW w:type="dxa" w:w="2520"/>
            <w:tcMar>
              <w:top w:w="90" w:type="dxa"/>
              <w:start w:w="80" w:type="dxa"/>
              <w:bottom w:w="90" w:type="dxa"/>
              <w:end w:w="80" w:type="dxa"/>
            </w:tcMar>
            <w:vAlign w:val="center"/>
          </w:tcPr>
          <w:p>
            <w:pPr>
              <w:spacing w:after="40"/>
            </w:pPr>
            <w:r>
              <w:rPr>
                <w:rFonts w:ascii="Aptos" w:hAnsi="Aptos"/>
                <w:sz w:val="16"/>
              </w:rPr>
              <w:t xml:space="preserve">≥ 50 leads calificados expuestos a oferta de servicio</w:t>
            </w:r>
          </w:p>
        </w:tc>
        <w:tc>
          <w:tcPr>
            <w:tcW w:type="dxa" w:w="2520"/>
            <w:tcMar>
              <w:top w:w="90" w:type="dxa"/>
              <w:start w:w="80" w:type="dxa"/>
              <w:bottom w:w="90" w:type="dxa"/>
              <w:end w:w="80" w:type="dxa"/>
            </w:tcMar>
            <w:vAlign w:val="center"/>
          </w:tcPr>
          <w:p>
            <w:pPr>
              <w:spacing w:after="40"/>
            </w:pPr>
            <w:r>
              <w:rPr>
                <w:rFonts w:ascii="Aptos" w:hAnsi="Aptos"/>
                <w:sz w:val="16"/>
              </w:rPr>
              <w:t xml:space="preserve">≥ 3 sesiones o inscripciones pagadas; conflictos de agenda críticos = 0. Conversión ≈ 3% como referencia, no como criterio de paso.</w:t>
            </w:r>
          </w:p>
        </w:tc>
        <w:tc>
          <w:tcPr>
            <w:tcW w:type="dxa" w:w="2520"/>
            <w:tcMar>
              <w:top w:w="90" w:type="dxa"/>
              <w:start w:w="80" w:type="dxa"/>
              <w:bottom w:w="90" w:type="dxa"/>
              <w:end w:w="80" w:type="dxa"/>
            </w:tcMar>
            <w:vAlign w:val="center"/>
          </w:tcPr>
          <w:p>
            <w:pPr>
              <w:spacing w:after="40"/>
            </w:pPr>
            <w:r>
              <w:rPr>
                <w:rFonts w:ascii="Aptos" w:hAnsi="Aptos"/>
                <w:sz w:val="16"/>
              </w:rPr>
              <w:t xml:space="preserve">Los umbrales se recalibrarán por ticket y canal de adquisición.</w:t>
            </w:r>
          </w:p>
        </w:tc>
      </w:tr>
    </w:tbl>
    <w:p>
      <w:r>
        <w:t>Además se medirán: fuente de adquisición, interacción con herramientas, descargas de lead magnets, tasa de error, abandono por paso, compras, solicitudes de factura, reembolsos/cancelaciones y comentarios recibidos.</w:t>
      </w:r>
    </w:p>
    <w:p>
      <w:pPr>
        <w:pStyle w:val="Heading1"/>
        <w:keepNext/>
      </w:pPr>
      <w:r>
        <w:t>18 Decisiones y bloqueos por fase</w:t>
      </w:r>
    </w:p>
    <w:p>
      <w:pPr/>
      <w:r>
        <w:t>Las decisiones se clasifican por el momento en que deben estar cerradas. Las pendientes exclusivas de las Fases B y C no bloquean la aprobación del alcance ni el diseño y la construcción de la Fase A. Una decisión funcional de A aún abierta impide cerrar la implementación y aceptación del flujo afectado; una decisión operativa o legal pendiente impide publicar ese flujo en producción.</w:t>
      </w:r>
    </w:p>
    <w:p>
      <w:pPr>
        <w:pStyle w:val="Heading2"/>
      </w:pPr>
      <w:r>
        <w:t>18 1 Decisiones fundacionales para aprobar el alcance</w:t>
      </w:r>
    </w:p>
    <w:p>
      <w:pPr/>
      <w:r>
        <w:t>Se requiere aprobación explícita del propósito y la definición del producto, los públicos y prioridades P1/P2/P3, el modelo sin cuentas públicas, las Fases A/B/C, el Check PyME v1.3 y los principios de privacidad, seguridad y trazabilidad. Los puntos 2, 3 y 4 se conservan en esta revisión: la plataforma tiene un propósito de educación financiera y empresarial amplio y se diseña primero para PyMEs.</w:t>
      </w:r>
    </w:p>
    <w:p>
      <w:pPr>
        <w:pStyle w:val="Heading2"/>
      </w:pPr>
      <w:r>
        <w:t>18 2 Decisiones para completar y publicar la Fase A</w:t>
      </w:r>
    </w:p>
    <w:p>
      <w:pPr/>
      <w:r>
        <w:t>Para completar A: definir contenido final del PDF y probar descarga inmediata, persistencia e idempotencia; confirmar calculadora y lead magnet. Los textos de consentimiento y privacidad y las reglas de otros propósitos de magic link se cierran antes de publicar el flujo afectado.</w:t>
      </w:r>
    </w:p>
    <w:p>
      <w:pPr/>
      <w:r>
        <w:t>Antes de publicar: cerrar los textos del Check y el aviso de privacidad; validar la política de retención, eliminación o anonimización; definir consentimiento comercial, preferencias y baja; confirmar el proveedor, dominio y entregabilidad del correo; y asignar responsable, canal y plazo de seguimiento de las solicitudes de orientación.</w:t>
      </w:r>
    </w:p>
    <w:p>
      <w:pPr/>
      <w:r>
        <w:t>Decisiones aprobadas el 13 de octubre de 2026: nombre, correo y empresa obligatorios, WhatsApp opcional; antes de la captura solo “Tu informe está listo”; resultado completo y PDF tras envío; reintento mientras permanezca en pantalla, sin recuperación al salir; retención interna de 12 meses; orientación a solicitud de la persona. El BRD v0.6 documenta estas reglas y sus criterios de aceptación.</w:t>
      </w:r>
    </w:p>
    <w:p>
      <w:pPr>
        <w:pStyle w:val="Heading2"/>
      </w:pPr>
      <w:r>
        <w:t>18 3 Decisiones previas a publicar la Fase B</w:t>
      </w:r>
    </w:p>
    <w:p>
      <w:pPr/>
      <w:r>
        <w:t>En B están aprobados el correo en Stripe Checkout y el acceso de 14 días desde el pago con hasta tres descargas exitosas, reemisión sin reiniciar límites y excepciones auditadas por soporte. Quedan por cerrar catálogo y precios y operación fiscal: emisor, datos, referencias, tiempos, cancelaciones y reembolsos. Arquitectura v0.5 mantiene facturación manual asistida sin almacenar UUID ni XML/PDF.</w:t>
      </w:r>
    </w:p>
    <w:p>
      <w:pPr>
        <w:pStyle w:val="Heading2"/>
      </w:pPr>
      <w:r>
        <w:t>18 4 Decisiones previas a publicar la Fase C</w:t>
      </w:r>
    </w:p>
    <w:p>
      <w:pPr/>
      <w:r>
        <w:t>Cerrar los servicios y eventos, duración y tipos de sesión, mecánica y vencimiento de reservas temporales, cancelación, reprogramación, reembolsos, cupos y recordatorios. Estas políticas se presentan antes del pago y se prueban con los flujos de agenda e inscripción.</w:t>
      </w:r>
    </w:p>
    <w:p>
      <w:pPr>
        <w:pStyle w:val="Heading2"/>
      </w:pPr>
      <w:r>
        <w:t>18 5 Decisiones que no bloquean el alcance</w:t>
      </w:r>
    </w:p>
    <w:p>
      <w:pPr/>
      <w:r>
        <w:t>El nombre comercial definitivo, la arquitectura de marca visible, el catálogo ampliado de herramientas, un CRM futuro y la selección de proveedores de fases posteriores pueden definirse durante el diseño o la preparación de cada fase. El stack se documenta mediante ADR antes de comprometer su implementación; el proveedor de correo y el dominio deben estar cerrados antes de publicar A.</w:t>
      </w:r>
    </w:p>
    <w:p>
      <w:pPr/>
      <w:r>
        <w:t>Toda decisión deberá registrar asunto, fase afectada, estado, responsable por asignar o confirmado, versión del documento donde se resuelve y evidencia de aprobación. El estado definido en un documento derivado no sustituye la aprobación del documento rector.</w:t>
      </w:r>
    </w:p>
    <w:p>
      <w:pPr/>
      <w:r>
        <w:t>Estado de esta revisión. Concepto v0.6 y el catálogo de acciones v0.1 fueron aprobados el 12 de octubre. Las decisiones de captura y entrega del Check y los límites de compra se aprobaron en la conversación del 13 de octubre de 2026. La v0.8 consolida esos acuerdos; no afirma que estén cerrados todos los pendientes legales, técnicos o comerciales.</w:t>
      </w:r>
    </w:p>
    <w:p>
      <w:pPr>
        <w:pStyle w:val="Heading1"/>
        <w:keepNext/>
      </w:pPr>
      <w:r>
        <w:t>19 Criterios de cierre de Etapa 1</w:t>
      </w:r>
    </w:p>
    <w:p>
      <w:r>
        <w:t>La Etapa 1 podrá considerarse cerrada cuando se aprueben explícitamente:</w:t>
      </w:r>
    </w:p>
    <w:p>
      <w:pPr>
        <w:pStyle w:val="ListBullet"/>
      </w:pPr>
      <w:r>
        <w:t>Definición del producto y propósito.</w:t>
      </w:r>
    </w:p>
    <w:p>
      <w:pPr>
        <w:pStyle w:val="ListBullet"/>
      </w:pPr>
      <w:r>
        <w:t>PyMEs como prioridad P1.</w:t>
      </w:r>
    </w:p>
    <w:p>
      <w:pPr>
        <w:pStyle w:val="ListBullet"/>
      </w:pPr>
      <w:r>
        <w:t>Propuesta de valor.</w:t>
      </w:r>
    </w:p>
    <w:p>
      <w:pPr>
        <w:pStyle w:val="ListBullet"/>
      </w:pPr>
      <w:r>
        <w:t>Modelo sin cuentas públicas: Check inmediato sin recuperación; compras y otros flujos habilitados con magic links por propósito.</w:t>
      </w:r>
    </w:p>
    <w:p>
      <w:pPr>
        <w:pStyle w:val="ListBullet"/>
      </w:pPr>
      <w:r>
        <w:t>Fases A, B y C con gates de salida.</w:t>
      </w:r>
    </w:p>
    <w:p>
      <w:pPr>
        <w:pStyle w:val="ListBullet"/>
      </w:pPr>
      <w:r>
        <w:t>Check PyME v1.3 congelado (Anexo A): 8 dimensiones, preguntas base, escala 0-2, score 0-100, niveles de interpretación y contenido freemium.</w:t>
      </w:r>
    </w:p>
    <w:p>
      <w:pPr>
        <w:pStyle w:val="ListBullet"/>
      </w:pPr>
      <w:r>
        <w:t>Entidades conceptuales, incluyendo consentimientos, preferencias de contacto y facturación.</w:t>
      </w:r>
    </w:p>
    <w:p>
      <w:pPr>
        <w:pStyle w:val="ListBullet"/>
      </w:pPr>
      <w:r>
        <w:t>Lineamientos iniciales de privacidad, retención, seguridad y operación.</w:t>
      </w:r>
    </w:p>
    <w:p>
      <w:pPr>
        <w:pStyle w:val="ListBullet"/>
      </w:pPr>
      <w:r>
        <w:t>Hipótesis iniciales de validación.</w:t>
      </w:r>
    </w:p>
    <w:p>
      <w:pPr>
        <w:pStyle w:val="ListBullet"/>
      </w:pPr>
      <w:r>
        <w:t>Clasificación de decisiones por aprobación del alcance, cierre de flujos y salida productiva de cada fase, conforme a la sección 18.</w:t>
      </w:r>
    </w:p>
    <w:p>
      <w:pPr>
        <w:pStyle w:val="Heading1"/>
        <w:keepNext/>
      </w:pPr>
      <w:r>
        <w:t>20 Actualización de documentos derivados</w:t>
      </w:r>
    </w:p>
    <w:p>
      <w:r>
        <w:t>El BRD v0.6, sitemap y journeys v0.2, arquitectura v0.5, marca v0.2 y propuesta visual v0.2 se homologan con estas decisiones. El objetivo y los públicos de los puntos 2, 3 y 4 permanecen. El Check v1.3 conserva preguntas, puntuación, interpretación y catálogo aprobado; B/C mantienen sus pendientes propios.</w:t>
      </w:r>
    </w:p>
    <w:p>
      <w:pPr>
        <w:pStyle w:val="Heading1"/>
        <w:keepNext/>
      </w:pPr>
      <w:r>
        <w:t>21. Referencias operativas iniciales</w:t>
      </w:r>
    </w:p>
    <w:p>
      <w:r>
        <w:t>Para la etapa de BRD y diseño fiscal se tomará como referencia la información vigente del SAT sobre CFDI 4.0 y datos mínimos requeridos para solicitar factura. La interpretación fiscal definitiva del modelo de negocio deberá validarse antes de producción.</w:t>
      </w:r>
    </w:p>
    <w:p>
      <w:r>
        <w:t>Los enlaces del SAT y la versión vigente del CFDI deberán verificarse al cerrar el modelo fiscal antes de publicar la Fase B. Esta revisión de gobierno documental no valida la vigencia de esos enlaces ni interpreta obligaciones fiscales.</w:t>
      </w:r>
    </w:p>
    <w:p>
      <w:pPr>
        <w:pStyle w:val="Meta"/>
      </w:pPr>
      <w:r>
        <w:rPr>
          <w:b/>
        </w:rPr>
        <w:t xml:space="preserve">SAT · Consideraciones para solicitar factura: </w:t>
      </w:r>
      <w:r>
        <w:t>https://www.sat.gob.mx/minisitio/Factura/solicita_consideraciones.htm</w:t>
      </w:r>
    </w:p>
    <w:p>
      <w:pPr>
        <w:pStyle w:val="Meta"/>
      </w:pPr>
      <w:r>
        <w:rPr>
          <w:b/>
        </w:rPr>
        <w:t xml:space="preserve">SAT · Servicio de facturación CFDI versión 4.0: </w:t>
      </w:r>
      <w:r>
        <w:t>https://wwwmat.sat.gob.mx/aplicacion/75169/servicio-de-facturacion-cfdi-version-4.0-%28vigente-a-partir-del-1-de-enero-de-2022%29</w:t>
      </w:r>
    </w:p>
    <w:p>
      <w:pPr>
        <w:pStyle w:val="Heading1"/>
      </w:pPr>
      <w:r>
        <w:t>22 Control de cambios</w:t>
      </w:r>
    </w:p>
    <w:p>
      <w:pPr/>
      <w:r>
        <w:t>v0.6 del 12 de octubre de 2026. Se homologaron bloqueos y criterios de cierre por fase, se actualizaron pendientes y secuencia documental, y se conservaron los puntos 2, 3 y 4 y el Check v1.1.</w:t>
      </w:r>
    </w:p>
    <w:p>
      <w:pPr/>
      <w:r>
        <w:t>v0.7 del 12 de octubre de 2026. Se registra la aprobación de v0.6 y se incorpora la regla de resultados aprobada como Check v1.2. Se alinean referencias al BRD v0.4; objetivo, públicos, preguntas y puntuación se conservan.</w:t>
      </w:r>
    </w:p>
    <w:p>
      <w:pPr/>
      <w:r>
        <w:t>v0.8 del 13 de octubre de 2026. Flujos aprobados: Check v1.3 con captura y descarga inmediata, WhatsApp opcional, retención interna de 12 meses y orientación solicitada. Compras: correo en Stripe Checkout, magic link y 14 días con tres descargas exitosas. Se conservan objetivo, públicos y catálogo de acciones.</w:t>
      </w:r>
    </w:p>
    <w:p>
      <w:pPr>
        <w:pStyle w:val="Heading1"/>
        <w:keepNext/>
        <w:pageBreakBefore/>
      </w:pPr>
      <w:r>
        <w:t>Anexo A. Check PyME v1.3: definición congelada</w:t>
      </w:r>
    </w:p>
    <w:p>
      <w:r>
        <w:t>Este anexo contiene la definición completa del Check PyME v1.3. Cualquier cambio en dimensiones, preguntas, escala o interpretación se registra como una nueva versión del anexo, sin modificar el cuerpo del documento.</w:t>
      </w:r>
    </w:p>
    <w:p>
      <w:r>
        <w:t>Historial: v1, definición original; v1.1, pregunta 8 y opción (e); v1.2, hasta dos fortalezas y brechas y tres acciones de catálogo; v1.3, captura y descarga inmediata sin recuperación pública (13 de octubre de 2026). La v1.3 conserva preguntas, opciones y puntuación de v1.2.</w:t>
      </w:r>
    </w:p>
    <w:p>
      <w:pPr/>
      <w:r>
        <w:t>Dimensiones y preguntas base</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2376"/>
            <w:vAlign w:val="center"/>
            <w:tcMar>
              <w:top w:w="90" w:type="dxa"/>
              <w:start w:w="90" w:type="dxa"/>
              <w:bottom w:w="90" w:type="dxa"/>
              <w:end w:w="90" w:type="dxa"/>
            </w:tcMar>
            <w:shd w:fill="D9E2F3"/>
          </w:tcPr>
          <w:p>
            <w:r>
              <w:rPr>
                <w:b/>
                <w:sz w:val="18"/>
              </w:rPr>
              <w:t>Dimensión</w:t>
            </w:r>
          </w:p>
        </w:tc>
        <w:tc>
          <w:tcPr>
            <w:tcW w:type="dxa" w:w="3024"/>
            <w:vAlign w:val="center"/>
            <w:tcMar>
              <w:top w:w="90" w:type="dxa"/>
              <w:start w:w="90" w:type="dxa"/>
              <w:bottom w:w="90" w:type="dxa"/>
              <w:end w:w="90" w:type="dxa"/>
            </w:tcMar>
            <w:shd w:fill="D9E2F3"/>
          </w:tcPr>
          <w:p>
            <w:r>
              <w:rPr>
                <w:b/>
                <w:sz w:val="18"/>
              </w:rPr>
              <w:t>Qué identifica</w:t>
            </w:r>
          </w:p>
        </w:tc>
        <w:tc>
          <w:tcPr>
            <w:tcW w:type="dxa" w:w="4608"/>
            <w:vAlign w:val="center"/>
            <w:tcMar>
              <w:top w:w="90" w:type="dxa"/>
              <w:start w:w="90" w:type="dxa"/>
              <w:bottom w:w="90" w:type="dxa"/>
              <w:end w:w="90" w:type="dxa"/>
            </w:tcMar>
            <w:shd w:fill="D9E2F3"/>
          </w:tcPr>
          <w:p>
            <w:r>
              <w:rPr>
                <w:b/>
                <w:sz w:val="18"/>
              </w:rPr>
              <w:t>Pregunta base</w:t>
            </w:r>
          </w:p>
        </w:tc>
      </w:tr>
      <w:tr>
        <w:trPr>
          <w:cantSplit/>
        </w:trPr>
        <w:tc>
          <w:tcPr>
            <w:tcW w:type="dxa" w:w="2376"/>
            <w:vAlign w:val="center"/>
            <w:tcMar>
              <w:top w:w="90" w:type="dxa"/>
              <w:start w:w="90" w:type="dxa"/>
              <w:bottom w:w="90" w:type="dxa"/>
              <w:end w:w="90" w:type="dxa"/>
            </w:tcMar>
          </w:tcPr>
          <w:p>
            <w:r>
              <w:rPr>
                <w:sz w:val="17"/>
              </w:rPr>
              <w:t>1. Históricos de ventas</w:t>
            </w:r>
          </w:p>
        </w:tc>
        <w:tc>
          <w:tcPr>
            <w:tcW w:type="dxa" w:w="3024"/>
            <w:vAlign w:val="center"/>
            <w:tcMar>
              <w:top w:w="90" w:type="dxa"/>
              <w:start w:w="90" w:type="dxa"/>
              <w:bottom w:w="90" w:type="dxa"/>
              <w:end w:w="90" w:type="dxa"/>
            </w:tcMar>
          </w:tcPr>
          <w:p>
            <w:r>
              <w:rPr>
                <w:sz w:val="17"/>
              </w:rPr>
              <w:t>Visibilidad de la evolución comercial</w:t>
            </w:r>
          </w:p>
        </w:tc>
        <w:tc>
          <w:tcPr>
            <w:tcW w:type="dxa" w:w="4608"/>
            <w:vAlign w:val="center"/>
            <w:tcMar>
              <w:top w:w="90" w:type="dxa"/>
              <w:start w:w="90" w:type="dxa"/>
              <w:bottom w:w="90" w:type="dxa"/>
              <w:end w:w="90" w:type="dxa"/>
            </w:tcMar>
          </w:tcPr>
          <w:p>
            <w:r>
              <w:rPr>
                <w:sz w:val="17"/>
              </w:rPr>
              <w:t>¿Cuenta con información histórica de ventas de al menos los últimos 12 meses?</w:t>
            </w:r>
          </w:p>
        </w:tc>
      </w:tr>
      <w:tr>
        <w:trPr>
          <w:cantSplit/>
        </w:trPr>
        <w:tc>
          <w:tcPr>
            <w:tcW w:type="dxa" w:w="2376"/>
            <w:vAlign w:val="center"/>
            <w:tcMar>
              <w:top w:w="90" w:type="dxa"/>
              <w:start w:w="90" w:type="dxa"/>
              <w:bottom w:w="90" w:type="dxa"/>
              <w:end w:w="90" w:type="dxa"/>
            </w:tcMar>
          </w:tcPr>
          <w:p>
            <w:r>
              <w:rPr>
                <w:sz w:val="17"/>
              </w:rPr>
              <w:t>2. Evolución de costos</w:t>
            </w:r>
          </w:p>
        </w:tc>
        <w:tc>
          <w:tcPr>
            <w:tcW w:type="dxa" w:w="3024"/>
            <w:vAlign w:val="center"/>
            <w:tcMar>
              <w:top w:w="90" w:type="dxa"/>
              <w:start w:w="90" w:type="dxa"/>
              <w:bottom w:w="90" w:type="dxa"/>
              <w:end w:w="90" w:type="dxa"/>
            </w:tcMar>
          </w:tcPr>
          <w:p>
            <w:r>
              <w:rPr>
                <w:sz w:val="17"/>
              </w:rPr>
              <w:t>Capacidad para observar cambios relevantes en costos</w:t>
            </w:r>
          </w:p>
        </w:tc>
        <w:tc>
          <w:tcPr>
            <w:tcW w:type="dxa" w:w="4608"/>
            <w:vAlign w:val="center"/>
            <w:tcMar>
              <w:top w:w="90" w:type="dxa"/>
              <w:start w:w="90" w:type="dxa"/>
              <w:bottom w:w="90" w:type="dxa"/>
              <w:end w:w="90" w:type="dxa"/>
            </w:tcMar>
          </w:tcPr>
          <w:p>
            <w:r>
              <w:rPr>
                <w:sz w:val="17"/>
              </w:rPr>
              <w:t>¿Puede identificar cómo han cambiado sus principales costos durante los últimos meses?</w:t>
            </w:r>
          </w:p>
        </w:tc>
      </w:tr>
      <w:tr>
        <w:trPr>
          <w:cantSplit/>
        </w:trPr>
        <w:tc>
          <w:tcPr>
            <w:tcW w:type="dxa" w:w="2376"/>
            <w:vAlign w:val="center"/>
            <w:tcMar>
              <w:top w:w="90" w:type="dxa"/>
              <w:start w:w="90" w:type="dxa"/>
              <w:bottom w:w="90" w:type="dxa"/>
              <w:end w:w="90" w:type="dxa"/>
            </w:tcMar>
          </w:tcPr>
          <w:p>
            <w:r>
              <w:rPr>
                <w:sz w:val="17"/>
              </w:rPr>
              <w:t>3. Concentración de clientes</w:t>
            </w:r>
          </w:p>
        </w:tc>
        <w:tc>
          <w:tcPr>
            <w:tcW w:type="dxa" w:w="3024"/>
            <w:vAlign w:val="center"/>
            <w:tcMar>
              <w:top w:w="90" w:type="dxa"/>
              <w:start w:w="90" w:type="dxa"/>
              <w:bottom w:w="90" w:type="dxa"/>
              <w:end w:w="90" w:type="dxa"/>
            </w:tcMar>
          </w:tcPr>
          <w:p>
            <w:r>
              <w:rPr>
                <w:sz w:val="17"/>
              </w:rPr>
              <w:t>Dependencia de pocos clientes</w:t>
            </w:r>
          </w:p>
        </w:tc>
        <w:tc>
          <w:tcPr>
            <w:tcW w:type="dxa" w:w="4608"/>
            <w:vAlign w:val="center"/>
            <w:tcMar>
              <w:top w:w="90" w:type="dxa"/>
              <w:start w:w="90" w:type="dxa"/>
              <w:bottom w:w="90" w:type="dxa"/>
              <w:end w:w="90" w:type="dxa"/>
            </w:tcMar>
          </w:tcPr>
          <w:p>
            <w:r>
              <w:rPr>
                <w:sz w:val="17"/>
              </w:rPr>
              <w:t>¿Conoce qué proporción de sus ventas depende de sus principales clientes?</w:t>
            </w:r>
          </w:p>
        </w:tc>
      </w:tr>
      <w:tr>
        <w:trPr>
          <w:cantSplit/>
        </w:trPr>
        <w:tc>
          <w:tcPr>
            <w:tcW w:type="dxa" w:w="2376"/>
            <w:vAlign w:val="center"/>
            <w:tcMar>
              <w:top w:w="90" w:type="dxa"/>
              <w:start w:w="90" w:type="dxa"/>
              <w:bottom w:w="90" w:type="dxa"/>
              <w:end w:w="90" w:type="dxa"/>
            </w:tcMar>
          </w:tcPr>
          <w:p>
            <w:r>
              <w:rPr>
                <w:sz w:val="17"/>
              </w:rPr>
              <w:t>4. Concentración de proveedores</w:t>
            </w:r>
          </w:p>
        </w:tc>
        <w:tc>
          <w:tcPr>
            <w:tcW w:type="dxa" w:w="3024"/>
            <w:vAlign w:val="center"/>
            <w:tcMar>
              <w:top w:w="90" w:type="dxa"/>
              <w:start w:w="90" w:type="dxa"/>
              <w:bottom w:w="90" w:type="dxa"/>
              <w:end w:w="90" w:type="dxa"/>
            </w:tcMar>
          </w:tcPr>
          <w:p>
            <w:r>
              <w:rPr>
                <w:sz w:val="17"/>
              </w:rPr>
              <w:t>Dependencia operativa de pocos proveedores</w:t>
            </w:r>
          </w:p>
        </w:tc>
        <w:tc>
          <w:tcPr>
            <w:tcW w:type="dxa" w:w="4608"/>
            <w:vAlign w:val="center"/>
            <w:tcMar>
              <w:top w:w="90" w:type="dxa"/>
              <w:start w:w="90" w:type="dxa"/>
              <w:bottom w:w="90" w:type="dxa"/>
              <w:end w:w="90" w:type="dxa"/>
            </w:tcMar>
          </w:tcPr>
          <w:p>
            <w:r>
              <w:rPr>
                <w:sz w:val="17"/>
              </w:rPr>
              <w:t>¿Conoce qué proporción de sus compras o insumos depende de sus principales proveedores?</w:t>
            </w:r>
          </w:p>
        </w:tc>
      </w:tr>
      <w:tr>
        <w:trPr>
          <w:cantSplit/>
        </w:trPr>
        <w:tc>
          <w:tcPr>
            <w:tcW w:type="dxa" w:w="2376"/>
            <w:vAlign w:val="center"/>
            <w:tcMar>
              <w:top w:w="90" w:type="dxa"/>
              <w:start w:w="90" w:type="dxa"/>
              <w:bottom w:w="90" w:type="dxa"/>
              <w:end w:w="90" w:type="dxa"/>
            </w:tcMar>
          </w:tcPr>
          <w:p>
            <w:r>
              <w:rPr>
                <w:sz w:val="17"/>
              </w:rPr>
              <w:t>5. Concentración de productos o servicios</w:t>
            </w:r>
          </w:p>
        </w:tc>
        <w:tc>
          <w:tcPr>
            <w:tcW w:type="dxa" w:w="3024"/>
            <w:vAlign w:val="center"/>
            <w:tcMar>
              <w:top w:w="90" w:type="dxa"/>
              <w:start w:w="90" w:type="dxa"/>
              <w:bottom w:w="90" w:type="dxa"/>
              <w:end w:w="90" w:type="dxa"/>
            </w:tcMar>
          </w:tcPr>
          <w:p>
            <w:r>
              <w:rPr>
                <w:sz w:val="17"/>
              </w:rPr>
              <w:t>Dependencia de pocas líneas de ingreso</w:t>
            </w:r>
          </w:p>
        </w:tc>
        <w:tc>
          <w:tcPr>
            <w:tcW w:type="dxa" w:w="4608"/>
            <w:vAlign w:val="center"/>
            <w:tcMar>
              <w:top w:w="90" w:type="dxa"/>
              <w:start w:w="90" w:type="dxa"/>
              <w:bottom w:w="90" w:type="dxa"/>
              <w:end w:w="90" w:type="dxa"/>
            </w:tcMar>
          </w:tcPr>
          <w:p>
            <w:r>
              <w:rPr>
                <w:sz w:val="17"/>
              </w:rPr>
              <w:t>¿Conoce qué productos o servicios generan la mayor parte de sus ingresos?</w:t>
            </w:r>
          </w:p>
        </w:tc>
      </w:tr>
      <w:tr>
        <w:trPr>
          <w:cantSplit/>
        </w:trPr>
        <w:tc>
          <w:tcPr>
            <w:tcW w:type="dxa" w:w="2376"/>
            <w:vAlign w:val="center"/>
            <w:tcMar>
              <w:top w:w="90" w:type="dxa"/>
              <w:start w:w="90" w:type="dxa"/>
              <w:bottom w:w="90" w:type="dxa"/>
              <w:end w:w="90" w:type="dxa"/>
            </w:tcMar>
          </w:tcPr>
          <w:p>
            <w:r>
              <w:rPr>
                <w:sz w:val="17"/>
              </w:rPr>
              <w:t>6. Procesos documentados</w:t>
            </w:r>
          </w:p>
        </w:tc>
        <w:tc>
          <w:tcPr>
            <w:tcW w:type="dxa" w:w="3024"/>
            <w:vAlign w:val="center"/>
            <w:tcMar>
              <w:top w:w="90" w:type="dxa"/>
              <w:start w:w="90" w:type="dxa"/>
              <w:bottom w:w="90" w:type="dxa"/>
              <w:end w:w="90" w:type="dxa"/>
            </w:tcMar>
          </w:tcPr>
          <w:p>
            <w:r>
              <w:rPr>
                <w:sz w:val="17"/>
              </w:rPr>
              <w:t>Grado mínimo de formalización operativa</w:t>
            </w:r>
          </w:p>
        </w:tc>
        <w:tc>
          <w:tcPr>
            <w:tcW w:type="dxa" w:w="4608"/>
            <w:vAlign w:val="center"/>
            <w:tcMar>
              <w:top w:w="90" w:type="dxa"/>
              <w:start w:w="90" w:type="dxa"/>
              <w:bottom w:w="90" w:type="dxa"/>
              <w:end w:w="90" w:type="dxa"/>
            </w:tcMar>
          </w:tcPr>
          <w:p>
            <w:r>
              <w:rPr>
                <w:sz w:val="17"/>
              </w:rPr>
              <w:t>¿Sus procesos principales están documentados, aunque sea mediante procedimientos sencillos?</w:t>
            </w:r>
          </w:p>
        </w:tc>
      </w:tr>
      <w:tr>
        <w:trPr>
          <w:cantSplit/>
        </w:trPr>
        <w:tc>
          <w:tcPr>
            <w:tcW w:type="dxa" w:w="2376"/>
            <w:vAlign w:val="center"/>
            <w:tcMar>
              <w:top w:w="90" w:type="dxa"/>
              <w:start w:w="90" w:type="dxa"/>
              <w:bottom w:w="90" w:type="dxa"/>
              <w:end w:w="90" w:type="dxa"/>
            </w:tcMar>
          </w:tcPr>
          <w:p>
            <w:r>
              <w:rPr>
                <w:sz w:val="17"/>
              </w:rPr>
              <w:t>7. Información para decidir</w:t>
            </w:r>
          </w:p>
        </w:tc>
        <w:tc>
          <w:tcPr>
            <w:tcW w:type="dxa" w:w="3024"/>
            <w:vAlign w:val="center"/>
            <w:tcMar>
              <w:top w:w="90" w:type="dxa"/>
              <w:start w:w="90" w:type="dxa"/>
              <w:bottom w:w="90" w:type="dxa"/>
              <w:end w:w="90" w:type="dxa"/>
            </w:tcMar>
          </w:tcPr>
          <w:p>
            <w:r>
              <w:rPr>
                <w:sz w:val="17"/>
              </w:rPr>
              <w:t>Disponibilidad y confiabilidad de información de gestión</w:t>
            </w:r>
          </w:p>
        </w:tc>
        <w:tc>
          <w:tcPr>
            <w:tcW w:type="dxa" w:w="4608"/>
            <w:vAlign w:val="center"/>
            <w:tcMar>
              <w:top w:w="90" w:type="dxa"/>
              <w:start w:w="90" w:type="dxa"/>
              <w:bottom w:w="90" w:type="dxa"/>
              <w:end w:w="90" w:type="dxa"/>
            </w:tcMar>
          </w:tcPr>
          <w:p>
            <w:r>
              <w:rPr>
                <w:sz w:val="17"/>
              </w:rPr>
              <w:t>¿Cuenta con información confiable y actualizada para tomar decisiones, aunque se gestione en Excel?</w:t>
            </w:r>
          </w:p>
        </w:tc>
      </w:tr>
      <w:tr>
        <w:trPr>
          <w:cantSplit/>
        </w:trPr>
        <w:tc>
          <w:tcPr>
            <w:tcW w:type="dxa" w:w="2376"/>
            <w:vAlign w:val="center"/>
            <w:tcMar>
              <w:top w:w="90" w:type="dxa"/>
              <w:start w:w="90" w:type="dxa"/>
              <w:bottom w:w="90" w:type="dxa"/>
              <w:end w:w="90" w:type="dxa"/>
            </w:tcMar>
          </w:tcPr>
          <w:p>
            <w:r>
              <w:rPr>
                <w:sz w:val="17"/>
              </w:rPr>
              <w:t>8. Financiamiento</w:t>
            </w:r>
          </w:p>
        </w:tc>
        <w:tc>
          <w:tcPr>
            <w:tcW w:type="dxa" w:w="3024"/>
            <w:vAlign w:val="center"/>
            <w:tcMar>
              <w:top w:w="90" w:type="dxa"/>
              <w:start w:w="90" w:type="dxa"/>
              <w:bottom w:w="90" w:type="dxa"/>
              <w:end w:w="90" w:type="dxa"/>
            </w:tcMar>
          </w:tcPr>
          <w:p>
            <w:r>
              <w:rPr>
                <w:sz w:val="17"/>
              </w:rPr>
              <w:t>Conocimiento de acceso y necesidades de financiamiento</w:t>
            </w:r>
          </w:p>
        </w:tc>
        <w:tc>
          <w:tcPr>
            <w:tcW w:type="dxa" w:w="4608"/>
            <w:vAlign w:val="center"/>
            <w:tcMar>
              <w:top w:w="90" w:type="dxa"/>
              <w:start w:w="90" w:type="dxa"/>
              <w:bottom w:w="90" w:type="dxa"/>
              <w:end w:w="90" w:type="dxa"/>
            </w:tcMar>
          </w:tcPr>
          <w:p>
            <w:r>
              <w:rPr>
                <w:sz w:val="17"/>
              </w:rPr>
              <w:t xml:space="preserve">¿Cuál de estas opciones describe mejor la situación de financiamiento de su negocio? (opción única)</w:t>
            </w:r>
          </w:p>
        </w:tc>
      </w:tr>
    </w:tbl>
    <w:p>
      <w:pPr/>
      <w:r>
        <w:t>Escala y cálculo</w:t>
      </w:r>
    </w:p>
    <w:p>
      <w:pPr/>
      <w:r>
        <w:t>Las primeras siete dimensiones utilizarán una escala ordinal sencilla: 0 = no existe o no se conoce; 1 = existe parcialmente, de manera informal o irregular; 2 = existe, se conoce y se utiliza de forma regular para gestionar.</w:t>
      </w:r>
    </w:p>
    <w:p>
      <w:pPr/>
      <w:r>
        <w:t xml:space="preserve">La dimensión de financiamiento no premiará el hecho de tener deuda. Medirá claridad y preparación. Es una pregunta de opción única con cinco opciones, mapeadas a la escala 0-2: (a) tiene financiamiento y conoce su finalidad = 2; (b) no tiene financiamiento, pero identifica una necesidad futura = 2; (e) no tiene financiamiento, lo evaluó y concluyó que no lo requiere = 2; (c) tiene financiamiento, pero no tiene claridad sobre su adecuación = 1; (d) no tiene financiamiento y no ha evaluado si lo necesita = 0. Así, “tener crédito” no es una condición favorable por sí misma. El texto de las opciones de respuesta de todas las preguntas se define en el BRD (sección 7).</w:t>
      </w:r>
    </w:p>
    <w:p>
      <w:pPr/>
      <w:r>
        <w:t>El puntaje bruto máximo será de 16 puntos y se normalizará a una escala de 0 a 100 mediante la fórmula: Score = (puntos obtenidos / 16) × 100.</w:t>
      </w:r>
    </w:p>
    <w:p>
      <w:pPr/>
      <w:r>
        <w:t xml:space="preserve">Redondeo y cortes: el score se redondea al entero más cercano (.5 hacia arriba). Para evitar ambigüedades, los niveles se determinan con el puntaje bruto: 0-6 puntos = Baja visibilidad; 7-11 = Gestión en desarrollo; 12-16 = Gestión controlada (equivalentes a los rangos 0-39, 40-69 y 70-100).</w:t>
      </w:r>
    </w:p>
    <w:p>
      <w:pPr/>
      <w:r>
        <w:t>Niveles de interpretación</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1440"/>
            <w:vAlign w:val="center"/>
            <w:tcMar>
              <w:top w:w="90" w:type="dxa"/>
              <w:start w:w="90" w:type="dxa"/>
              <w:bottom w:w="90" w:type="dxa"/>
              <w:end w:w="90" w:type="dxa"/>
            </w:tcMar>
            <w:shd w:fill="D9E2F3"/>
          </w:tcPr>
          <w:p>
            <w:r>
              <w:rPr>
                <w:b/>
                <w:sz w:val="18"/>
              </w:rPr>
              <w:t>Rango</w:t>
            </w:r>
          </w:p>
        </w:tc>
        <w:tc>
          <w:tcPr>
            <w:tcW w:type="dxa" w:w="2376"/>
            <w:vAlign w:val="center"/>
            <w:tcMar>
              <w:top w:w="90" w:type="dxa"/>
              <w:start w:w="90" w:type="dxa"/>
              <w:bottom w:w="90" w:type="dxa"/>
              <w:end w:w="90" w:type="dxa"/>
            </w:tcMar>
            <w:shd w:fill="D9E2F3"/>
          </w:tcPr>
          <w:p>
            <w:r>
              <w:rPr>
                <w:b/>
                <w:sz w:val="18"/>
              </w:rPr>
              <w:t>Nivel</w:t>
            </w:r>
          </w:p>
        </w:tc>
        <w:tc>
          <w:tcPr>
            <w:tcW w:type="dxa" w:w="6192"/>
            <w:vAlign w:val="center"/>
            <w:tcMar>
              <w:top w:w="90" w:type="dxa"/>
              <w:start w:w="90" w:type="dxa"/>
              <w:bottom w:w="90" w:type="dxa"/>
              <w:end w:w="90" w:type="dxa"/>
            </w:tcMar>
            <w:shd w:fill="D9E2F3"/>
          </w:tcPr>
          <w:p>
            <w:r>
              <w:rPr>
                <w:b/>
                <w:sz w:val="18"/>
              </w:rPr>
              <w:t>Interpretación</w:t>
            </w:r>
          </w:p>
        </w:tc>
      </w:tr>
      <w:tr>
        <w:trPr>
          <w:cantSplit/>
        </w:trPr>
        <w:tc>
          <w:tcPr>
            <w:tcW w:type="dxa" w:w="1440"/>
            <w:vAlign w:val="center"/>
            <w:tcMar>
              <w:top w:w="90" w:type="dxa"/>
              <w:start w:w="90" w:type="dxa"/>
              <w:bottom w:w="90" w:type="dxa"/>
              <w:end w:w="90" w:type="dxa"/>
            </w:tcMar>
          </w:tcPr>
          <w:p>
            <w:r>
              <w:rPr>
                <w:sz w:val="17"/>
              </w:rPr>
              <w:t>0-39</w:t>
            </w:r>
          </w:p>
        </w:tc>
        <w:tc>
          <w:tcPr>
            <w:tcW w:type="dxa" w:w="2376"/>
            <w:vAlign w:val="center"/>
            <w:tcMar>
              <w:top w:w="90" w:type="dxa"/>
              <w:start w:w="90" w:type="dxa"/>
              <w:bottom w:w="90" w:type="dxa"/>
              <w:end w:w="90" w:type="dxa"/>
            </w:tcMar>
          </w:tcPr>
          <w:p>
            <w:r>
              <w:rPr>
                <w:sz w:val="17"/>
              </w:rPr>
              <w:t>Baja visibilidad</w:t>
            </w:r>
          </w:p>
        </w:tc>
        <w:tc>
          <w:tcPr>
            <w:tcW w:type="dxa" w:w="6192"/>
            <w:vAlign w:val="center"/>
            <w:tcMar>
              <w:top w:w="90" w:type="dxa"/>
              <w:start w:w="90" w:type="dxa"/>
              <w:bottom w:w="90" w:type="dxa"/>
              <w:end w:w="90" w:type="dxa"/>
            </w:tcMar>
          </w:tcPr>
          <w:p>
            <w:r>
              <w:rPr>
                <w:sz w:val="17"/>
              </w:rPr>
              <w:t>La empresa opera con poca información estructurada o controles mínimos para observar su desempeño y riesgos básicos.</w:t>
            </w:r>
          </w:p>
        </w:tc>
      </w:tr>
      <w:tr>
        <w:trPr>
          <w:cantSplit/>
        </w:trPr>
        <w:tc>
          <w:tcPr>
            <w:tcW w:type="dxa" w:w="1440"/>
            <w:vAlign w:val="center"/>
            <w:tcMar>
              <w:top w:w="90" w:type="dxa"/>
              <w:start w:w="90" w:type="dxa"/>
              <w:bottom w:w="90" w:type="dxa"/>
              <w:end w:w="90" w:type="dxa"/>
            </w:tcMar>
          </w:tcPr>
          <w:p>
            <w:r>
              <w:rPr>
                <w:sz w:val="17"/>
              </w:rPr>
              <w:t>40-69</w:t>
            </w:r>
          </w:p>
        </w:tc>
        <w:tc>
          <w:tcPr>
            <w:tcW w:type="dxa" w:w="2376"/>
            <w:vAlign w:val="center"/>
            <w:tcMar>
              <w:top w:w="90" w:type="dxa"/>
              <w:start w:w="90" w:type="dxa"/>
              <w:bottom w:w="90" w:type="dxa"/>
              <w:end w:w="90" w:type="dxa"/>
            </w:tcMar>
          </w:tcPr>
          <w:p>
            <w:r>
              <w:rPr>
                <w:sz w:val="17"/>
              </w:rPr>
              <w:t>Gestión en desarrollo</w:t>
            </w:r>
          </w:p>
        </w:tc>
        <w:tc>
          <w:tcPr>
            <w:tcW w:type="dxa" w:w="6192"/>
            <w:vAlign w:val="center"/>
            <w:tcMar>
              <w:top w:w="90" w:type="dxa"/>
              <w:start w:w="90" w:type="dxa"/>
              <w:bottom w:w="90" w:type="dxa"/>
              <w:end w:w="90" w:type="dxa"/>
            </w:tcMar>
          </w:tcPr>
          <w:p>
            <w:r>
              <w:rPr>
                <w:sz w:val="17"/>
              </w:rPr>
              <w:t>Existen datos y prácticas útiles, pero todavía hay controles parciales, informales o dependientes de personas/herramientas aisladas.</w:t>
            </w:r>
          </w:p>
        </w:tc>
      </w:tr>
      <w:tr>
        <w:trPr>
          <w:cantSplit/>
        </w:trPr>
        <w:tc>
          <w:tcPr>
            <w:tcW w:type="dxa" w:w="1440"/>
            <w:vAlign w:val="center"/>
            <w:tcMar>
              <w:top w:w="90" w:type="dxa"/>
              <w:start w:w="90" w:type="dxa"/>
              <w:bottom w:w="90" w:type="dxa"/>
              <w:end w:w="90" w:type="dxa"/>
            </w:tcMar>
          </w:tcPr>
          <w:p>
            <w:r>
              <w:rPr>
                <w:sz w:val="17"/>
              </w:rPr>
              <w:t>70-100</w:t>
            </w:r>
          </w:p>
        </w:tc>
        <w:tc>
          <w:tcPr>
            <w:tcW w:type="dxa" w:w="2376"/>
            <w:vAlign w:val="center"/>
            <w:tcMar>
              <w:top w:w="90" w:type="dxa"/>
              <w:start w:w="90" w:type="dxa"/>
              <w:bottom w:w="90" w:type="dxa"/>
              <w:end w:w="90" w:type="dxa"/>
            </w:tcMar>
          </w:tcPr>
          <w:p>
            <w:r>
              <w:rPr>
                <w:sz w:val="17"/>
              </w:rPr>
              <w:t>Gestión controlada</w:t>
            </w:r>
          </w:p>
        </w:tc>
        <w:tc>
          <w:tcPr>
            <w:tcW w:type="dxa" w:w="6192"/>
            <w:vAlign w:val="center"/>
            <w:tcMar>
              <w:top w:w="90" w:type="dxa"/>
              <w:start w:w="90" w:type="dxa"/>
              <w:bottom w:w="90" w:type="dxa"/>
              <w:end w:w="90" w:type="dxa"/>
            </w:tcMar>
          </w:tcPr>
          <w:p>
            <w:r>
              <w:rPr>
                <w:sz w:val="17"/>
              </w:rPr>
              <w:t>La empresa cuenta con prácticas básicas consistentes de información, control y seguimiento para apoyar decisiones con mayor disciplina.</w:t>
            </w:r>
          </w:p>
        </w:tc>
      </w:tr>
    </w:tbl>
    <w:p>
      <w:pPr/>
      <w:r>
        <w:t>Resultado freemium</w:t>
      </w:r>
    </w:p>
    <w:p>
      <w:pPr/>
      <w:r>
        <w:t>El resultado incluye score, nivel, desglose por dimensión, hasta dos fortalezas, hasta dos brechas, tres acciones del catálogo aprobado y PDF. Antes de capturar datos solo se muestra “Tu informe está listo”, sin score ni hallazgos. Tras enviar nombre, correo y empresa obligatorios, WhatsApp opcional y consentimientos aplicables, el resultado completo se muestra y el PDF queda disponible para descarga inmediata. El Check no envía magic link ni requiere validar el correo para entregar el resultado. Mientras permanezca en la pantalla del resultado puede reintentar descargar el mismo informe. Al salir, no hay consulta, búsqueda por correo ni recuperación pública; para obtener otro informe debe completar un nuevo cuestionario y dejar sus datos otra vez.</w:t>
      </w:r>
    </w:p>
    <w:p>
      <w:pPr/>
      <w:r>
        <w:t xml:space="preserve">El resultado deberá incluir lenguaje de orientación y un disclaimer visible. No deberá presentarse como calificación crediticia, diagnóstico financiero integral, recomendación de inversión ni certificación de la empresa. Debe indicar que el resultado se basa en respuestas declaradas por la persona usuaria y que la plataforma no verifica la información.</w:t>
      </w:r>
    </w:p>
    <w:p>
      <w:pPr/>
      <w:r>
        <w:t>Entrega y retención interna</w:t>
      </w:r>
    </w:p>
    <w:p>
      <w:pPr/>
      <w:r>
        <w:t>Contacto, respuestas y resultado se conservan internamente 12 meses desde finalización, para análisis y seguimiento autorizado. Después se eliminan o anonimizan conforme a política validada antes de producción. No existe recuperación para el visitante. Los datos asociados a otras finalidades conservan su propia base y plazo, sin prolongar automáticamente la retención del diagnóstico.</w:t>
      </w:r>
    </w:p>
    <w:p>
      <w:pPr/>
      <w:r>
        <w:t xml:space="preserve">Prueba de comprensión previa al lanzamiento</w:t>
      </w:r>
    </w:p>
    <w:p>
      <w:r>
        <w:t>Antes de publicar, probar las ocho preguntas con 5 a 10 PyMEs reales para verificar comprensión, especialmente concentración. Los cambios posteriores de redacción se versionarán como v1.4 o superior; esta actualización v1.3 solo modifica entrega y captura.</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center"/>
    </w:pPr>
    <w:r>
      <w:t xml:space="preserve">Documento de trabajo · Octubre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ETAPA 1  |  CONCEPTO Y ALCANCE DEL PRODUCTO  |  v0.8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2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1394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1394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139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139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21394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F6B76"/>
      <w:sz w:val="16"/>
    </w:rPr>
  </w:style>
  <w:style w:type="paragraph" w:customStyle="1" w:styleId="Callout">
    <w:name w:val="Callout"/>
    <w:rPr>
      <w:rFonts w:ascii="Aptos" w:hAnsi="Aptos"/>
      <w:b/>
      <w:color w:val="2139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 y alcance del producto v0.8</dc:title>
  <dc:subject>Método Productivo; flujos aprobados del Check PyME y compras digitales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