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0AAB9" w14:textId="77777777" w:rsidR="007908D1" w:rsidRPr="00DA27B9" w:rsidRDefault="00DA27B9" w:rsidP="00DA27B9">
      <w:pPr>
        <w:spacing w:line="360" w:lineRule="auto"/>
        <w:ind w:firstLine="567"/>
        <w:jc w:val="center"/>
        <w:rPr>
          <w:b/>
          <w:sz w:val="28"/>
          <w:szCs w:val="28"/>
        </w:rPr>
      </w:pPr>
      <w:r w:rsidRPr="00DA27B9">
        <w:rPr>
          <w:b/>
          <w:sz w:val="28"/>
          <w:szCs w:val="28"/>
        </w:rPr>
        <w:t>Laboratorinis darbas</w:t>
      </w:r>
    </w:p>
    <w:p w14:paraId="75623DAA" w14:textId="77777777" w:rsidR="007908D1" w:rsidRPr="00DA27B9" w:rsidRDefault="007908D1" w:rsidP="00DA27B9">
      <w:pPr>
        <w:spacing w:line="360" w:lineRule="auto"/>
        <w:ind w:firstLine="567"/>
        <w:jc w:val="center"/>
        <w:rPr>
          <w:b/>
          <w:sz w:val="28"/>
          <w:szCs w:val="28"/>
        </w:rPr>
      </w:pPr>
    </w:p>
    <w:p w14:paraId="54E4A761" w14:textId="77777777" w:rsidR="007908D1" w:rsidRPr="00DA27B9" w:rsidRDefault="00514D0F" w:rsidP="00DA27B9">
      <w:pPr>
        <w:spacing w:line="360" w:lineRule="auto"/>
        <w:ind w:firstLine="567"/>
        <w:jc w:val="center"/>
      </w:pPr>
      <w:r w:rsidRPr="00DA27B9">
        <w:rPr>
          <w:b/>
          <w:sz w:val="28"/>
          <w:szCs w:val="28"/>
        </w:rPr>
        <w:t>LIEČIŲ SISTEMOS PARINKIMAS IR SKAIČIAVIMAS</w:t>
      </w:r>
    </w:p>
    <w:p w14:paraId="62F6218F" w14:textId="77777777" w:rsidR="007908D1" w:rsidRPr="00DA27B9" w:rsidRDefault="007908D1" w:rsidP="00DA27B9">
      <w:pPr>
        <w:spacing w:line="360" w:lineRule="auto"/>
        <w:ind w:firstLine="567"/>
        <w:jc w:val="center"/>
      </w:pPr>
    </w:p>
    <w:p w14:paraId="17724551" w14:textId="77777777" w:rsidR="007908D1" w:rsidRPr="00DA27B9" w:rsidRDefault="007908D1" w:rsidP="00DA27B9">
      <w:pPr>
        <w:spacing w:line="360" w:lineRule="auto"/>
        <w:ind w:firstLine="567"/>
      </w:pPr>
    </w:p>
    <w:p w14:paraId="15D9EA27" w14:textId="77777777" w:rsidR="007908D1" w:rsidRPr="00DA27B9" w:rsidRDefault="00514D0F" w:rsidP="00DA27B9">
      <w:pPr>
        <w:spacing w:line="360" w:lineRule="auto"/>
        <w:ind w:firstLine="567"/>
        <w:rPr>
          <w:b/>
          <w:u w:val="single"/>
        </w:rPr>
      </w:pPr>
      <w:r w:rsidRPr="00DA27B9">
        <w:rPr>
          <w:b/>
          <w:u w:val="single"/>
        </w:rPr>
        <w:t>Darbo tikslas:</w:t>
      </w:r>
    </w:p>
    <w:p w14:paraId="63F896B5" w14:textId="77777777" w:rsidR="007908D1" w:rsidRPr="00DA27B9" w:rsidRDefault="00514D0F" w:rsidP="00DA27B9">
      <w:pPr>
        <w:numPr>
          <w:ilvl w:val="0"/>
          <w:numId w:val="1"/>
        </w:numPr>
        <w:spacing w:line="360" w:lineRule="auto"/>
        <w:ind w:firstLine="273"/>
      </w:pPr>
      <w:r w:rsidRPr="00DA27B9">
        <w:t>Išnagrinėti liečių sistemos tipus ir paskirtį.</w:t>
      </w:r>
    </w:p>
    <w:p w14:paraId="52BA94F7" w14:textId="77777777" w:rsidR="007908D1" w:rsidRPr="00DA27B9" w:rsidRDefault="007908D1" w:rsidP="00DA27B9">
      <w:pPr>
        <w:spacing w:line="360" w:lineRule="auto"/>
        <w:ind w:firstLine="567"/>
      </w:pPr>
    </w:p>
    <w:p w14:paraId="5AF1A132" w14:textId="77777777" w:rsidR="007908D1" w:rsidRPr="00DA27B9" w:rsidRDefault="00514D0F" w:rsidP="00DA27B9">
      <w:pPr>
        <w:spacing w:line="360" w:lineRule="auto"/>
        <w:ind w:firstLine="567"/>
        <w:rPr>
          <w:b/>
          <w:u w:val="single"/>
        </w:rPr>
      </w:pPr>
      <w:r w:rsidRPr="00DA27B9">
        <w:rPr>
          <w:b/>
          <w:u w:val="single"/>
        </w:rPr>
        <w:t>Darbo užduotis:</w:t>
      </w:r>
    </w:p>
    <w:p w14:paraId="02C1D05D" w14:textId="77777777" w:rsidR="007908D1" w:rsidRPr="00DA27B9" w:rsidRDefault="00DA27B9" w:rsidP="00DA27B9">
      <w:pPr>
        <w:numPr>
          <w:ilvl w:val="0"/>
          <w:numId w:val="2"/>
        </w:numPr>
        <w:spacing w:line="360" w:lineRule="auto"/>
        <w:ind w:firstLine="273"/>
      </w:pPr>
      <w:r w:rsidRPr="00DA27B9">
        <w:t>Nurodytam liejiniui ap</w:t>
      </w:r>
      <w:r w:rsidR="00514D0F" w:rsidRPr="00DA27B9">
        <w:t>skaičiuoti liečių sistemos elementų matmenis.</w:t>
      </w:r>
    </w:p>
    <w:p w14:paraId="6063210D" w14:textId="77777777" w:rsidR="007908D1" w:rsidRPr="00DA27B9" w:rsidRDefault="007908D1" w:rsidP="00DA27B9">
      <w:pPr>
        <w:spacing w:line="360" w:lineRule="auto"/>
        <w:ind w:firstLine="567"/>
      </w:pPr>
    </w:p>
    <w:p w14:paraId="55F7E270" w14:textId="77777777" w:rsidR="007908D1" w:rsidRPr="00DA27B9" w:rsidRDefault="00514D0F" w:rsidP="00DA27B9">
      <w:pPr>
        <w:spacing w:line="360" w:lineRule="auto"/>
        <w:ind w:firstLine="567"/>
        <w:rPr>
          <w:b/>
          <w:u w:val="single"/>
        </w:rPr>
      </w:pPr>
      <w:r w:rsidRPr="00DA27B9">
        <w:rPr>
          <w:b/>
          <w:u w:val="single"/>
        </w:rPr>
        <w:t>Bendros žinios:</w:t>
      </w:r>
    </w:p>
    <w:p w14:paraId="21B6D70E" w14:textId="77777777" w:rsidR="007908D1" w:rsidRPr="00DA27B9" w:rsidRDefault="00514D0F" w:rsidP="00DA27B9">
      <w:pPr>
        <w:pStyle w:val="BodyTextIndent"/>
        <w:spacing w:line="360" w:lineRule="auto"/>
        <w:ind w:firstLine="567"/>
      </w:pPr>
      <w:r w:rsidRPr="00DA27B9">
        <w:t>Lydinio liejimo temperatūra visada yra aukštesnė už jo lydymosi temperatūrą. Kuo sudėtingesni liejiniai ir kuo plonesnės jų sienelės, tuo didesnis turi būti šių temperatūrų skirtumas. Lydinio išpilstymo ir lydymosi temperatūrų skirtumas vadinamas perkaitinimo temperatūra.</w:t>
      </w:r>
    </w:p>
    <w:p w14:paraId="7E64EAEE" w14:textId="77777777" w:rsidR="00DA27B9" w:rsidRDefault="00DA27B9" w:rsidP="00DA27B9">
      <w:pPr>
        <w:pStyle w:val="BodyTextIndent"/>
        <w:spacing w:line="360" w:lineRule="auto"/>
        <w:ind w:firstLine="567"/>
        <w:jc w:val="center"/>
      </w:pPr>
    </w:p>
    <w:p w14:paraId="0095AB2B" w14:textId="77777777" w:rsidR="007908D1" w:rsidRPr="00DA27B9" w:rsidRDefault="00514D0F" w:rsidP="00DA27B9">
      <w:pPr>
        <w:pStyle w:val="BodyTextIndent"/>
        <w:spacing w:line="360" w:lineRule="auto"/>
        <w:ind w:firstLine="567"/>
        <w:jc w:val="center"/>
        <w:rPr>
          <w:b/>
        </w:rPr>
      </w:pPr>
      <w:r w:rsidRPr="00DA27B9">
        <w:rPr>
          <w:b/>
        </w:rPr>
        <w:t>Įvairios sudėties lydinių l</w:t>
      </w:r>
      <w:r w:rsidR="00DA27B9" w:rsidRPr="00DA27B9">
        <w:rPr>
          <w:b/>
        </w:rPr>
        <w:t>ydymosi ir liejimo temperatūros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2520"/>
        <w:gridCol w:w="2520"/>
      </w:tblGrid>
      <w:tr w:rsidR="007908D1" w:rsidRPr="00DA27B9" w14:paraId="3C6C9C42" w14:textId="77777777">
        <w:trPr>
          <w:cantSplit/>
        </w:trPr>
        <w:tc>
          <w:tcPr>
            <w:tcW w:w="3960" w:type="dxa"/>
            <w:vMerge w:val="restart"/>
            <w:vAlign w:val="center"/>
          </w:tcPr>
          <w:p w14:paraId="08D44A18" w14:textId="77777777" w:rsidR="007908D1" w:rsidRPr="00DA27B9" w:rsidRDefault="00514D0F" w:rsidP="00DA27B9">
            <w:pPr>
              <w:pStyle w:val="BodyTextIndent"/>
              <w:ind w:firstLine="0"/>
              <w:jc w:val="center"/>
              <w:rPr>
                <w:sz w:val="20"/>
              </w:rPr>
            </w:pPr>
            <w:r w:rsidRPr="00DA27B9">
              <w:rPr>
                <w:sz w:val="20"/>
              </w:rPr>
              <w:t>Lydinio pavadinimas</w:t>
            </w:r>
          </w:p>
        </w:tc>
        <w:tc>
          <w:tcPr>
            <w:tcW w:w="5040" w:type="dxa"/>
            <w:gridSpan w:val="2"/>
            <w:vAlign w:val="center"/>
          </w:tcPr>
          <w:p w14:paraId="532B3A68" w14:textId="77777777" w:rsidR="007908D1" w:rsidRPr="00DA27B9" w:rsidRDefault="00514D0F" w:rsidP="00DA27B9">
            <w:pPr>
              <w:pStyle w:val="BodyTextIndent"/>
              <w:ind w:firstLine="0"/>
              <w:jc w:val="center"/>
              <w:rPr>
                <w:sz w:val="20"/>
              </w:rPr>
            </w:pPr>
            <w:r w:rsidRPr="00DA27B9">
              <w:rPr>
                <w:sz w:val="20"/>
              </w:rPr>
              <w:t xml:space="preserve">Temperatūra, </w:t>
            </w:r>
            <w:r w:rsidRPr="00DA27B9">
              <w:rPr>
                <w:sz w:val="20"/>
                <w:vertAlign w:val="superscript"/>
              </w:rPr>
              <w:t>o</w:t>
            </w:r>
            <w:r w:rsidRPr="00DA27B9">
              <w:rPr>
                <w:sz w:val="20"/>
              </w:rPr>
              <w:t>C</w:t>
            </w:r>
          </w:p>
        </w:tc>
      </w:tr>
      <w:tr w:rsidR="007908D1" w:rsidRPr="00DA27B9" w14:paraId="7E725648" w14:textId="77777777">
        <w:trPr>
          <w:cantSplit/>
        </w:trPr>
        <w:tc>
          <w:tcPr>
            <w:tcW w:w="3960" w:type="dxa"/>
            <w:vMerge/>
          </w:tcPr>
          <w:p w14:paraId="2DB3647F" w14:textId="77777777" w:rsidR="007908D1" w:rsidRPr="00DA27B9" w:rsidRDefault="007908D1" w:rsidP="00DA27B9">
            <w:pPr>
              <w:pStyle w:val="BodyTextIndent"/>
              <w:ind w:firstLine="0"/>
              <w:rPr>
                <w:sz w:val="20"/>
              </w:rPr>
            </w:pPr>
          </w:p>
        </w:tc>
        <w:tc>
          <w:tcPr>
            <w:tcW w:w="2520" w:type="dxa"/>
            <w:vAlign w:val="center"/>
          </w:tcPr>
          <w:p w14:paraId="562331C7" w14:textId="77777777" w:rsidR="007908D1" w:rsidRPr="00DA27B9" w:rsidRDefault="00514D0F" w:rsidP="00DA27B9">
            <w:pPr>
              <w:pStyle w:val="BodyTextIndent"/>
              <w:ind w:firstLine="0"/>
              <w:jc w:val="center"/>
              <w:rPr>
                <w:sz w:val="20"/>
              </w:rPr>
            </w:pPr>
            <w:r w:rsidRPr="00DA27B9">
              <w:rPr>
                <w:sz w:val="20"/>
              </w:rPr>
              <w:t>Lydymosi</w:t>
            </w:r>
          </w:p>
        </w:tc>
        <w:tc>
          <w:tcPr>
            <w:tcW w:w="2520" w:type="dxa"/>
            <w:vAlign w:val="center"/>
          </w:tcPr>
          <w:p w14:paraId="1F3990BD" w14:textId="77777777" w:rsidR="007908D1" w:rsidRPr="00DA27B9" w:rsidRDefault="00514D0F" w:rsidP="00DA27B9">
            <w:pPr>
              <w:pStyle w:val="BodyTextIndent"/>
              <w:ind w:firstLine="0"/>
              <w:jc w:val="center"/>
              <w:rPr>
                <w:sz w:val="20"/>
              </w:rPr>
            </w:pPr>
            <w:r w:rsidRPr="00DA27B9">
              <w:rPr>
                <w:sz w:val="20"/>
              </w:rPr>
              <w:t>Liejimo</w:t>
            </w:r>
          </w:p>
        </w:tc>
      </w:tr>
      <w:tr w:rsidR="007908D1" w:rsidRPr="00DA27B9" w14:paraId="07766504" w14:textId="77777777">
        <w:tc>
          <w:tcPr>
            <w:tcW w:w="3960" w:type="dxa"/>
          </w:tcPr>
          <w:p w14:paraId="03650E22" w14:textId="77777777" w:rsidR="007908D1" w:rsidRPr="00DA27B9" w:rsidRDefault="00514D0F" w:rsidP="00DA27B9">
            <w:pPr>
              <w:pStyle w:val="BodyTextIndent"/>
              <w:ind w:firstLine="0"/>
              <w:rPr>
                <w:sz w:val="20"/>
              </w:rPr>
            </w:pPr>
            <w:r w:rsidRPr="00DA27B9">
              <w:rPr>
                <w:sz w:val="20"/>
              </w:rPr>
              <w:t>Mažai anglingas plienas (0,2 % C)</w:t>
            </w:r>
          </w:p>
        </w:tc>
        <w:tc>
          <w:tcPr>
            <w:tcW w:w="2520" w:type="dxa"/>
            <w:vAlign w:val="center"/>
          </w:tcPr>
          <w:p w14:paraId="56DBD922" w14:textId="77777777" w:rsidR="007908D1" w:rsidRPr="00DA27B9" w:rsidRDefault="00514D0F" w:rsidP="00DA27B9">
            <w:pPr>
              <w:pStyle w:val="BodyTextIndent"/>
              <w:ind w:firstLine="0"/>
              <w:jc w:val="center"/>
              <w:rPr>
                <w:sz w:val="20"/>
              </w:rPr>
            </w:pPr>
            <w:r w:rsidRPr="00DA27B9">
              <w:rPr>
                <w:sz w:val="20"/>
              </w:rPr>
              <w:t>1525</w:t>
            </w:r>
          </w:p>
        </w:tc>
        <w:tc>
          <w:tcPr>
            <w:tcW w:w="2520" w:type="dxa"/>
            <w:vAlign w:val="center"/>
          </w:tcPr>
          <w:p w14:paraId="4B25E2B0" w14:textId="77777777" w:rsidR="007908D1" w:rsidRPr="00DA27B9" w:rsidRDefault="00514D0F" w:rsidP="00DA27B9">
            <w:pPr>
              <w:pStyle w:val="BodyTextIndent"/>
              <w:ind w:firstLine="0"/>
              <w:jc w:val="center"/>
              <w:rPr>
                <w:sz w:val="20"/>
              </w:rPr>
            </w:pPr>
            <w:r w:rsidRPr="00DA27B9">
              <w:rPr>
                <w:sz w:val="20"/>
              </w:rPr>
              <w:t>1560 – 1635</w:t>
            </w:r>
          </w:p>
        </w:tc>
      </w:tr>
      <w:tr w:rsidR="007908D1" w:rsidRPr="00DA27B9" w14:paraId="4C854408" w14:textId="77777777">
        <w:tc>
          <w:tcPr>
            <w:tcW w:w="3960" w:type="dxa"/>
          </w:tcPr>
          <w:p w14:paraId="640DED38" w14:textId="77777777" w:rsidR="007908D1" w:rsidRPr="00DA27B9" w:rsidRDefault="00514D0F" w:rsidP="00DA27B9">
            <w:pPr>
              <w:pStyle w:val="BodyTextIndent"/>
              <w:ind w:firstLine="0"/>
              <w:rPr>
                <w:sz w:val="20"/>
              </w:rPr>
            </w:pPr>
            <w:r w:rsidRPr="00DA27B9">
              <w:rPr>
                <w:sz w:val="20"/>
              </w:rPr>
              <w:t>Vidutiniškai anglingas plienas (0,4 % C)</w:t>
            </w:r>
          </w:p>
        </w:tc>
        <w:tc>
          <w:tcPr>
            <w:tcW w:w="2520" w:type="dxa"/>
            <w:vAlign w:val="center"/>
          </w:tcPr>
          <w:p w14:paraId="055261FA" w14:textId="77777777" w:rsidR="007908D1" w:rsidRPr="00DA27B9" w:rsidRDefault="00514D0F" w:rsidP="00DA27B9">
            <w:pPr>
              <w:pStyle w:val="BodyTextIndent"/>
              <w:ind w:firstLine="0"/>
              <w:jc w:val="center"/>
              <w:rPr>
                <w:sz w:val="20"/>
              </w:rPr>
            </w:pPr>
            <w:r w:rsidRPr="00DA27B9">
              <w:rPr>
                <w:sz w:val="20"/>
              </w:rPr>
              <w:t>1515</w:t>
            </w:r>
          </w:p>
        </w:tc>
        <w:tc>
          <w:tcPr>
            <w:tcW w:w="2520" w:type="dxa"/>
            <w:vAlign w:val="center"/>
          </w:tcPr>
          <w:p w14:paraId="44856520" w14:textId="77777777" w:rsidR="007908D1" w:rsidRPr="00DA27B9" w:rsidRDefault="00514D0F" w:rsidP="00DA27B9">
            <w:pPr>
              <w:pStyle w:val="BodyTextIndent"/>
              <w:ind w:firstLine="0"/>
              <w:jc w:val="center"/>
              <w:rPr>
                <w:sz w:val="20"/>
              </w:rPr>
            </w:pPr>
            <w:r w:rsidRPr="00DA27B9">
              <w:rPr>
                <w:sz w:val="20"/>
              </w:rPr>
              <w:t>1550 – 1615</w:t>
            </w:r>
          </w:p>
        </w:tc>
      </w:tr>
      <w:tr w:rsidR="007908D1" w:rsidRPr="00DA27B9" w14:paraId="12CAD215" w14:textId="77777777">
        <w:tc>
          <w:tcPr>
            <w:tcW w:w="3960" w:type="dxa"/>
          </w:tcPr>
          <w:p w14:paraId="2F8FC4B8" w14:textId="77777777" w:rsidR="007908D1" w:rsidRPr="00DA27B9" w:rsidRDefault="00514D0F" w:rsidP="00DA27B9">
            <w:pPr>
              <w:pStyle w:val="BodyTextIndent"/>
              <w:ind w:firstLine="0"/>
              <w:rPr>
                <w:sz w:val="20"/>
              </w:rPr>
            </w:pPr>
            <w:r w:rsidRPr="00DA27B9">
              <w:rPr>
                <w:sz w:val="20"/>
              </w:rPr>
              <w:t>Labai anglingas plienas (1 % C)</w:t>
            </w:r>
          </w:p>
        </w:tc>
        <w:tc>
          <w:tcPr>
            <w:tcW w:w="2520" w:type="dxa"/>
            <w:vAlign w:val="center"/>
          </w:tcPr>
          <w:p w14:paraId="397A8A34" w14:textId="77777777" w:rsidR="007908D1" w:rsidRPr="00DA27B9" w:rsidRDefault="00514D0F" w:rsidP="00DA27B9">
            <w:pPr>
              <w:pStyle w:val="BodyTextIndent"/>
              <w:ind w:firstLine="0"/>
              <w:jc w:val="center"/>
              <w:rPr>
                <w:sz w:val="20"/>
              </w:rPr>
            </w:pPr>
            <w:r w:rsidRPr="00DA27B9">
              <w:rPr>
                <w:sz w:val="20"/>
              </w:rPr>
              <w:t>1480</w:t>
            </w:r>
          </w:p>
        </w:tc>
        <w:tc>
          <w:tcPr>
            <w:tcW w:w="2520" w:type="dxa"/>
            <w:vAlign w:val="center"/>
          </w:tcPr>
          <w:p w14:paraId="2D14D20C" w14:textId="77777777" w:rsidR="007908D1" w:rsidRPr="00DA27B9" w:rsidRDefault="00514D0F" w:rsidP="00DA27B9">
            <w:pPr>
              <w:pStyle w:val="BodyTextIndent"/>
              <w:ind w:firstLine="0"/>
              <w:jc w:val="center"/>
              <w:rPr>
                <w:sz w:val="20"/>
              </w:rPr>
            </w:pPr>
            <w:r w:rsidRPr="00DA27B9">
              <w:rPr>
                <w:sz w:val="20"/>
              </w:rPr>
              <w:t>1510 – 1570</w:t>
            </w:r>
          </w:p>
        </w:tc>
      </w:tr>
      <w:tr w:rsidR="007908D1" w:rsidRPr="00DA27B9" w14:paraId="1DF4BB27" w14:textId="77777777">
        <w:tc>
          <w:tcPr>
            <w:tcW w:w="3960" w:type="dxa"/>
          </w:tcPr>
          <w:p w14:paraId="09EA1A31" w14:textId="77777777" w:rsidR="007908D1" w:rsidRPr="00DA27B9" w:rsidRDefault="00514D0F" w:rsidP="00DA27B9">
            <w:pPr>
              <w:pStyle w:val="BodyTextIndent"/>
              <w:ind w:firstLine="0"/>
              <w:rPr>
                <w:sz w:val="20"/>
              </w:rPr>
            </w:pPr>
            <w:r w:rsidRPr="00DA27B9">
              <w:rPr>
                <w:sz w:val="20"/>
              </w:rPr>
              <w:t>Aliuminio lydiniai</w:t>
            </w:r>
          </w:p>
        </w:tc>
        <w:tc>
          <w:tcPr>
            <w:tcW w:w="2520" w:type="dxa"/>
            <w:vAlign w:val="center"/>
          </w:tcPr>
          <w:p w14:paraId="74FB83DE" w14:textId="77777777" w:rsidR="007908D1" w:rsidRPr="00DA27B9" w:rsidRDefault="00514D0F" w:rsidP="00DA27B9">
            <w:pPr>
              <w:pStyle w:val="BodyTextIndent"/>
              <w:ind w:firstLine="0"/>
              <w:jc w:val="center"/>
              <w:rPr>
                <w:sz w:val="20"/>
              </w:rPr>
            </w:pPr>
            <w:r w:rsidRPr="00DA27B9">
              <w:rPr>
                <w:sz w:val="20"/>
              </w:rPr>
              <w:t>590</w:t>
            </w:r>
          </w:p>
        </w:tc>
        <w:tc>
          <w:tcPr>
            <w:tcW w:w="2520" w:type="dxa"/>
            <w:vAlign w:val="center"/>
          </w:tcPr>
          <w:p w14:paraId="6FFED315" w14:textId="77777777" w:rsidR="007908D1" w:rsidRPr="00DA27B9" w:rsidRDefault="00514D0F" w:rsidP="00DA27B9">
            <w:pPr>
              <w:pStyle w:val="BodyTextIndent"/>
              <w:ind w:firstLine="0"/>
              <w:jc w:val="center"/>
              <w:rPr>
                <w:sz w:val="20"/>
              </w:rPr>
            </w:pPr>
            <w:r w:rsidRPr="00DA27B9">
              <w:rPr>
                <w:sz w:val="20"/>
              </w:rPr>
              <w:t>680 – 780</w:t>
            </w:r>
          </w:p>
        </w:tc>
      </w:tr>
    </w:tbl>
    <w:p w14:paraId="50BC77A5" w14:textId="77777777" w:rsidR="007908D1" w:rsidRPr="00DA27B9" w:rsidRDefault="007908D1" w:rsidP="00DA27B9">
      <w:pPr>
        <w:spacing w:line="360" w:lineRule="auto"/>
        <w:ind w:firstLine="567"/>
        <w:jc w:val="both"/>
      </w:pPr>
    </w:p>
    <w:p w14:paraId="6946E2C9" w14:textId="77777777" w:rsidR="007908D1" w:rsidRPr="00DA27B9" w:rsidRDefault="00514D0F" w:rsidP="00DA27B9">
      <w:pPr>
        <w:pStyle w:val="BodyTextIndent"/>
        <w:spacing w:line="360" w:lineRule="auto"/>
        <w:ind w:firstLine="567"/>
      </w:pPr>
      <w:r w:rsidRPr="00DA27B9">
        <w:t>Liečių sistema vadinama visuma kanalų, skirtų išlydytam metalui paduoti į formą. Liečių sistema atskiria ir surenka šlaką, patenkantį į liečio taurę, kietėjantį liejinį papildo metalu.</w:t>
      </w:r>
    </w:p>
    <w:p w14:paraId="5F771DCC" w14:textId="77777777" w:rsidR="007908D1" w:rsidRPr="00DA27B9" w:rsidRDefault="00514D0F" w:rsidP="00DA27B9">
      <w:pPr>
        <w:spacing w:line="360" w:lineRule="auto"/>
        <w:ind w:firstLine="567"/>
        <w:jc w:val="center"/>
      </w:pPr>
      <w:r w:rsidRPr="00DA27B9">
        <w:object w:dxaOrig="7994" w:dyaOrig="7589" w14:anchorId="5F3F1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162pt" o:ole="">
            <v:imagedata r:id="rId7" o:title=""/>
          </v:shape>
          <o:OLEObject Type="Embed" ProgID="PBrush" ShapeID="_x0000_i1025" DrawAspect="Content" ObjectID="_1731880008" r:id="rId8"/>
        </w:object>
      </w:r>
    </w:p>
    <w:p w14:paraId="77BF00B6" w14:textId="77777777" w:rsidR="007908D1" w:rsidRPr="00DA27B9" w:rsidRDefault="00514D0F" w:rsidP="00DA27B9">
      <w:pPr>
        <w:spacing w:line="360" w:lineRule="auto"/>
        <w:ind w:firstLine="567"/>
        <w:jc w:val="center"/>
      </w:pPr>
      <w:r w:rsidRPr="00DA27B9">
        <w:rPr>
          <w:b/>
        </w:rPr>
        <w:t>1 pav.</w:t>
      </w:r>
      <w:r w:rsidRPr="00DA27B9">
        <w:t xml:space="preserve"> Liečių sistema</w:t>
      </w:r>
      <w:r w:rsidR="00DA27B9">
        <w:t xml:space="preserve"> (</w:t>
      </w:r>
      <w:r w:rsidRPr="00DA27B9">
        <w:t>1 – liečio taurė (piltuvėlis); 2 – vertikalus kanalas (stovas); 3 – šlakų gaudytuvas; 4 – tiektuvai (</w:t>
      </w:r>
      <w:r w:rsidR="00DA27B9">
        <w:t>maitintuvai)</w:t>
      </w:r>
    </w:p>
    <w:p w14:paraId="758B2BA4" w14:textId="77777777" w:rsidR="007908D1" w:rsidRPr="00DA27B9" w:rsidRDefault="00514D0F" w:rsidP="00DA27B9">
      <w:pPr>
        <w:spacing w:line="360" w:lineRule="auto"/>
        <w:ind w:firstLine="567"/>
        <w:jc w:val="both"/>
        <w:rPr>
          <w:bCs/>
        </w:rPr>
      </w:pPr>
      <w:r w:rsidRPr="00DA27B9">
        <w:rPr>
          <w:bCs/>
        </w:rPr>
        <w:lastRenderedPageBreak/>
        <w:t>Iš kaušo metalas pilamas į liečio taurę. Būdamos lengvesnės už skystą metalą nemetalinės priemaišos, šlakas ir dujos susikaupia šlakų gaudytuvo viršutinėje dalyje. Tiektuvų skaičius ir jų išdėstymas priklauso nuo liejamos detalės masės ir sudėtingumo. Liečių sistemai dar priklauso ortakis, kuriuo išeina oras ir dujos tuomet, kai formą užpildo skystas metalas. Atsižvelgiant į liejinio sienelių formą, storį bei pilamą lydinį, tiektuvai (maitintuvai) gali būti jungiami prie liejinio iš virš</w:t>
      </w:r>
      <w:r w:rsidR="004C5ED4">
        <w:rPr>
          <w:bCs/>
        </w:rPr>
        <w:t>a</w:t>
      </w:r>
      <w:r w:rsidRPr="00DA27B9">
        <w:rPr>
          <w:bCs/>
        </w:rPr>
        <w:t xml:space="preserve">us, iš apačios arba iš šono. Pasirenkant liečių </w:t>
      </w:r>
      <w:r w:rsidR="004C5ED4">
        <w:rPr>
          <w:bCs/>
        </w:rPr>
        <w:t>s</w:t>
      </w:r>
      <w:r w:rsidRPr="00DA27B9">
        <w:rPr>
          <w:bCs/>
        </w:rPr>
        <w:t>istemos tipą reikia žiūrėti, kad kuo mažiau būtų sunaudojama metalo. Liečių sistema gali būti siaurėjanti (F</w:t>
      </w:r>
      <w:r w:rsidRPr="00DA27B9">
        <w:rPr>
          <w:bCs/>
          <w:vertAlign w:val="subscript"/>
        </w:rPr>
        <w:t>v</w:t>
      </w:r>
      <w:r w:rsidRPr="00DA27B9">
        <w:rPr>
          <w:bCs/>
        </w:rPr>
        <w:t xml:space="preserve"> &gt; F</w:t>
      </w:r>
      <w:r w:rsidRPr="00DA27B9">
        <w:rPr>
          <w:bCs/>
          <w:vertAlign w:val="subscript"/>
        </w:rPr>
        <w:t>š</w:t>
      </w:r>
      <w:r w:rsidRPr="00DA27B9">
        <w:rPr>
          <w:bCs/>
        </w:rPr>
        <w:t xml:space="preserve"> &gt; F</w:t>
      </w:r>
      <w:r w:rsidRPr="00DA27B9">
        <w:rPr>
          <w:bCs/>
          <w:vertAlign w:val="subscript"/>
        </w:rPr>
        <w:t>t</w:t>
      </w:r>
      <w:r w:rsidRPr="00DA27B9">
        <w:rPr>
          <w:bCs/>
        </w:rPr>
        <w:t>) ir platėjanti (F</w:t>
      </w:r>
      <w:r w:rsidRPr="00DA27B9">
        <w:rPr>
          <w:bCs/>
          <w:vertAlign w:val="subscript"/>
        </w:rPr>
        <w:t>v</w:t>
      </w:r>
      <w:r w:rsidRPr="00DA27B9">
        <w:rPr>
          <w:bCs/>
        </w:rPr>
        <w:t xml:space="preserve"> &lt; F</w:t>
      </w:r>
      <w:r w:rsidRPr="00DA27B9">
        <w:rPr>
          <w:bCs/>
          <w:vertAlign w:val="subscript"/>
        </w:rPr>
        <w:t>š</w:t>
      </w:r>
      <w:r w:rsidRPr="00DA27B9">
        <w:rPr>
          <w:bCs/>
        </w:rPr>
        <w:t xml:space="preserve"> &lt; F</w:t>
      </w:r>
      <w:r w:rsidRPr="00DA27B9">
        <w:rPr>
          <w:bCs/>
          <w:vertAlign w:val="subscript"/>
        </w:rPr>
        <w:t>t</w:t>
      </w:r>
      <w:r w:rsidRPr="00DA27B9">
        <w:rPr>
          <w:bCs/>
        </w:rPr>
        <w:t>). Čia F</w:t>
      </w:r>
      <w:r w:rsidRPr="00DA27B9">
        <w:rPr>
          <w:bCs/>
          <w:vertAlign w:val="subscript"/>
        </w:rPr>
        <w:t>v</w:t>
      </w:r>
      <w:r w:rsidRPr="00DA27B9">
        <w:rPr>
          <w:bCs/>
        </w:rPr>
        <w:t xml:space="preserve"> – vertikalaus liečio kanalo skerspjūvio plotas; F</w:t>
      </w:r>
      <w:r w:rsidRPr="00DA27B9">
        <w:rPr>
          <w:bCs/>
          <w:vertAlign w:val="subscript"/>
        </w:rPr>
        <w:t>š</w:t>
      </w:r>
      <w:r w:rsidRPr="00DA27B9">
        <w:rPr>
          <w:bCs/>
        </w:rPr>
        <w:t xml:space="preserve"> – šlakų gaudytuvo skerspjūvio plotas; F</w:t>
      </w:r>
      <w:r w:rsidRPr="00DA27B9">
        <w:rPr>
          <w:bCs/>
          <w:vertAlign w:val="subscript"/>
        </w:rPr>
        <w:t>t</w:t>
      </w:r>
      <w:r w:rsidRPr="00DA27B9">
        <w:rPr>
          <w:bCs/>
        </w:rPr>
        <w:t xml:space="preserve"> – tiektuvo skerspjūvio plotas.</w:t>
      </w:r>
    </w:p>
    <w:p w14:paraId="77163793" w14:textId="77777777" w:rsidR="007908D1" w:rsidRPr="00DA27B9" w:rsidRDefault="00514D0F" w:rsidP="00DA27B9">
      <w:pPr>
        <w:spacing w:line="360" w:lineRule="auto"/>
        <w:ind w:firstLine="567"/>
        <w:jc w:val="both"/>
        <w:rPr>
          <w:bCs/>
        </w:rPr>
      </w:pPr>
      <w:r w:rsidRPr="00DA27B9">
        <w:rPr>
          <w:bCs/>
        </w:rPr>
        <w:t>Siaurėjanti sistema gerai šalina šlaką, mažina oro patekimo į formą galimybę. Paprastai šio tipo sistemos taikomos liejant plieninius arba ketinius liejinius. Platėjančioje liečių sistemoje metalas teka lėčiau, forma užpildoma palaipsniui, mažiau oksiduojasi metalas. Šių tipų sistemos naudojamos liejant liejinius iš oksiduotis linkusių lydinių (aliuminio, magnio ir t.t.).</w:t>
      </w:r>
    </w:p>
    <w:p w14:paraId="2A5EEC21" w14:textId="77777777" w:rsidR="007908D1" w:rsidRPr="00DA27B9" w:rsidRDefault="00514D0F" w:rsidP="00DA27B9">
      <w:pPr>
        <w:spacing w:line="360" w:lineRule="auto"/>
        <w:ind w:firstLine="567"/>
        <w:jc w:val="both"/>
        <w:rPr>
          <w:bCs/>
        </w:rPr>
      </w:pPr>
      <w:r w:rsidRPr="00DA27B9">
        <w:rPr>
          <w:bCs/>
        </w:rPr>
        <w:t>Liečių sistemos parinkimas yra vienas sudėtingiausių klausimų liejimo technologijoje. Teisingai parinkta liečių sistema apsprendžia liejinio kokybę. Ji turi užtikrinti sklandų skysto metalo tiekimą į formos ertmę ir tolygią liejinio kristalizaciją. Metalo tiekimo vieta turi didelės įtakos liejinio metalo tankiui, jo išorinei išvaizdai ir galimiems liejinio defektams. Parenkant liečių sistemą, laikomasi tokių reikalavimų:</w:t>
      </w:r>
    </w:p>
    <w:p w14:paraId="16956CDB" w14:textId="77777777" w:rsidR="007908D1" w:rsidRPr="00DA27B9" w:rsidRDefault="00514D0F" w:rsidP="004C5ED4">
      <w:pPr>
        <w:numPr>
          <w:ilvl w:val="0"/>
          <w:numId w:val="9"/>
        </w:numPr>
        <w:tabs>
          <w:tab w:val="clear" w:pos="1005"/>
          <w:tab w:val="num" w:pos="900"/>
        </w:tabs>
        <w:spacing w:line="360" w:lineRule="auto"/>
        <w:ind w:left="900" w:hanging="333"/>
        <w:jc w:val="both"/>
        <w:rPr>
          <w:bCs/>
        </w:rPr>
      </w:pPr>
      <w:r w:rsidRPr="00DA27B9">
        <w:rPr>
          <w:bCs/>
        </w:rPr>
        <w:t>Liečių sistema turi užtikrinti gerą formos užpildymą metalu ir tolimesnį jo tiekimą liejiniui kietėjant;</w:t>
      </w:r>
    </w:p>
    <w:p w14:paraId="7D7DD03E" w14:textId="77777777" w:rsidR="007908D1" w:rsidRPr="00DA27B9" w:rsidRDefault="00514D0F" w:rsidP="004C5ED4">
      <w:pPr>
        <w:numPr>
          <w:ilvl w:val="0"/>
          <w:numId w:val="9"/>
        </w:numPr>
        <w:tabs>
          <w:tab w:val="clear" w:pos="1005"/>
          <w:tab w:val="num" w:pos="900"/>
        </w:tabs>
        <w:spacing w:line="360" w:lineRule="auto"/>
        <w:ind w:left="900" w:hanging="333"/>
        <w:jc w:val="both"/>
        <w:rPr>
          <w:bCs/>
        </w:rPr>
      </w:pPr>
      <w:r w:rsidRPr="00DA27B9">
        <w:rPr>
          <w:bCs/>
        </w:rPr>
        <w:t>Ji privalo užtikrinti gerą paviršiaus kokybę;</w:t>
      </w:r>
    </w:p>
    <w:p w14:paraId="5EAACDB0" w14:textId="77777777" w:rsidR="007908D1" w:rsidRPr="00DA27B9" w:rsidRDefault="00514D0F" w:rsidP="004C5ED4">
      <w:pPr>
        <w:numPr>
          <w:ilvl w:val="0"/>
          <w:numId w:val="9"/>
        </w:numPr>
        <w:tabs>
          <w:tab w:val="clear" w:pos="1005"/>
          <w:tab w:val="num" w:pos="900"/>
        </w:tabs>
        <w:spacing w:line="360" w:lineRule="auto"/>
        <w:ind w:left="900" w:hanging="333"/>
        <w:jc w:val="both"/>
        <w:rPr>
          <w:bCs/>
        </w:rPr>
      </w:pPr>
      <w:r w:rsidRPr="00DA27B9">
        <w:rPr>
          <w:bCs/>
        </w:rPr>
        <w:t>Liejinio kietėjimas turi būti kryptingas;</w:t>
      </w:r>
    </w:p>
    <w:p w14:paraId="59A1B9D2" w14:textId="77777777" w:rsidR="007908D1" w:rsidRPr="00DA27B9" w:rsidRDefault="00514D0F" w:rsidP="004C5ED4">
      <w:pPr>
        <w:numPr>
          <w:ilvl w:val="0"/>
          <w:numId w:val="9"/>
        </w:numPr>
        <w:tabs>
          <w:tab w:val="clear" w:pos="1005"/>
          <w:tab w:val="num" w:pos="900"/>
        </w:tabs>
        <w:spacing w:line="360" w:lineRule="auto"/>
        <w:ind w:left="900" w:hanging="333"/>
        <w:jc w:val="both"/>
        <w:rPr>
          <w:bCs/>
        </w:rPr>
      </w:pPr>
      <w:r w:rsidRPr="00DA27B9">
        <w:rPr>
          <w:bCs/>
        </w:rPr>
        <w:t>Metalo išeiga liečių sistemai turi būti minimali.</w:t>
      </w:r>
    </w:p>
    <w:p w14:paraId="2C6281CF" w14:textId="77777777" w:rsidR="007908D1" w:rsidRPr="00DA27B9" w:rsidRDefault="00514D0F" w:rsidP="00DA27B9">
      <w:pPr>
        <w:spacing w:line="360" w:lineRule="auto"/>
        <w:ind w:firstLine="567"/>
        <w:jc w:val="both"/>
        <w:rPr>
          <w:bCs/>
        </w:rPr>
      </w:pPr>
      <w:r w:rsidRPr="00DA27B9">
        <w:rPr>
          <w:bCs/>
        </w:rPr>
        <w:t>Metalo tiekimas į plonesniąją liejinio vietą užtikrina tolygų liejinio aušimą visame jo tūryje. Tai mažina atsirandančius įtempimus ir subėgimo tuštumas. Metalo tiekimas į masyviąją liejinio dalį sukuria nuoseklų liejinio kietėjimą. Jam esant, skystas metalas geriau pasiskirsto visame liejinio tūryje. Liečių sistemos tiektuvai turi būti išdėstyti taip, kad metalo srovė nesmūgiuotų į formos sienelę arba gurgutį, horizontalūs formos paviršiai greitai užsipildytų metalu, gurgučių dalys su ventiliaciniais kanalais neperkaistų nuo tiekiamo metalo srovės, nebūtų ilgalaikių metalo lygių stabtelėjimų.</w:t>
      </w:r>
    </w:p>
    <w:p w14:paraId="5A1AB7D7" w14:textId="77777777" w:rsidR="007908D1" w:rsidRPr="00F646AE" w:rsidRDefault="00514D0F" w:rsidP="00F646AE">
      <w:pPr>
        <w:spacing w:line="360" w:lineRule="auto"/>
        <w:ind w:firstLine="567"/>
        <w:jc w:val="both"/>
        <w:rPr>
          <w:bCs/>
        </w:rPr>
      </w:pPr>
      <w:r w:rsidRPr="00DA27B9">
        <w:rPr>
          <w:bCs/>
        </w:rPr>
        <w:t>Liečių sistemos skaičiavimas pradedamas liejinio svorio nustatymu. Liejinio svoris nustatomas tūriniu metodu. Skaičiuojamas liejinio tūris, atimant įgilinimus, vidines ertmes ir kiaurymes, kurios užpildomos gurgučiais, arba kurias sudaro forma.</w:t>
      </w:r>
      <w:r w:rsidR="00193A73">
        <w:rPr>
          <w:bCs/>
        </w:rPr>
        <w:t xml:space="preserve"> </w:t>
      </w:r>
      <w:r w:rsidRPr="00DA27B9">
        <w:rPr>
          <w:bCs/>
        </w:rPr>
        <w:t>Liejinio tūris dauginamas iš liejamo lydinio tankio ir gaunamas svoris. Pagrindinių liejiminių lydinių tankiai:</w:t>
      </w:r>
      <w:r w:rsidR="00F646AE">
        <w:rPr>
          <w:bCs/>
        </w:rPr>
        <w:t xml:space="preserve"> </w:t>
      </w:r>
      <w:r w:rsidRPr="00F646AE">
        <w:rPr>
          <w:bCs/>
        </w:rPr>
        <w:t>pilkojo ketaus – 7,2 g/cm</w:t>
      </w:r>
      <w:r w:rsidRPr="00F646AE">
        <w:rPr>
          <w:bCs/>
          <w:vertAlign w:val="superscript"/>
        </w:rPr>
        <w:t>3</w:t>
      </w:r>
      <w:r w:rsidRPr="00F646AE">
        <w:rPr>
          <w:bCs/>
        </w:rPr>
        <w:t>;vario – 8,5 g/cm</w:t>
      </w:r>
      <w:r w:rsidRPr="00F646AE">
        <w:rPr>
          <w:bCs/>
          <w:vertAlign w:val="superscript"/>
        </w:rPr>
        <w:t>3</w:t>
      </w:r>
      <w:r w:rsidRPr="00F646AE">
        <w:rPr>
          <w:bCs/>
        </w:rPr>
        <w:t>;</w:t>
      </w:r>
      <w:r w:rsidR="00F646AE">
        <w:rPr>
          <w:bCs/>
        </w:rPr>
        <w:t xml:space="preserve"> </w:t>
      </w:r>
      <w:r w:rsidRPr="00F646AE">
        <w:rPr>
          <w:bCs/>
        </w:rPr>
        <w:t>aliuminio – 2,7 g/cm</w:t>
      </w:r>
      <w:r w:rsidRPr="00F646AE">
        <w:rPr>
          <w:bCs/>
          <w:vertAlign w:val="superscript"/>
        </w:rPr>
        <w:t>3</w:t>
      </w:r>
      <w:r w:rsidRPr="00F646AE">
        <w:rPr>
          <w:bCs/>
        </w:rPr>
        <w:t>;</w:t>
      </w:r>
      <w:r w:rsidR="00F646AE">
        <w:rPr>
          <w:bCs/>
        </w:rPr>
        <w:t xml:space="preserve"> </w:t>
      </w:r>
      <w:r w:rsidRPr="00F646AE">
        <w:rPr>
          <w:bCs/>
        </w:rPr>
        <w:t>plieno – 7,8 g/cm</w:t>
      </w:r>
      <w:r w:rsidRPr="00F646AE">
        <w:rPr>
          <w:bCs/>
          <w:vertAlign w:val="superscript"/>
        </w:rPr>
        <w:t>3</w:t>
      </w:r>
      <w:r w:rsidRPr="00F646AE">
        <w:rPr>
          <w:bCs/>
        </w:rPr>
        <w:t>;</w:t>
      </w:r>
      <w:r w:rsidR="00F646AE">
        <w:rPr>
          <w:bCs/>
        </w:rPr>
        <w:t xml:space="preserve"> </w:t>
      </w:r>
      <w:r w:rsidRPr="00F646AE">
        <w:rPr>
          <w:bCs/>
        </w:rPr>
        <w:t>bronzos – 8,4 g/cm</w:t>
      </w:r>
      <w:r w:rsidRPr="00F646AE">
        <w:rPr>
          <w:bCs/>
          <w:vertAlign w:val="superscript"/>
        </w:rPr>
        <w:t>3</w:t>
      </w:r>
      <w:r w:rsidRPr="00F646AE">
        <w:rPr>
          <w:bCs/>
        </w:rPr>
        <w:t>.</w:t>
      </w:r>
    </w:p>
    <w:p w14:paraId="4E0BA48C" w14:textId="77777777" w:rsidR="007908D1" w:rsidRPr="00DA27B9" w:rsidRDefault="00514D0F" w:rsidP="00DA27B9">
      <w:pPr>
        <w:spacing w:line="360" w:lineRule="auto"/>
        <w:ind w:firstLine="567"/>
        <w:jc w:val="both"/>
        <w:rPr>
          <w:bCs/>
        </w:rPr>
      </w:pPr>
      <w:r w:rsidRPr="00DA27B9">
        <w:rPr>
          <w:bCs/>
        </w:rPr>
        <w:lastRenderedPageBreak/>
        <w:t>Tiektuvų skerspjūvis nustatomas, naudojantis Ozano formule:</w:t>
      </w:r>
    </w:p>
    <w:p w14:paraId="2FB468D9" w14:textId="77777777" w:rsidR="007908D1" w:rsidRPr="00DA27B9" w:rsidRDefault="007908D1" w:rsidP="00DA27B9">
      <w:pPr>
        <w:spacing w:line="360" w:lineRule="auto"/>
        <w:ind w:firstLine="567"/>
        <w:jc w:val="both"/>
        <w:rPr>
          <w:bCs/>
        </w:rPr>
      </w:pPr>
    </w:p>
    <w:p w14:paraId="37272C71" w14:textId="77777777" w:rsidR="007908D1" w:rsidRPr="00DA27B9" w:rsidRDefault="00514D0F" w:rsidP="00DA27B9">
      <w:pPr>
        <w:spacing w:line="360" w:lineRule="auto"/>
        <w:ind w:firstLine="567"/>
        <w:jc w:val="center"/>
        <w:rPr>
          <w:bCs/>
        </w:rPr>
      </w:pPr>
      <w:r w:rsidRPr="00DA27B9">
        <w:rPr>
          <w:bCs/>
          <w:position w:val="-38"/>
        </w:rPr>
        <w:object w:dxaOrig="2740" w:dyaOrig="760" w14:anchorId="12C310B6">
          <v:shape id="_x0000_i1026" type="#_x0000_t75" style="width:137.4pt;height:38.4pt" o:ole="">
            <v:imagedata r:id="rId9" o:title=""/>
          </v:shape>
          <o:OLEObject Type="Embed" ProgID="Equation.3" ShapeID="_x0000_i1026" DrawAspect="Content" ObjectID="_1731880009" r:id="rId10"/>
        </w:object>
      </w:r>
      <w:r w:rsidRPr="00DA27B9">
        <w:rPr>
          <w:bCs/>
        </w:rPr>
        <w:tab/>
      </w:r>
      <w:r w:rsidRPr="00DA27B9">
        <w:rPr>
          <w:bCs/>
        </w:rPr>
        <w:tab/>
        <w:t>(1)</w:t>
      </w:r>
    </w:p>
    <w:p w14:paraId="74E0BC32" w14:textId="77777777" w:rsidR="007908D1" w:rsidRPr="00DA27B9" w:rsidRDefault="007908D1" w:rsidP="00DA27B9">
      <w:pPr>
        <w:spacing w:line="360" w:lineRule="auto"/>
        <w:ind w:firstLine="567"/>
        <w:jc w:val="both"/>
        <w:rPr>
          <w:bCs/>
        </w:rPr>
      </w:pPr>
    </w:p>
    <w:p w14:paraId="6CA0BF80" w14:textId="77777777" w:rsidR="007908D1" w:rsidRPr="00DA27B9" w:rsidRDefault="00F646AE" w:rsidP="00DA27B9">
      <w:pPr>
        <w:tabs>
          <w:tab w:val="left" w:pos="1260"/>
        </w:tabs>
        <w:spacing w:line="360" w:lineRule="auto"/>
        <w:ind w:firstLine="567"/>
        <w:jc w:val="both"/>
        <w:rPr>
          <w:bCs/>
        </w:rPr>
      </w:pPr>
      <w:r>
        <w:rPr>
          <w:bCs/>
        </w:rPr>
        <w:t>Č</w:t>
      </w:r>
      <w:r w:rsidR="00514D0F" w:rsidRPr="00DA27B9">
        <w:rPr>
          <w:bCs/>
        </w:rPr>
        <w:t xml:space="preserve">ia: </w:t>
      </w:r>
      <w:r>
        <w:rPr>
          <w:bCs/>
        </w:rPr>
        <w:tab/>
      </w:r>
      <w:r w:rsidR="00514D0F" w:rsidRPr="00DA27B9">
        <w:rPr>
          <w:bCs/>
          <w:position w:val="-14"/>
        </w:rPr>
        <w:object w:dxaOrig="880" w:dyaOrig="400" w14:anchorId="6064CBB0">
          <v:shape id="_x0000_i1027" type="#_x0000_t75" style="width:44.4pt;height:20.4pt" o:ole="">
            <v:imagedata r:id="rId11" o:title=""/>
          </v:shape>
          <o:OLEObject Type="Embed" ProgID="Equation.3" ShapeID="_x0000_i1027" DrawAspect="Content" ObjectID="_1731880010" r:id="rId12"/>
        </w:object>
      </w:r>
      <w:r w:rsidR="00514D0F" w:rsidRPr="00DA27B9">
        <w:rPr>
          <w:bCs/>
        </w:rPr>
        <w:t>- suminis tiektuvų (maitintuvų) skerspjūvio plotas, cm</w:t>
      </w:r>
      <w:r w:rsidR="00514D0F" w:rsidRPr="00DA27B9">
        <w:rPr>
          <w:bCs/>
          <w:vertAlign w:val="superscript"/>
        </w:rPr>
        <w:t>2</w:t>
      </w:r>
      <w:r w:rsidR="00514D0F" w:rsidRPr="00DA27B9">
        <w:rPr>
          <w:bCs/>
        </w:rPr>
        <w:t>;</w:t>
      </w:r>
    </w:p>
    <w:p w14:paraId="6DDF7CB8" w14:textId="77777777" w:rsidR="007908D1" w:rsidRPr="00DA27B9" w:rsidRDefault="00F646AE" w:rsidP="00DA27B9">
      <w:pPr>
        <w:spacing w:line="360" w:lineRule="auto"/>
        <w:ind w:firstLine="567"/>
        <w:jc w:val="both"/>
        <w:rPr>
          <w:bCs/>
        </w:rPr>
      </w:pPr>
      <w:r>
        <w:rPr>
          <w:bCs/>
        </w:rPr>
        <w:tab/>
      </w:r>
      <w:r w:rsidR="00514D0F" w:rsidRPr="00DA27B9">
        <w:rPr>
          <w:bCs/>
        </w:rPr>
        <w:t>G – liejinio masė su prielajomis, kg;</w:t>
      </w:r>
    </w:p>
    <w:p w14:paraId="31C09C5A" w14:textId="77777777" w:rsidR="00F646AE" w:rsidRDefault="00514D0F" w:rsidP="00F646AE">
      <w:pPr>
        <w:spacing w:line="360" w:lineRule="auto"/>
        <w:ind w:firstLine="567"/>
        <w:jc w:val="both"/>
        <w:rPr>
          <w:bCs/>
        </w:rPr>
      </w:pPr>
      <w:r w:rsidRPr="00DA27B9">
        <w:rPr>
          <w:bCs/>
        </w:rPr>
        <w:tab/>
        <w:t>t  – formos užpildymo laikas, s;</w:t>
      </w:r>
      <w:r w:rsidR="00F646AE">
        <w:rPr>
          <w:bCs/>
        </w:rPr>
        <w:t xml:space="preserve"> </w:t>
      </w:r>
    </w:p>
    <w:p w14:paraId="453AE5C3" w14:textId="77777777" w:rsidR="007908D1" w:rsidRPr="00DA27B9" w:rsidRDefault="00514D0F" w:rsidP="00F646AE">
      <w:pPr>
        <w:spacing w:line="360" w:lineRule="auto"/>
        <w:ind w:left="1296"/>
        <w:jc w:val="both"/>
      </w:pPr>
      <w:r w:rsidRPr="00DA27B9">
        <w:t xml:space="preserve">µ </w:t>
      </w:r>
      <w:r w:rsidR="00F646AE" w:rsidRPr="00DA27B9">
        <w:rPr>
          <w:bCs/>
        </w:rPr>
        <w:t>–</w:t>
      </w:r>
      <w:r w:rsidRPr="00DA27B9">
        <w:t xml:space="preserve"> koeficientas, įvertinantis formos ir liečių sistemos pasipriešinimą metalo tekėjimui (praktiškai plonesniems sudėtingiems liejini</w:t>
      </w:r>
      <w:r w:rsidR="00F646AE">
        <w:t xml:space="preserve">ams µ = 0,3–0,5, o stambiems </w:t>
      </w:r>
      <w:r w:rsidRPr="00DA27B9">
        <w:t>storasieniams µ = 0,7 – 0,8);</w:t>
      </w:r>
    </w:p>
    <w:p w14:paraId="7F8D4519" w14:textId="77777777" w:rsidR="007908D1" w:rsidRPr="00DA27B9" w:rsidRDefault="00514D0F" w:rsidP="00DA27B9">
      <w:pPr>
        <w:spacing w:line="360" w:lineRule="auto"/>
        <w:ind w:firstLine="567"/>
        <w:jc w:val="both"/>
        <w:rPr>
          <w:bCs/>
        </w:rPr>
      </w:pPr>
      <w:r w:rsidRPr="00DA27B9">
        <w:rPr>
          <w:bCs/>
        </w:rPr>
        <w:tab/>
        <w:t>H</w:t>
      </w:r>
      <w:r w:rsidRPr="00DA27B9">
        <w:rPr>
          <w:bCs/>
          <w:vertAlign w:val="subscript"/>
        </w:rPr>
        <w:t>p</w:t>
      </w:r>
      <w:r w:rsidRPr="00DA27B9">
        <w:rPr>
          <w:bCs/>
        </w:rPr>
        <w:t xml:space="preserve"> – skaičiuojamas statinis slėgis, cm.</w:t>
      </w:r>
    </w:p>
    <w:p w14:paraId="69A0D96C" w14:textId="77777777" w:rsidR="007908D1" w:rsidRPr="00DA27B9" w:rsidRDefault="007908D1" w:rsidP="00DA27B9">
      <w:pPr>
        <w:spacing w:line="360" w:lineRule="auto"/>
        <w:ind w:firstLine="567"/>
        <w:jc w:val="both"/>
        <w:rPr>
          <w:bCs/>
        </w:rPr>
      </w:pPr>
    </w:p>
    <w:p w14:paraId="5AC2027D" w14:textId="77777777" w:rsidR="007908D1" w:rsidRPr="00DA27B9" w:rsidRDefault="00514D0F" w:rsidP="00DA27B9">
      <w:pPr>
        <w:spacing w:line="360" w:lineRule="auto"/>
        <w:ind w:firstLine="567"/>
        <w:jc w:val="both"/>
        <w:rPr>
          <w:bCs/>
        </w:rPr>
      </w:pPr>
      <w:r w:rsidRPr="00DA27B9">
        <w:rPr>
          <w:bCs/>
        </w:rPr>
        <w:t>Skaičiuojamas statinis slėgis randamas iš formulės:</w:t>
      </w:r>
    </w:p>
    <w:p w14:paraId="5FE651B8" w14:textId="77777777" w:rsidR="007908D1" w:rsidRPr="00DA27B9" w:rsidRDefault="007908D1" w:rsidP="00DA27B9">
      <w:pPr>
        <w:spacing w:line="360" w:lineRule="auto"/>
        <w:ind w:firstLine="567"/>
        <w:jc w:val="both"/>
        <w:rPr>
          <w:bCs/>
        </w:rPr>
      </w:pPr>
    </w:p>
    <w:p w14:paraId="21D9F7A8" w14:textId="77777777" w:rsidR="007908D1" w:rsidRPr="00DA27B9" w:rsidRDefault="00514D0F" w:rsidP="00DA27B9">
      <w:pPr>
        <w:spacing w:line="360" w:lineRule="auto"/>
        <w:ind w:firstLine="567"/>
        <w:jc w:val="center"/>
        <w:rPr>
          <w:bCs/>
        </w:rPr>
      </w:pPr>
      <w:r w:rsidRPr="00DA27B9">
        <w:rPr>
          <w:bCs/>
          <w:position w:val="-24"/>
        </w:rPr>
        <w:object w:dxaOrig="1460" w:dyaOrig="680" w14:anchorId="15E71A46">
          <v:shape id="_x0000_i1028" type="#_x0000_t75" style="width:72.6pt;height:33.6pt" o:ole="">
            <v:imagedata r:id="rId13" o:title=""/>
          </v:shape>
          <o:OLEObject Type="Embed" ProgID="Equation.3" ShapeID="_x0000_i1028" DrawAspect="Content" ObjectID="_1731880011" r:id="rId14"/>
        </w:object>
      </w:r>
      <w:r w:rsidRPr="00DA27B9">
        <w:rPr>
          <w:bCs/>
        </w:rPr>
        <w:tab/>
      </w:r>
      <w:r w:rsidRPr="00DA27B9">
        <w:rPr>
          <w:bCs/>
        </w:rPr>
        <w:tab/>
        <w:t>(2)</w:t>
      </w:r>
    </w:p>
    <w:p w14:paraId="41FEAC84" w14:textId="77777777" w:rsidR="007908D1" w:rsidRPr="00DA27B9" w:rsidRDefault="007908D1" w:rsidP="00DA27B9">
      <w:pPr>
        <w:spacing w:line="360" w:lineRule="auto"/>
        <w:ind w:firstLine="567"/>
        <w:jc w:val="both"/>
        <w:rPr>
          <w:bCs/>
        </w:rPr>
      </w:pPr>
    </w:p>
    <w:p w14:paraId="622D1E8A" w14:textId="77777777" w:rsidR="007908D1" w:rsidRPr="00DA27B9" w:rsidRDefault="00F646AE" w:rsidP="00DA27B9">
      <w:pPr>
        <w:spacing w:line="360" w:lineRule="auto"/>
        <w:ind w:firstLine="567"/>
        <w:jc w:val="both"/>
        <w:rPr>
          <w:bCs/>
        </w:rPr>
      </w:pPr>
      <w:r>
        <w:rPr>
          <w:bCs/>
        </w:rPr>
        <w:t>Čia:</w:t>
      </w:r>
      <w:r>
        <w:rPr>
          <w:bCs/>
        </w:rPr>
        <w:tab/>
        <w:t>H –</w:t>
      </w:r>
      <w:r w:rsidR="00514D0F" w:rsidRPr="00DA27B9">
        <w:rPr>
          <w:bCs/>
        </w:rPr>
        <w:t xml:space="preserve"> metalo slėgis virš tiektuvo, cm, (2 pav.);</w:t>
      </w:r>
    </w:p>
    <w:p w14:paraId="77F9851F" w14:textId="77777777" w:rsidR="00F646AE" w:rsidRDefault="00F646AE" w:rsidP="00F646AE">
      <w:pPr>
        <w:spacing w:line="360" w:lineRule="auto"/>
        <w:ind w:firstLine="567"/>
        <w:jc w:val="both"/>
        <w:rPr>
          <w:bCs/>
        </w:rPr>
      </w:pPr>
      <w:r>
        <w:rPr>
          <w:bCs/>
        </w:rPr>
        <w:tab/>
        <w:t>c – liejinio aukštis, cm;</w:t>
      </w:r>
    </w:p>
    <w:p w14:paraId="3A74F32B" w14:textId="77777777" w:rsidR="007908D1" w:rsidRDefault="00514D0F" w:rsidP="00F646AE">
      <w:pPr>
        <w:spacing w:line="360" w:lineRule="auto"/>
        <w:ind w:left="1296"/>
        <w:jc w:val="both"/>
        <w:rPr>
          <w:bCs/>
        </w:rPr>
      </w:pPr>
      <w:r w:rsidRPr="00DA27B9">
        <w:rPr>
          <w:bCs/>
        </w:rPr>
        <w:t>P – liejinio dalies aukštis virš tiektuvo (jei liejinys su prielaja, tai imamas prielajos aukštis), cm.</w:t>
      </w:r>
    </w:p>
    <w:p w14:paraId="33A18AAB" w14:textId="77777777" w:rsidR="00193A73" w:rsidRPr="00DA27B9" w:rsidRDefault="00193A73" w:rsidP="00193A73">
      <w:pPr>
        <w:spacing w:line="360" w:lineRule="auto"/>
        <w:ind w:left="1296"/>
        <w:jc w:val="center"/>
        <w:rPr>
          <w:bCs/>
        </w:rPr>
      </w:pPr>
      <w:r>
        <w:rPr>
          <w:bCs/>
          <w:noProof/>
        </w:rPr>
        <w:drawing>
          <wp:inline distT="0" distB="0" distL="0" distR="0" wp14:anchorId="5DE7A228" wp14:editId="1A44B140">
            <wp:extent cx="3714049" cy="1885950"/>
            <wp:effectExtent l="0" t="0" r="127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26106" cy="1892072"/>
                    </a:xfrm>
                    <a:prstGeom prst="rect">
                      <a:avLst/>
                    </a:prstGeom>
                    <a:noFill/>
                    <a:ln>
                      <a:noFill/>
                    </a:ln>
                  </pic:spPr>
                </pic:pic>
              </a:graphicData>
            </a:graphic>
          </wp:inline>
        </w:drawing>
      </w:r>
    </w:p>
    <w:p w14:paraId="575197FD" w14:textId="77777777" w:rsidR="007908D1" w:rsidRPr="00DA27B9" w:rsidRDefault="00514D0F" w:rsidP="00DA27B9">
      <w:pPr>
        <w:spacing w:line="360" w:lineRule="auto"/>
        <w:ind w:firstLine="567"/>
        <w:jc w:val="center"/>
        <w:rPr>
          <w:bCs/>
          <w:lang w:val="ru-RU"/>
        </w:rPr>
      </w:pPr>
      <w:r w:rsidRPr="00193A73">
        <w:rPr>
          <w:b/>
          <w:bCs/>
        </w:rPr>
        <w:t>2 pav.</w:t>
      </w:r>
      <w:r w:rsidRPr="00DA27B9">
        <w:rPr>
          <w:bCs/>
        </w:rPr>
        <w:t xml:space="preserve"> Liečių sistemos skaičiavimo schema</w:t>
      </w:r>
    </w:p>
    <w:p w14:paraId="7040A4E4" w14:textId="77777777" w:rsidR="00193A73" w:rsidRDefault="00193A73" w:rsidP="00DA27B9">
      <w:pPr>
        <w:pStyle w:val="BodyTextIndent"/>
        <w:spacing w:line="360" w:lineRule="auto"/>
        <w:ind w:firstLine="567"/>
        <w:rPr>
          <w:bCs/>
        </w:rPr>
      </w:pPr>
    </w:p>
    <w:p w14:paraId="7B02B2D0" w14:textId="77777777" w:rsidR="007908D1" w:rsidRPr="00DA27B9" w:rsidRDefault="00514D0F" w:rsidP="00DA27B9">
      <w:pPr>
        <w:pStyle w:val="BodyTextIndent"/>
        <w:spacing w:line="360" w:lineRule="auto"/>
        <w:ind w:firstLine="567"/>
        <w:rPr>
          <w:bCs/>
        </w:rPr>
      </w:pPr>
      <w:r w:rsidRPr="00DA27B9">
        <w:rPr>
          <w:bCs/>
        </w:rPr>
        <w:t>Užpylimo laikas skaičiuojamas pagal formulę:</w:t>
      </w:r>
    </w:p>
    <w:p w14:paraId="3192DCA9" w14:textId="77777777" w:rsidR="007908D1" w:rsidRPr="00DA27B9" w:rsidRDefault="007908D1" w:rsidP="00DA27B9">
      <w:pPr>
        <w:spacing w:line="360" w:lineRule="auto"/>
        <w:ind w:firstLine="567"/>
        <w:jc w:val="both"/>
        <w:rPr>
          <w:bCs/>
        </w:rPr>
      </w:pPr>
    </w:p>
    <w:p w14:paraId="6A28060D" w14:textId="77777777" w:rsidR="007908D1" w:rsidRPr="00DA27B9" w:rsidRDefault="00514D0F" w:rsidP="00DA27B9">
      <w:pPr>
        <w:spacing w:line="360" w:lineRule="auto"/>
        <w:ind w:left="2592" w:firstLine="567"/>
        <w:rPr>
          <w:bCs/>
        </w:rPr>
      </w:pPr>
      <w:r w:rsidRPr="00DA27B9">
        <w:rPr>
          <w:bCs/>
          <w:position w:val="-8"/>
        </w:rPr>
        <w:object w:dxaOrig="1300" w:dyaOrig="360" w14:anchorId="58509A1F">
          <v:shape id="_x0000_i1029" type="#_x0000_t75" style="width:65.4pt;height:18pt" o:ole="">
            <v:imagedata r:id="rId16" o:title=""/>
          </v:shape>
          <o:OLEObject Type="Embed" ProgID="Equation.3" ShapeID="_x0000_i1029" DrawAspect="Content" ObjectID="_1731880012" r:id="rId17"/>
        </w:object>
      </w:r>
      <w:r w:rsidRPr="00DA27B9">
        <w:rPr>
          <w:bCs/>
        </w:rPr>
        <w:t xml:space="preserve"> </w:t>
      </w:r>
      <w:r w:rsidRPr="00DA27B9">
        <w:rPr>
          <w:bCs/>
        </w:rPr>
        <w:tab/>
      </w:r>
      <w:r w:rsidRPr="00DA27B9">
        <w:rPr>
          <w:bCs/>
        </w:rPr>
        <w:tab/>
        <w:t xml:space="preserve">                (3)</w:t>
      </w:r>
    </w:p>
    <w:p w14:paraId="1C7D0594" w14:textId="77777777" w:rsidR="007908D1" w:rsidRPr="00DA27B9" w:rsidRDefault="00193A73" w:rsidP="00DA27B9">
      <w:pPr>
        <w:spacing w:line="360" w:lineRule="auto"/>
        <w:ind w:firstLine="567"/>
        <w:jc w:val="both"/>
        <w:rPr>
          <w:bCs/>
        </w:rPr>
      </w:pPr>
      <w:r>
        <w:rPr>
          <w:bCs/>
        </w:rPr>
        <w:lastRenderedPageBreak/>
        <w:t>čia:</w:t>
      </w:r>
      <w:r w:rsidR="00514D0F" w:rsidRPr="00DA27B9">
        <w:rPr>
          <w:bCs/>
        </w:rPr>
        <w:t xml:space="preserve"> </w:t>
      </w:r>
      <w:r w:rsidR="00514D0F" w:rsidRPr="00DA27B9">
        <w:rPr>
          <w:bCs/>
        </w:rPr>
        <w:tab/>
        <w:t xml:space="preserve">k </w:t>
      </w:r>
      <w:r w:rsidR="00514D0F" w:rsidRPr="00DA27B9">
        <w:rPr>
          <w:bCs/>
          <w:lang w:val="en-US"/>
        </w:rPr>
        <w:t xml:space="preserve">= 2, liejant </w:t>
      </w:r>
      <w:r w:rsidR="00514D0F" w:rsidRPr="00DA27B9">
        <w:rPr>
          <w:bCs/>
        </w:rPr>
        <w:t>smėlio formose;</w:t>
      </w:r>
    </w:p>
    <w:p w14:paraId="034BC4FA" w14:textId="77777777" w:rsidR="007908D1" w:rsidRPr="00DA27B9" w:rsidRDefault="00514D0F" w:rsidP="00DA27B9">
      <w:pPr>
        <w:spacing w:line="360" w:lineRule="auto"/>
        <w:ind w:firstLine="567"/>
        <w:jc w:val="both"/>
        <w:rPr>
          <w:bCs/>
        </w:rPr>
      </w:pPr>
      <w:r w:rsidRPr="00DA27B9">
        <w:rPr>
          <w:bCs/>
        </w:rPr>
        <w:tab/>
        <w:t>G – liejinio svoris, kg;</w:t>
      </w:r>
    </w:p>
    <w:p w14:paraId="0CD065DE" w14:textId="77777777" w:rsidR="007908D1" w:rsidRPr="00DA27B9" w:rsidRDefault="00514D0F" w:rsidP="00DA27B9">
      <w:pPr>
        <w:spacing w:line="360" w:lineRule="auto"/>
        <w:ind w:firstLine="567"/>
        <w:jc w:val="both"/>
        <w:rPr>
          <w:bCs/>
        </w:rPr>
      </w:pPr>
      <w:r w:rsidRPr="00DA27B9">
        <w:rPr>
          <w:bCs/>
        </w:rPr>
        <w:tab/>
        <w:t>δ – liejinio sienelės storis, mm.</w:t>
      </w:r>
    </w:p>
    <w:p w14:paraId="31E0AE39" w14:textId="77777777" w:rsidR="007908D1" w:rsidRPr="00DA27B9" w:rsidRDefault="007908D1" w:rsidP="00DA27B9">
      <w:pPr>
        <w:spacing w:line="360" w:lineRule="auto"/>
        <w:ind w:firstLine="567"/>
        <w:jc w:val="both"/>
        <w:rPr>
          <w:bCs/>
        </w:rPr>
      </w:pPr>
    </w:p>
    <w:p w14:paraId="13889080" w14:textId="77777777" w:rsidR="007908D1" w:rsidRPr="00DA27B9" w:rsidRDefault="00514D0F" w:rsidP="00DA27B9">
      <w:pPr>
        <w:pStyle w:val="BodyText"/>
        <w:tabs>
          <w:tab w:val="clear" w:pos="360"/>
        </w:tabs>
        <w:spacing w:line="360" w:lineRule="auto"/>
        <w:ind w:firstLine="567"/>
        <w:rPr>
          <w:bCs/>
        </w:rPr>
      </w:pPr>
      <w:r w:rsidRPr="00DA27B9">
        <w:rPr>
          <w:bCs/>
        </w:rPr>
        <w:t>Kitų liečių sistemos (1 pav.) elementų skerspjūviai parenkami iš santykio:</w:t>
      </w:r>
    </w:p>
    <w:p w14:paraId="791C33E2" w14:textId="77777777" w:rsidR="007908D1" w:rsidRPr="00DA27B9" w:rsidRDefault="00514D0F" w:rsidP="00DA27B9">
      <w:pPr>
        <w:spacing w:line="360" w:lineRule="auto"/>
        <w:ind w:firstLine="567"/>
        <w:jc w:val="both"/>
        <w:rPr>
          <w:bCs/>
        </w:rPr>
      </w:pPr>
      <w:r w:rsidRPr="00DA27B9">
        <w:rPr>
          <w:bCs/>
        </w:rPr>
        <w:t>ΣF</w:t>
      </w:r>
      <w:r w:rsidRPr="00DA27B9">
        <w:rPr>
          <w:bCs/>
          <w:vertAlign w:val="subscript"/>
        </w:rPr>
        <w:t>tiekt.</w:t>
      </w:r>
      <w:r w:rsidRPr="00DA27B9">
        <w:rPr>
          <w:bCs/>
        </w:rPr>
        <w:t xml:space="preserve"> : F</w:t>
      </w:r>
      <w:r w:rsidRPr="00DA27B9">
        <w:rPr>
          <w:bCs/>
          <w:vertAlign w:val="subscript"/>
        </w:rPr>
        <w:t>š</w:t>
      </w:r>
      <w:r w:rsidRPr="00DA27B9">
        <w:rPr>
          <w:bCs/>
        </w:rPr>
        <w:t xml:space="preserve"> : F</w:t>
      </w:r>
      <w:r w:rsidRPr="00DA27B9">
        <w:rPr>
          <w:bCs/>
          <w:vertAlign w:val="subscript"/>
        </w:rPr>
        <w:t>v</w:t>
      </w:r>
      <w:r w:rsidRPr="00DA27B9">
        <w:rPr>
          <w:bCs/>
        </w:rPr>
        <w:t xml:space="preserve"> = 1 : 1,2 : 1,4</w:t>
      </w:r>
      <w:r w:rsidRPr="00DA27B9">
        <w:rPr>
          <w:bCs/>
        </w:rPr>
        <w:tab/>
        <w:t>plieno liejiniams;</w:t>
      </w:r>
    </w:p>
    <w:p w14:paraId="49FF6232" w14:textId="77777777" w:rsidR="007908D1" w:rsidRPr="00DA27B9" w:rsidRDefault="00514D0F" w:rsidP="00DA27B9">
      <w:pPr>
        <w:spacing w:line="360" w:lineRule="auto"/>
        <w:ind w:firstLine="567"/>
        <w:jc w:val="both"/>
        <w:rPr>
          <w:bCs/>
        </w:rPr>
      </w:pPr>
      <w:r w:rsidRPr="00DA27B9">
        <w:rPr>
          <w:bCs/>
        </w:rPr>
        <w:t>ΣF</w:t>
      </w:r>
      <w:r w:rsidRPr="00DA27B9">
        <w:rPr>
          <w:bCs/>
          <w:vertAlign w:val="subscript"/>
        </w:rPr>
        <w:t>tiekt.</w:t>
      </w:r>
      <w:r w:rsidRPr="00DA27B9">
        <w:rPr>
          <w:bCs/>
        </w:rPr>
        <w:t xml:space="preserve"> : F</w:t>
      </w:r>
      <w:r w:rsidRPr="00DA27B9">
        <w:rPr>
          <w:bCs/>
          <w:vertAlign w:val="subscript"/>
        </w:rPr>
        <w:t>š</w:t>
      </w:r>
      <w:r w:rsidRPr="00DA27B9">
        <w:rPr>
          <w:bCs/>
        </w:rPr>
        <w:t xml:space="preserve"> : F</w:t>
      </w:r>
      <w:r w:rsidRPr="00DA27B9">
        <w:rPr>
          <w:bCs/>
          <w:vertAlign w:val="subscript"/>
        </w:rPr>
        <w:t>v</w:t>
      </w:r>
      <w:r w:rsidRPr="00DA27B9">
        <w:rPr>
          <w:bCs/>
        </w:rPr>
        <w:t xml:space="preserve"> = 1 : 1,1 : 1,2</w:t>
      </w:r>
      <w:r w:rsidRPr="00DA27B9">
        <w:rPr>
          <w:bCs/>
        </w:rPr>
        <w:tab/>
        <w:t>ketaus liejiniams;</w:t>
      </w:r>
    </w:p>
    <w:p w14:paraId="6566E869" w14:textId="77777777" w:rsidR="007908D1" w:rsidRPr="00DA27B9" w:rsidRDefault="00514D0F" w:rsidP="00DA27B9">
      <w:pPr>
        <w:spacing w:line="360" w:lineRule="auto"/>
        <w:ind w:firstLine="567"/>
        <w:jc w:val="both"/>
        <w:rPr>
          <w:bCs/>
        </w:rPr>
      </w:pPr>
      <w:r w:rsidRPr="00DA27B9">
        <w:rPr>
          <w:bCs/>
        </w:rPr>
        <w:t>ΣF</w:t>
      </w:r>
      <w:r w:rsidRPr="00DA27B9">
        <w:rPr>
          <w:bCs/>
          <w:vertAlign w:val="subscript"/>
        </w:rPr>
        <w:t>tiekt.</w:t>
      </w:r>
      <w:r w:rsidRPr="00DA27B9">
        <w:rPr>
          <w:bCs/>
        </w:rPr>
        <w:t xml:space="preserve"> : F</w:t>
      </w:r>
      <w:r w:rsidRPr="00DA27B9">
        <w:rPr>
          <w:bCs/>
          <w:vertAlign w:val="subscript"/>
        </w:rPr>
        <w:t>š</w:t>
      </w:r>
      <w:r w:rsidRPr="00DA27B9">
        <w:rPr>
          <w:bCs/>
        </w:rPr>
        <w:t xml:space="preserve"> : F</w:t>
      </w:r>
      <w:r w:rsidRPr="00DA27B9">
        <w:rPr>
          <w:bCs/>
          <w:vertAlign w:val="subscript"/>
        </w:rPr>
        <w:t>v</w:t>
      </w:r>
      <w:r w:rsidRPr="00DA27B9">
        <w:rPr>
          <w:bCs/>
        </w:rPr>
        <w:t xml:space="preserve"> = </w:t>
      </w:r>
      <w:r w:rsidR="00193A73">
        <w:rPr>
          <w:bCs/>
        </w:rPr>
        <w:t>4 : 2 : 1</w:t>
      </w:r>
      <w:r w:rsidR="00193A73">
        <w:rPr>
          <w:bCs/>
        </w:rPr>
        <w:tab/>
      </w:r>
      <w:r w:rsidRPr="00DA27B9">
        <w:rPr>
          <w:bCs/>
        </w:rPr>
        <w:t>vario liejiniams;</w:t>
      </w:r>
    </w:p>
    <w:p w14:paraId="37EEF297" w14:textId="77777777" w:rsidR="007908D1" w:rsidRPr="00DA27B9" w:rsidRDefault="00514D0F" w:rsidP="00DA27B9">
      <w:pPr>
        <w:spacing w:line="360" w:lineRule="auto"/>
        <w:ind w:firstLine="567"/>
        <w:jc w:val="both"/>
        <w:rPr>
          <w:bCs/>
        </w:rPr>
      </w:pPr>
      <w:r w:rsidRPr="00DA27B9">
        <w:rPr>
          <w:bCs/>
        </w:rPr>
        <w:t>ΣF</w:t>
      </w:r>
      <w:r w:rsidRPr="00DA27B9">
        <w:rPr>
          <w:bCs/>
          <w:vertAlign w:val="subscript"/>
        </w:rPr>
        <w:t>tiekt.</w:t>
      </w:r>
      <w:r w:rsidRPr="00DA27B9">
        <w:rPr>
          <w:bCs/>
        </w:rPr>
        <w:t xml:space="preserve"> : F</w:t>
      </w:r>
      <w:r w:rsidRPr="00DA27B9">
        <w:rPr>
          <w:bCs/>
          <w:vertAlign w:val="subscript"/>
        </w:rPr>
        <w:t>š</w:t>
      </w:r>
      <w:r w:rsidRPr="00DA27B9">
        <w:rPr>
          <w:bCs/>
        </w:rPr>
        <w:t xml:space="preserve"> : F</w:t>
      </w:r>
      <w:r w:rsidRPr="00DA27B9">
        <w:rPr>
          <w:bCs/>
          <w:vertAlign w:val="subscript"/>
        </w:rPr>
        <w:t>v</w:t>
      </w:r>
      <w:r w:rsidR="00193A73">
        <w:rPr>
          <w:bCs/>
        </w:rPr>
        <w:t xml:space="preserve"> = 5 : 2,5 : 1</w:t>
      </w:r>
      <w:r w:rsidR="00193A73">
        <w:rPr>
          <w:bCs/>
        </w:rPr>
        <w:tab/>
      </w:r>
      <w:r w:rsidRPr="00DA27B9">
        <w:rPr>
          <w:bCs/>
        </w:rPr>
        <w:t>aliuminio liejiniams;</w:t>
      </w:r>
    </w:p>
    <w:p w14:paraId="64DD5AA7" w14:textId="77777777" w:rsidR="00193A73" w:rsidRDefault="00514D0F" w:rsidP="00193A73">
      <w:pPr>
        <w:spacing w:line="360" w:lineRule="auto"/>
        <w:ind w:firstLine="567"/>
        <w:jc w:val="both"/>
        <w:rPr>
          <w:bCs/>
        </w:rPr>
      </w:pPr>
      <w:r w:rsidRPr="00DA27B9">
        <w:rPr>
          <w:bCs/>
        </w:rPr>
        <w:t xml:space="preserve">čia: </w:t>
      </w:r>
      <w:r w:rsidR="00193A73">
        <w:rPr>
          <w:bCs/>
        </w:rPr>
        <w:tab/>
      </w:r>
      <w:r w:rsidRPr="00DA27B9">
        <w:rPr>
          <w:bCs/>
        </w:rPr>
        <w:t>F</w:t>
      </w:r>
      <w:r w:rsidRPr="00DA27B9">
        <w:rPr>
          <w:bCs/>
          <w:vertAlign w:val="subscript"/>
        </w:rPr>
        <w:t>š</w:t>
      </w:r>
      <w:r w:rsidRPr="00DA27B9">
        <w:rPr>
          <w:bCs/>
        </w:rPr>
        <w:t xml:space="preserve"> – šlakų rinktuvo skerspjūvio plotas, cm</w:t>
      </w:r>
      <w:r w:rsidRPr="00DA27B9">
        <w:rPr>
          <w:bCs/>
          <w:vertAlign w:val="superscript"/>
        </w:rPr>
        <w:t>2</w:t>
      </w:r>
      <w:r w:rsidR="00193A73">
        <w:rPr>
          <w:bCs/>
        </w:rPr>
        <w:t>;</w:t>
      </w:r>
    </w:p>
    <w:p w14:paraId="1AEBA3AB" w14:textId="77777777" w:rsidR="007908D1" w:rsidRPr="00DA27B9" w:rsidRDefault="00514D0F" w:rsidP="00193A73">
      <w:pPr>
        <w:spacing w:line="360" w:lineRule="auto"/>
        <w:ind w:firstLine="1296"/>
        <w:jc w:val="both"/>
        <w:rPr>
          <w:bCs/>
        </w:rPr>
      </w:pPr>
      <w:r w:rsidRPr="00DA27B9">
        <w:rPr>
          <w:bCs/>
        </w:rPr>
        <w:t>F</w:t>
      </w:r>
      <w:r w:rsidRPr="00DA27B9">
        <w:rPr>
          <w:bCs/>
          <w:vertAlign w:val="subscript"/>
        </w:rPr>
        <w:t>v</w:t>
      </w:r>
      <w:r w:rsidRPr="00DA27B9">
        <w:rPr>
          <w:bCs/>
        </w:rPr>
        <w:t xml:space="preserve"> – vertikalaus liečio kanalo skerspjūvio plotas, cm</w:t>
      </w:r>
      <w:r w:rsidRPr="00DA27B9">
        <w:rPr>
          <w:bCs/>
          <w:vertAlign w:val="superscript"/>
        </w:rPr>
        <w:t>2</w:t>
      </w:r>
      <w:r w:rsidRPr="00DA27B9">
        <w:rPr>
          <w:bCs/>
        </w:rPr>
        <w:t>.</w:t>
      </w:r>
    </w:p>
    <w:p w14:paraId="5CF29948" w14:textId="77777777" w:rsidR="007908D1" w:rsidRPr="00DA27B9" w:rsidRDefault="00514D0F" w:rsidP="00DA27B9">
      <w:pPr>
        <w:pStyle w:val="BodyText"/>
        <w:tabs>
          <w:tab w:val="clear" w:pos="360"/>
        </w:tabs>
        <w:spacing w:line="360" w:lineRule="auto"/>
        <w:ind w:firstLine="567"/>
        <w:rPr>
          <w:bCs/>
        </w:rPr>
      </w:pPr>
      <w:r w:rsidRPr="00DA27B9">
        <w:rPr>
          <w:bCs/>
        </w:rPr>
        <w:t xml:space="preserve">Vertikalaus liečio skersmuo (prie tiektuvo) </w:t>
      </w:r>
      <w:r w:rsidR="00193A73">
        <w:rPr>
          <w:bCs/>
        </w:rPr>
        <w:t>apskaičiuojamas</w:t>
      </w:r>
      <w:r w:rsidRPr="00DA27B9">
        <w:rPr>
          <w:bCs/>
        </w:rPr>
        <w:t>:</w:t>
      </w:r>
    </w:p>
    <w:p w14:paraId="61EF47E7" w14:textId="77777777" w:rsidR="007908D1" w:rsidRPr="00DA27B9" w:rsidRDefault="007908D1" w:rsidP="00DA27B9">
      <w:pPr>
        <w:spacing w:line="360" w:lineRule="auto"/>
        <w:ind w:firstLine="567"/>
        <w:jc w:val="both"/>
        <w:rPr>
          <w:bCs/>
        </w:rPr>
      </w:pPr>
    </w:p>
    <w:p w14:paraId="33A66693" w14:textId="77777777" w:rsidR="007908D1" w:rsidRPr="00DA27B9" w:rsidRDefault="00514D0F" w:rsidP="00DA27B9">
      <w:pPr>
        <w:spacing w:line="360" w:lineRule="auto"/>
        <w:ind w:firstLine="567"/>
        <w:jc w:val="center"/>
        <w:rPr>
          <w:bCs/>
        </w:rPr>
      </w:pPr>
      <w:r w:rsidRPr="00DA27B9">
        <w:rPr>
          <w:bCs/>
          <w:position w:val="-26"/>
        </w:rPr>
        <w:object w:dxaOrig="1500" w:dyaOrig="700" w14:anchorId="2735881B">
          <v:shape id="_x0000_i1030" type="#_x0000_t75" style="width:75pt;height:35.4pt" o:ole="">
            <v:imagedata r:id="rId18" o:title=""/>
          </v:shape>
          <o:OLEObject Type="Embed" ProgID="Equation.3" ShapeID="_x0000_i1030" DrawAspect="Content" ObjectID="_1731880013" r:id="rId19"/>
        </w:object>
      </w:r>
      <w:r w:rsidRPr="00DA27B9">
        <w:rPr>
          <w:bCs/>
        </w:rPr>
        <w:tab/>
      </w:r>
      <w:r w:rsidRPr="00DA27B9">
        <w:rPr>
          <w:bCs/>
        </w:rPr>
        <w:tab/>
      </w:r>
      <w:r w:rsidRPr="00DA27B9">
        <w:rPr>
          <w:bCs/>
        </w:rPr>
        <w:tab/>
        <w:t>(4)</w:t>
      </w:r>
    </w:p>
    <w:p w14:paraId="11B9E055" w14:textId="77777777" w:rsidR="007908D1" w:rsidRPr="00DA27B9" w:rsidRDefault="007908D1" w:rsidP="00DA27B9">
      <w:pPr>
        <w:spacing w:line="360" w:lineRule="auto"/>
        <w:ind w:firstLine="567"/>
        <w:jc w:val="both"/>
        <w:rPr>
          <w:bCs/>
        </w:rPr>
      </w:pPr>
    </w:p>
    <w:p w14:paraId="22DFE8EF" w14:textId="77777777" w:rsidR="007908D1" w:rsidRPr="00DA27B9" w:rsidRDefault="00514D0F" w:rsidP="00193A73">
      <w:pPr>
        <w:spacing w:line="360" w:lineRule="auto"/>
        <w:ind w:firstLine="567"/>
        <w:jc w:val="both"/>
        <w:rPr>
          <w:bCs/>
        </w:rPr>
      </w:pPr>
      <w:r w:rsidRPr="00DA27B9">
        <w:rPr>
          <w:bCs/>
        </w:rPr>
        <w:t>Vertikalaus liečio skersmuo (prie taurės) imamas 10</w:t>
      </w:r>
      <w:r w:rsidR="00193A73">
        <w:rPr>
          <w:bCs/>
        </w:rPr>
        <w:t xml:space="preserve">–15 </w:t>
      </w:r>
      <w:r w:rsidRPr="00DA27B9">
        <w:rPr>
          <w:bCs/>
        </w:rPr>
        <w:t>% didesnis, d</w:t>
      </w:r>
      <w:r w:rsidRPr="00DA27B9">
        <w:rPr>
          <w:bCs/>
          <w:vertAlign w:val="subscript"/>
        </w:rPr>
        <w:t>v max</w:t>
      </w:r>
      <w:r w:rsidRPr="00DA27B9">
        <w:rPr>
          <w:bCs/>
        </w:rPr>
        <w:t xml:space="preserve"> </w:t>
      </w:r>
      <w:r w:rsidRPr="00DA27B9">
        <w:rPr>
          <w:bCs/>
          <w:lang w:val="en-US"/>
        </w:rPr>
        <w:t xml:space="preserve">= </w:t>
      </w:r>
      <w:r w:rsidRPr="00DA27B9">
        <w:rPr>
          <w:bCs/>
        </w:rPr>
        <w:t>(1,1 ÷ 1,15) d</w:t>
      </w:r>
      <w:r w:rsidRPr="00DA27B9">
        <w:rPr>
          <w:bCs/>
          <w:vertAlign w:val="subscript"/>
        </w:rPr>
        <w:t>v min</w:t>
      </w:r>
      <w:r w:rsidRPr="00DA27B9">
        <w:rPr>
          <w:bCs/>
        </w:rPr>
        <w:t>.</w:t>
      </w:r>
    </w:p>
    <w:p w14:paraId="02F7DA51" w14:textId="77777777" w:rsidR="007908D1" w:rsidRPr="00DA27B9" w:rsidRDefault="00514D0F" w:rsidP="00DA27B9">
      <w:pPr>
        <w:pStyle w:val="BodyTextIndent"/>
        <w:spacing w:line="360" w:lineRule="auto"/>
        <w:ind w:firstLine="567"/>
        <w:rPr>
          <w:bCs/>
        </w:rPr>
      </w:pPr>
      <w:r w:rsidRPr="00DA27B9">
        <w:rPr>
          <w:bCs/>
        </w:rPr>
        <w:t>Šlako rinktuvo matmenys nustatomi pagal formulę:</w:t>
      </w:r>
    </w:p>
    <w:p w14:paraId="797EFF75" w14:textId="77777777" w:rsidR="007908D1" w:rsidRPr="00DA27B9" w:rsidRDefault="007908D1" w:rsidP="00DA27B9">
      <w:pPr>
        <w:spacing w:line="360" w:lineRule="auto"/>
        <w:ind w:firstLine="567"/>
        <w:jc w:val="both"/>
        <w:rPr>
          <w:bCs/>
        </w:rPr>
      </w:pPr>
    </w:p>
    <w:p w14:paraId="181B27E4" w14:textId="77777777" w:rsidR="007908D1" w:rsidRPr="00DA27B9" w:rsidRDefault="00514D0F" w:rsidP="00DA27B9">
      <w:pPr>
        <w:spacing w:line="360" w:lineRule="auto"/>
        <w:ind w:firstLine="567"/>
        <w:jc w:val="center"/>
        <w:rPr>
          <w:bCs/>
        </w:rPr>
      </w:pPr>
      <w:r w:rsidRPr="00DA27B9">
        <w:rPr>
          <w:bCs/>
          <w:position w:val="-24"/>
        </w:rPr>
        <w:object w:dxaOrig="1440" w:dyaOrig="620" w14:anchorId="4BB33C6A">
          <v:shape id="_x0000_i1031" type="#_x0000_t75" style="width:1in;height:30.6pt" o:ole="">
            <v:imagedata r:id="rId20" o:title=""/>
          </v:shape>
          <o:OLEObject Type="Embed" ProgID="Equation.3" ShapeID="_x0000_i1031" DrawAspect="Content" ObjectID="_1731880014" r:id="rId21"/>
        </w:object>
      </w:r>
      <w:r w:rsidRPr="00DA27B9">
        <w:rPr>
          <w:bCs/>
        </w:rPr>
        <w:tab/>
      </w:r>
      <w:r w:rsidRPr="00DA27B9">
        <w:rPr>
          <w:bCs/>
        </w:rPr>
        <w:tab/>
      </w:r>
      <w:r w:rsidRPr="00DA27B9">
        <w:rPr>
          <w:bCs/>
        </w:rPr>
        <w:tab/>
        <w:t>(5)</w:t>
      </w:r>
    </w:p>
    <w:p w14:paraId="64D60E19" w14:textId="77777777" w:rsidR="007908D1" w:rsidRPr="00DA27B9" w:rsidRDefault="007908D1" w:rsidP="00DA27B9">
      <w:pPr>
        <w:spacing w:line="360" w:lineRule="auto"/>
        <w:ind w:firstLine="567"/>
        <w:jc w:val="both"/>
        <w:rPr>
          <w:bCs/>
        </w:rPr>
      </w:pPr>
    </w:p>
    <w:p w14:paraId="02E7BEBC" w14:textId="77777777" w:rsidR="007908D1" w:rsidRPr="00DA27B9" w:rsidRDefault="00514D0F" w:rsidP="00DA27B9">
      <w:pPr>
        <w:spacing w:line="360" w:lineRule="auto"/>
        <w:ind w:firstLine="567"/>
        <w:jc w:val="both"/>
        <w:rPr>
          <w:bCs/>
        </w:rPr>
      </w:pPr>
      <w:r w:rsidRPr="00DA27B9">
        <w:rPr>
          <w:bCs/>
        </w:rPr>
        <w:t xml:space="preserve">čia: </w:t>
      </w:r>
      <w:r w:rsidR="00193A73">
        <w:rPr>
          <w:bCs/>
        </w:rPr>
        <w:tab/>
      </w:r>
      <w:r w:rsidRPr="00DA27B9">
        <w:rPr>
          <w:bCs/>
        </w:rPr>
        <w:t>a ir b – šlako gaudytuvo pagrindo matmenys (trapecijos), mm;</w:t>
      </w:r>
    </w:p>
    <w:p w14:paraId="0F8CEA1F" w14:textId="77777777" w:rsidR="007908D1" w:rsidRPr="00DA27B9" w:rsidRDefault="00514D0F" w:rsidP="00DA27B9">
      <w:pPr>
        <w:spacing w:line="360" w:lineRule="auto"/>
        <w:ind w:firstLine="567"/>
        <w:jc w:val="both"/>
        <w:rPr>
          <w:bCs/>
        </w:rPr>
      </w:pPr>
      <w:r w:rsidRPr="00DA27B9">
        <w:rPr>
          <w:bCs/>
        </w:rPr>
        <w:tab/>
        <w:t>h</w:t>
      </w:r>
      <w:r w:rsidRPr="00DA27B9">
        <w:rPr>
          <w:bCs/>
          <w:vertAlign w:val="subscript"/>
        </w:rPr>
        <w:t>š</w:t>
      </w:r>
      <w:r w:rsidRPr="00DA27B9">
        <w:rPr>
          <w:bCs/>
        </w:rPr>
        <w:t xml:space="preserve"> – šlako gaudytuvo aukštis, mm.</w:t>
      </w:r>
    </w:p>
    <w:p w14:paraId="2BFE671B" w14:textId="77777777" w:rsidR="007908D1" w:rsidRPr="00DA27B9" w:rsidRDefault="007908D1" w:rsidP="00DA27B9">
      <w:pPr>
        <w:spacing w:line="360" w:lineRule="auto"/>
        <w:ind w:firstLine="567"/>
        <w:jc w:val="both"/>
        <w:rPr>
          <w:bCs/>
        </w:rPr>
      </w:pPr>
    </w:p>
    <w:p w14:paraId="59C637FF" w14:textId="77777777" w:rsidR="007908D1" w:rsidRPr="00DA27B9" w:rsidRDefault="00514D0F" w:rsidP="00DA27B9">
      <w:pPr>
        <w:spacing w:line="360" w:lineRule="auto"/>
        <w:ind w:firstLine="567"/>
        <w:jc w:val="both"/>
        <w:rPr>
          <w:bCs/>
        </w:rPr>
      </w:pPr>
      <w:r w:rsidRPr="00DA27B9">
        <w:rPr>
          <w:bCs/>
        </w:rPr>
        <w:t>a, b, h</w:t>
      </w:r>
      <w:r w:rsidRPr="00DA27B9">
        <w:rPr>
          <w:bCs/>
          <w:vertAlign w:val="subscript"/>
        </w:rPr>
        <w:t>š</w:t>
      </w:r>
      <w:r w:rsidRPr="00DA27B9">
        <w:rPr>
          <w:bCs/>
        </w:rPr>
        <w:t xml:space="preserve"> parenkama taip, kad b būtų didesnė už a (~1 %), o h</w:t>
      </w:r>
      <w:r w:rsidRPr="00DA27B9">
        <w:rPr>
          <w:bCs/>
          <w:vertAlign w:val="subscript"/>
        </w:rPr>
        <w:t>š</w:t>
      </w:r>
      <w:r w:rsidRPr="00DA27B9">
        <w:rPr>
          <w:bCs/>
        </w:rPr>
        <w:t xml:space="preserve"> – 1,5</w:t>
      </w:r>
      <w:r w:rsidR="00193A73" w:rsidRPr="00DA27B9">
        <w:rPr>
          <w:bCs/>
        </w:rPr>
        <w:t>–</w:t>
      </w:r>
      <w:r w:rsidRPr="00DA27B9">
        <w:rPr>
          <w:bCs/>
        </w:rPr>
        <w:t>2 kartus didesnis už F</w:t>
      </w:r>
      <w:r w:rsidRPr="00DA27B9">
        <w:rPr>
          <w:bCs/>
          <w:vertAlign w:val="subscript"/>
        </w:rPr>
        <w:t>tiekt.</w:t>
      </w:r>
    </w:p>
    <w:p w14:paraId="245F0C87" w14:textId="77777777" w:rsidR="007908D1" w:rsidRPr="00DA27B9" w:rsidRDefault="00514D0F" w:rsidP="00DA27B9">
      <w:pPr>
        <w:pStyle w:val="BodyTextIndent"/>
        <w:spacing w:line="360" w:lineRule="auto"/>
        <w:ind w:firstLine="567"/>
      </w:pPr>
      <w:r w:rsidRPr="00DA27B9">
        <w:t>Liečių sistemai dar priklauso ortakis, kuriuo išeina oras ir dujos, kai formą užpildo skystas metalas. Jis daromas aukščiausioje liejinio dalyje.</w:t>
      </w:r>
    </w:p>
    <w:p w14:paraId="6D70572E" w14:textId="77777777" w:rsidR="007908D1" w:rsidRPr="00DA27B9" w:rsidRDefault="007908D1" w:rsidP="00DA27B9">
      <w:pPr>
        <w:pStyle w:val="BodyTextIndent"/>
        <w:spacing w:line="360" w:lineRule="auto"/>
        <w:ind w:firstLine="567"/>
      </w:pPr>
    </w:p>
    <w:p w14:paraId="09CD6C23" w14:textId="77777777" w:rsidR="007908D1" w:rsidRPr="00DA27B9" w:rsidRDefault="00514D0F" w:rsidP="00DA27B9">
      <w:pPr>
        <w:spacing w:line="360" w:lineRule="auto"/>
        <w:ind w:firstLine="567"/>
        <w:jc w:val="center"/>
        <w:rPr>
          <w:bCs/>
        </w:rPr>
      </w:pPr>
      <w:r w:rsidRPr="00DA27B9">
        <w:rPr>
          <w:bCs/>
        </w:rPr>
        <w:t>d</w:t>
      </w:r>
      <w:r w:rsidRPr="00DA27B9">
        <w:rPr>
          <w:bCs/>
          <w:vertAlign w:val="subscript"/>
        </w:rPr>
        <w:t>ort.</w:t>
      </w:r>
      <w:r w:rsidRPr="00DA27B9">
        <w:rPr>
          <w:bCs/>
        </w:rPr>
        <w:t xml:space="preserve"> = 0,5 ÷ 0,7 d</w:t>
      </w:r>
      <w:r w:rsidRPr="00DA27B9">
        <w:rPr>
          <w:bCs/>
          <w:vertAlign w:val="subscript"/>
        </w:rPr>
        <w:t>liej.</w:t>
      </w:r>
      <w:r w:rsidRPr="00DA27B9">
        <w:rPr>
          <w:bCs/>
        </w:rPr>
        <w:t>,</w:t>
      </w:r>
    </w:p>
    <w:p w14:paraId="28BA27E6" w14:textId="77777777" w:rsidR="007908D1" w:rsidRPr="00DA27B9" w:rsidRDefault="007908D1" w:rsidP="00DA27B9">
      <w:pPr>
        <w:spacing w:line="360" w:lineRule="auto"/>
        <w:ind w:firstLine="567"/>
        <w:jc w:val="center"/>
        <w:rPr>
          <w:bCs/>
        </w:rPr>
      </w:pPr>
    </w:p>
    <w:p w14:paraId="08996A57" w14:textId="77777777" w:rsidR="007908D1" w:rsidRPr="00DA27B9" w:rsidRDefault="00193A73" w:rsidP="00DA27B9">
      <w:pPr>
        <w:spacing w:line="360" w:lineRule="auto"/>
        <w:ind w:firstLine="567"/>
        <w:jc w:val="both"/>
        <w:rPr>
          <w:bCs/>
        </w:rPr>
      </w:pPr>
      <w:r>
        <w:rPr>
          <w:bCs/>
        </w:rPr>
        <w:t xml:space="preserve">čia: </w:t>
      </w:r>
      <w:r>
        <w:rPr>
          <w:bCs/>
        </w:rPr>
        <w:tab/>
      </w:r>
      <w:r w:rsidR="00514D0F" w:rsidRPr="00DA27B9">
        <w:rPr>
          <w:bCs/>
        </w:rPr>
        <w:t>d</w:t>
      </w:r>
      <w:r w:rsidR="00514D0F" w:rsidRPr="00DA27B9">
        <w:rPr>
          <w:bCs/>
          <w:vertAlign w:val="subscript"/>
        </w:rPr>
        <w:t>liej.</w:t>
      </w:r>
      <w:r w:rsidR="00514D0F" w:rsidRPr="00DA27B9">
        <w:rPr>
          <w:bCs/>
        </w:rPr>
        <w:t xml:space="preserve"> – liejinio storis ortakio pastatymo vietoje.</w:t>
      </w:r>
    </w:p>
    <w:p w14:paraId="00913F89" w14:textId="5CA8DA8A" w:rsidR="00DA27B9" w:rsidRDefault="00514D0F" w:rsidP="00193A73">
      <w:pPr>
        <w:pStyle w:val="BodyTextIndent"/>
        <w:spacing w:line="360" w:lineRule="auto"/>
        <w:ind w:firstLine="567"/>
        <w:rPr>
          <w:bCs/>
        </w:rPr>
      </w:pPr>
      <w:r w:rsidRPr="00DA27B9">
        <w:t>Maži liejiniai liejami be ortakių. Tiektuvų skaičius ir jų išsidėstymas priklauso nuo liejinio masės ir sudėtingumo.</w:t>
      </w:r>
      <w:r w:rsidRPr="00DA27B9">
        <w:rPr>
          <w:bCs/>
        </w:rPr>
        <w:t xml:space="preserve"> </w:t>
      </w:r>
    </w:p>
    <w:p w14:paraId="1548395E" w14:textId="0ECD8299" w:rsidR="00FA294D" w:rsidRDefault="00FA294D" w:rsidP="00193A73">
      <w:pPr>
        <w:pStyle w:val="BodyTextIndent"/>
        <w:spacing w:line="360" w:lineRule="auto"/>
        <w:ind w:firstLine="567"/>
        <w:rPr>
          <w:bCs/>
        </w:rPr>
      </w:pPr>
    </w:p>
    <w:p w14:paraId="7D17EAF0" w14:textId="0248B9A0" w:rsidR="00FA294D" w:rsidRDefault="00FA294D" w:rsidP="00193A73">
      <w:pPr>
        <w:pStyle w:val="BodyTextIndent"/>
        <w:spacing w:line="360" w:lineRule="auto"/>
        <w:ind w:firstLine="567"/>
        <w:rPr>
          <w:rFonts w:ascii="Cambria Math" w:hAnsi="Cambria Math" w:cs="Cambria Math"/>
          <w:bCs/>
        </w:rPr>
      </w:pPr>
      <w:r w:rsidRPr="00E93F5B">
        <w:rPr>
          <w:rFonts w:ascii="Cambria Math" w:hAnsi="Cambria Math" w:cs="Cambria Math"/>
          <w:b/>
        </w:rPr>
        <w:lastRenderedPageBreak/>
        <w:t>⌀a – 25, ⌀b – 50, ⌀c – 35, ⌀d – 60, e – 40, f – 30, g – 20</w:t>
      </w:r>
      <w:r>
        <w:rPr>
          <w:rFonts w:ascii="Cambria Math" w:hAnsi="Cambria Math" w:cs="Cambria Math"/>
          <w:bCs/>
        </w:rPr>
        <w:t xml:space="preserve"> (mm)</w:t>
      </w:r>
    </w:p>
    <w:p w14:paraId="322AD2F7" w14:textId="2B9860D4" w:rsidR="00FA294D" w:rsidRDefault="00FA294D" w:rsidP="00FA294D">
      <w:pPr>
        <w:pStyle w:val="BodyTextIndent"/>
        <w:spacing w:line="360" w:lineRule="auto"/>
        <w:ind w:firstLine="0"/>
        <w:rPr>
          <w:rFonts w:ascii="Cambria Math" w:hAnsi="Cambria Math" w:cs="Cambria Math"/>
          <w:bCs/>
        </w:rPr>
      </w:pPr>
      <w:r w:rsidRPr="00E93F5B">
        <w:rPr>
          <w:rFonts w:ascii="Cambria Math" w:hAnsi="Cambria Math" w:cs="Cambria Math"/>
          <w:b/>
        </w:rPr>
        <w:t>Plienas</w:t>
      </w:r>
      <w:r>
        <w:rPr>
          <w:rFonts w:ascii="Cambria Math" w:hAnsi="Cambria Math" w:cs="Cambria Math"/>
          <w:bCs/>
        </w:rPr>
        <w:t>: tankis 7,8 g/cm</w:t>
      </w:r>
      <w:r w:rsidRPr="00FA294D">
        <w:rPr>
          <w:rFonts w:ascii="Cambria Math" w:hAnsi="Cambria Math" w:cs="Cambria Math"/>
          <w:bCs/>
          <w:vertAlign w:val="superscript"/>
        </w:rPr>
        <w:t>3</w:t>
      </w:r>
    </w:p>
    <w:p w14:paraId="0FC75EA4" w14:textId="5DAB9D94" w:rsidR="00FA294D" w:rsidRDefault="00FA294D" w:rsidP="00FA294D">
      <w:pPr>
        <w:pStyle w:val="BodyTextIndent"/>
        <w:spacing w:line="360" w:lineRule="auto"/>
        <w:ind w:firstLine="0"/>
        <w:rPr>
          <w:rFonts w:ascii="Cambria Math" w:hAnsi="Cambria Math" w:cs="Cambria Math"/>
          <w:bCs/>
          <w:lang w:val="en-US"/>
        </w:rPr>
      </w:pPr>
      <w:r>
        <w:rPr>
          <w:rFonts w:ascii="Cambria Math" w:hAnsi="Cambria Math" w:cs="Cambria Math"/>
          <w:bCs/>
        </w:rPr>
        <w:t>e+f+g</w:t>
      </w:r>
      <w:r>
        <w:rPr>
          <w:rFonts w:ascii="Cambria Math" w:hAnsi="Cambria Math" w:cs="Cambria Math"/>
          <w:bCs/>
          <w:lang w:val="en-US"/>
        </w:rPr>
        <w:t>= 90</w:t>
      </w:r>
    </w:p>
    <w:p w14:paraId="1BC917F3" w14:textId="4B006A5F" w:rsidR="00FA294D" w:rsidRDefault="00FA294D" w:rsidP="00FA294D">
      <w:pPr>
        <w:pStyle w:val="BodyTextIndent"/>
        <w:spacing w:line="360" w:lineRule="auto"/>
        <w:ind w:firstLine="0"/>
        <w:rPr>
          <w:rFonts w:ascii="Cambria Math" w:hAnsi="Cambria Math" w:cs="Cambria Math"/>
          <w:bCs/>
          <w:lang w:val="en-US"/>
        </w:rPr>
      </w:pPr>
      <w:r>
        <w:rPr>
          <w:rFonts w:ascii="Cambria Math" w:hAnsi="Cambria Math" w:cs="Cambria Math"/>
          <w:bCs/>
          <w:lang w:val="en-US"/>
        </w:rPr>
        <w:t>R</w:t>
      </w:r>
      <w:r w:rsidRPr="00FA294D">
        <w:rPr>
          <w:rFonts w:ascii="Cambria Math" w:hAnsi="Cambria Math" w:cs="Cambria Math"/>
          <w:bCs/>
          <w:vertAlign w:val="subscript"/>
          <w:lang w:val="en-US"/>
        </w:rPr>
        <w:t>a</w:t>
      </w:r>
      <w:r>
        <w:rPr>
          <w:rFonts w:ascii="Cambria Math" w:hAnsi="Cambria Math" w:cs="Cambria Math"/>
          <w:bCs/>
          <w:lang w:val="en-US"/>
        </w:rPr>
        <w:t>=12,5</w:t>
      </w:r>
    </w:p>
    <w:p w14:paraId="69FDA6F6" w14:textId="61FB3E95" w:rsidR="00FA294D" w:rsidRDefault="00FA294D" w:rsidP="00FA294D">
      <w:pPr>
        <w:pStyle w:val="BodyTextIndent"/>
        <w:spacing w:line="360" w:lineRule="auto"/>
        <w:ind w:firstLine="0"/>
        <w:rPr>
          <w:rFonts w:ascii="Cambria Math" w:hAnsi="Cambria Math" w:cs="Cambria Math"/>
          <w:bCs/>
          <w:lang w:val="en-US"/>
        </w:rPr>
      </w:pPr>
      <w:r>
        <w:rPr>
          <w:rFonts w:ascii="Cambria Math" w:hAnsi="Cambria Math" w:cs="Cambria Math"/>
          <w:bCs/>
          <w:lang w:val="en-US"/>
        </w:rPr>
        <w:t>S</w:t>
      </w:r>
      <w:r w:rsidRPr="00FA294D">
        <w:rPr>
          <w:rFonts w:ascii="Cambria Math" w:hAnsi="Cambria Math" w:cs="Cambria Math"/>
          <w:bCs/>
          <w:vertAlign w:val="subscript"/>
          <w:lang w:val="en-US"/>
        </w:rPr>
        <w:t>a</w:t>
      </w:r>
      <w:r>
        <w:rPr>
          <w:rFonts w:ascii="Cambria Math" w:hAnsi="Cambria Math" w:cs="Cambria Math"/>
          <w:bCs/>
          <w:lang w:val="en-US"/>
        </w:rPr>
        <w:t>=12,5</w:t>
      </w:r>
      <w:r w:rsidRPr="00FA294D">
        <w:rPr>
          <w:rFonts w:ascii="Cambria Math" w:hAnsi="Cambria Math" w:cs="Cambria Math"/>
          <w:bCs/>
          <w:vertAlign w:val="superscript"/>
          <w:lang w:val="en-US"/>
        </w:rPr>
        <w:t>2</w:t>
      </w:r>
      <w:r>
        <w:rPr>
          <w:rFonts w:ascii="Cambria Math" w:hAnsi="Cambria Math" w:cs="Cambria Math"/>
          <w:bCs/>
          <w:lang w:val="en-US"/>
        </w:rPr>
        <w:t>*π≈490,625</w:t>
      </w:r>
    </w:p>
    <w:p w14:paraId="7E9CB7A3" w14:textId="6AEE4674" w:rsidR="00FA294D" w:rsidRDefault="00FA294D" w:rsidP="00FA294D">
      <w:pPr>
        <w:pStyle w:val="BodyTextIndent"/>
        <w:spacing w:line="360" w:lineRule="auto"/>
        <w:ind w:firstLine="0"/>
        <w:rPr>
          <w:rFonts w:ascii="Cambria Math" w:hAnsi="Cambria Math" w:cs="Cambria Math"/>
          <w:bCs/>
          <w:lang w:val="en-US"/>
        </w:rPr>
      </w:pPr>
      <w:r>
        <w:rPr>
          <w:rFonts w:ascii="Cambria Math" w:hAnsi="Cambria Math" w:cs="Cambria Math"/>
          <w:bCs/>
          <w:lang w:val="en-US"/>
        </w:rPr>
        <w:t>V</w:t>
      </w:r>
      <w:r w:rsidRPr="00FA294D">
        <w:rPr>
          <w:rFonts w:ascii="Cambria Math" w:hAnsi="Cambria Math" w:cs="Cambria Math"/>
          <w:bCs/>
          <w:vertAlign w:val="subscript"/>
          <w:lang w:val="en-US"/>
        </w:rPr>
        <w:t>a</w:t>
      </w:r>
      <w:r>
        <w:rPr>
          <w:rFonts w:ascii="Cambria Math" w:hAnsi="Cambria Math" w:cs="Cambria Math"/>
          <w:bCs/>
          <w:lang w:val="en-US"/>
        </w:rPr>
        <w:t>=490,625*90=44156,25</w:t>
      </w:r>
    </w:p>
    <w:p w14:paraId="5211BB10" w14:textId="43F0F7F4" w:rsidR="00FA294D" w:rsidRDefault="00FA294D" w:rsidP="00FA294D">
      <w:pPr>
        <w:pStyle w:val="BodyTextIndent"/>
        <w:spacing w:line="360" w:lineRule="auto"/>
        <w:ind w:firstLine="0"/>
        <w:rPr>
          <w:rFonts w:ascii="Cambria Math" w:hAnsi="Cambria Math" w:cs="Cambria Math"/>
          <w:bCs/>
          <w:lang w:val="en-US"/>
        </w:rPr>
      </w:pPr>
      <w:r>
        <w:rPr>
          <w:rFonts w:ascii="Cambria Math" w:hAnsi="Cambria Math" w:cs="Cambria Math"/>
          <w:bCs/>
          <w:lang w:val="en-US"/>
        </w:rPr>
        <w:t>R</w:t>
      </w:r>
      <w:r w:rsidRPr="00FA294D">
        <w:rPr>
          <w:rFonts w:ascii="Cambria Math" w:hAnsi="Cambria Math" w:cs="Cambria Math"/>
          <w:bCs/>
          <w:vertAlign w:val="subscript"/>
          <w:lang w:val="en-US"/>
        </w:rPr>
        <w:t>b</w:t>
      </w:r>
      <w:r>
        <w:rPr>
          <w:rFonts w:ascii="Cambria Math" w:hAnsi="Cambria Math" w:cs="Cambria Math"/>
          <w:bCs/>
          <w:lang w:val="en-US"/>
        </w:rPr>
        <w:t>=25</w:t>
      </w:r>
    </w:p>
    <w:p w14:paraId="0E65367E" w14:textId="325817D6" w:rsidR="00FA294D" w:rsidRDefault="00FA294D" w:rsidP="00FA294D">
      <w:pPr>
        <w:pStyle w:val="BodyTextIndent"/>
        <w:spacing w:line="360" w:lineRule="auto"/>
        <w:ind w:firstLine="0"/>
        <w:rPr>
          <w:rFonts w:ascii="Cambria Math" w:hAnsi="Cambria Math" w:cs="Cambria Math"/>
          <w:bCs/>
          <w:lang w:val="en-US"/>
        </w:rPr>
      </w:pPr>
      <w:r>
        <w:rPr>
          <w:rFonts w:ascii="Cambria Math" w:hAnsi="Cambria Math" w:cs="Cambria Math"/>
          <w:bCs/>
          <w:lang w:val="en-US"/>
        </w:rPr>
        <w:t>S</w:t>
      </w:r>
      <w:r w:rsidRPr="00FA294D">
        <w:rPr>
          <w:rFonts w:ascii="Cambria Math" w:hAnsi="Cambria Math" w:cs="Cambria Math"/>
          <w:bCs/>
          <w:vertAlign w:val="subscript"/>
          <w:lang w:val="en-US"/>
        </w:rPr>
        <w:t>b</w:t>
      </w:r>
      <w:r>
        <w:rPr>
          <w:rFonts w:ascii="Cambria Math" w:hAnsi="Cambria Math" w:cs="Cambria Math"/>
          <w:bCs/>
          <w:lang w:val="en-US"/>
        </w:rPr>
        <w:t>=1962,5</w:t>
      </w:r>
    </w:p>
    <w:p w14:paraId="7614D339" w14:textId="7E15739D" w:rsidR="00E93F5B" w:rsidRDefault="00FA294D" w:rsidP="00FA294D">
      <w:pPr>
        <w:pStyle w:val="BodyTextIndent"/>
        <w:spacing w:line="360" w:lineRule="auto"/>
        <w:ind w:firstLine="0"/>
        <w:rPr>
          <w:rFonts w:ascii="Cambria Math" w:hAnsi="Cambria Math" w:cs="Cambria Math"/>
          <w:bCs/>
          <w:lang w:val="en-US"/>
        </w:rPr>
      </w:pPr>
      <w:r>
        <w:rPr>
          <w:rFonts w:ascii="Cambria Math" w:hAnsi="Cambria Math" w:cs="Cambria Math"/>
          <w:bCs/>
          <w:lang w:val="en-US"/>
        </w:rPr>
        <w:t>V</w:t>
      </w:r>
      <w:r w:rsidRPr="00FA294D">
        <w:rPr>
          <w:rFonts w:ascii="Cambria Math" w:hAnsi="Cambria Math" w:cs="Cambria Math"/>
          <w:bCs/>
          <w:vertAlign w:val="subscript"/>
          <w:lang w:val="en-US"/>
        </w:rPr>
        <w:t>b</w:t>
      </w:r>
      <w:r>
        <w:rPr>
          <w:rFonts w:ascii="Cambria Math" w:hAnsi="Cambria Math" w:cs="Cambria Math"/>
          <w:bCs/>
          <w:lang w:val="en-US"/>
        </w:rPr>
        <w:t>=</w:t>
      </w:r>
      <w:r w:rsidR="00E93F5B">
        <w:rPr>
          <w:rFonts w:ascii="Cambria Math" w:hAnsi="Cambria Math" w:cs="Cambria Math"/>
          <w:bCs/>
          <w:lang w:val="en-US"/>
        </w:rPr>
        <w:t>1962,5*20=39250</w:t>
      </w:r>
    </w:p>
    <w:p w14:paraId="18013C1C" w14:textId="7082791F" w:rsidR="00E93F5B" w:rsidRDefault="00E93F5B" w:rsidP="00FA294D">
      <w:pPr>
        <w:pStyle w:val="BodyTextIndent"/>
        <w:spacing w:line="360" w:lineRule="auto"/>
        <w:ind w:firstLine="0"/>
        <w:rPr>
          <w:rFonts w:ascii="Cambria Math" w:hAnsi="Cambria Math" w:cs="Cambria Math"/>
          <w:bCs/>
          <w:lang w:val="en-US"/>
        </w:rPr>
      </w:pPr>
      <w:r>
        <w:rPr>
          <w:rFonts w:ascii="Cambria Math" w:hAnsi="Cambria Math" w:cs="Cambria Math"/>
          <w:bCs/>
          <w:lang w:val="en-US"/>
        </w:rPr>
        <w:t>R</w:t>
      </w:r>
      <w:r w:rsidRPr="00E93F5B">
        <w:rPr>
          <w:rFonts w:ascii="Cambria Math" w:hAnsi="Cambria Math" w:cs="Cambria Math"/>
          <w:bCs/>
          <w:vertAlign w:val="subscript"/>
          <w:lang w:val="en-US"/>
        </w:rPr>
        <w:t>c</w:t>
      </w:r>
      <w:r>
        <w:rPr>
          <w:rFonts w:ascii="Cambria Math" w:hAnsi="Cambria Math" w:cs="Cambria Math"/>
          <w:bCs/>
          <w:lang w:val="en-US"/>
        </w:rPr>
        <w:t>=17,5</w:t>
      </w:r>
    </w:p>
    <w:p w14:paraId="586D85D9" w14:textId="5E230E76" w:rsidR="00E93F5B" w:rsidRDefault="00E93F5B" w:rsidP="00FA294D">
      <w:pPr>
        <w:pStyle w:val="BodyTextIndent"/>
        <w:spacing w:line="360" w:lineRule="auto"/>
        <w:ind w:firstLine="0"/>
        <w:rPr>
          <w:rFonts w:ascii="Cambria Math" w:hAnsi="Cambria Math" w:cs="Cambria Math"/>
          <w:bCs/>
          <w:lang w:val="en-US"/>
        </w:rPr>
      </w:pPr>
      <w:r>
        <w:rPr>
          <w:rFonts w:ascii="Cambria Math" w:hAnsi="Cambria Math" w:cs="Cambria Math"/>
          <w:bCs/>
          <w:lang w:val="en-US"/>
        </w:rPr>
        <w:t>S</w:t>
      </w:r>
      <w:r w:rsidRPr="00E93F5B">
        <w:rPr>
          <w:rFonts w:ascii="Cambria Math" w:hAnsi="Cambria Math" w:cs="Cambria Math"/>
          <w:bCs/>
          <w:vertAlign w:val="subscript"/>
          <w:lang w:val="en-US"/>
        </w:rPr>
        <w:t>c</w:t>
      </w:r>
      <w:r>
        <w:rPr>
          <w:rFonts w:ascii="Cambria Math" w:hAnsi="Cambria Math" w:cs="Cambria Math"/>
          <w:bCs/>
          <w:lang w:val="en-US"/>
        </w:rPr>
        <w:t>=961,625</w:t>
      </w:r>
    </w:p>
    <w:p w14:paraId="01EEB3B1" w14:textId="0695F588" w:rsidR="00E93F5B" w:rsidRDefault="00E93F5B" w:rsidP="00FA294D">
      <w:pPr>
        <w:pStyle w:val="BodyTextIndent"/>
        <w:spacing w:line="360" w:lineRule="auto"/>
        <w:ind w:firstLine="0"/>
        <w:rPr>
          <w:rFonts w:ascii="Cambria Math" w:hAnsi="Cambria Math" w:cs="Cambria Math"/>
          <w:bCs/>
          <w:lang w:val="en-US"/>
        </w:rPr>
      </w:pPr>
      <w:r>
        <w:rPr>
          <w:rFonts w:ascii="Cambria Math" w:hAnsi="Cambria Math" w:cs="Cambria Math"/>
          <w:bCs/>
          <w:lang w:val="en-US"/>
        </w:rPr>
        <w:t>V</w:t>
      </w:r>
      <w:r w:rsidRPr="00E93F5B">
        <w:rPr>
          <w:rFonts w:ascii="Cambria Math" w:hAnsi="Cambria Math" w:cs="Cambria Math"/>
          <w:bCs/>
          <w:vertAlign w:val="subscript"/>
          <w:lang w:val="en-US"/>
        </w:rPr>
        <w:t>c</w:t>
      </w:r>
      <w:r>
        <w:rPr>
          <w:rFonts w:ascii="Cambria Math" w:hAnsi="Cambria Math" w:cs="Cambria Math"/>
          <w:bCs/>
          <w:lang w:val="en-US"/>
        </w:rPr>
        <w:t>=28848,75</w:t>
      </w:r>
    </w:p>
    <w:p w14:paraId="41F9173B" w14:textId="1CCD4E19" w:rsidR="00E93F5B" w:rsidRDefault="00E93F5B" w:rsidP="00FA294D">
      <w:pPr>
        <w:pStyle w:val="BodyTextIndent"/>
        <w:spacing w:line="360" w:lineRule="auto"/>
        <w:ind w:firstLine="0"/>
        <w:rPr>
          <w:rFonts w:ascii="Cambria Math" w:hAnsi="Cambria Math" w:cs="Cambria Math"/>
          <w:bCs/>
          <w:lang w:val="en-US"/>
        </w:rPr>
      </w:pPr>
      <w:r>
        <w:rPr>
          <w:rFonts w:ascii="Cambria Math" w:hAnsi="Cambria Math" w:cs="Cambria Math"/>
          <w:bCs/>
          <w:lang w:val="en-US"/>
        </w:rPr>
        <w:t>R</w:t>
      </w:r>
      <w:r w:rsidRPr="00E93F5B">
        <w:rPr>
          <w:rFonts w:ascii="Cambria Math" w:hAnsi="Cambria Math" w:cs="Cambria Math"/>
          <w:bCs/>
          <w:vertAlign w:val="subscript"/>
          <w:lang w:val="en-US"/>
        </w:rPr>
        <w:t>d</w:t>
      </w:r>
      <w:r>
        <w:rPr>
          <w:rFonts w:ascii="Cambria Math" w:hAnsi="Cambria Math" w:cs="Cambria Math"/>
          <w:bCs/>
          <w:lang w:val="en-US"/>
        </w:rPr>
        <w:t>=30</w:t>
      </w:r>
    </w:p>
    <w:p w14:paraId="0B39DF90" w14:textId="0759F9AA" w:rsidR="00E93F5B" w:rsidRDefault="00E93F5B" w:rsidP="00FA294D">
      <w:pPr>
        <w:pStyle w:val="BodyTextIndent"/>
        <w:spacing w:line="360" w:lineRule="auto"/>
        <w:ind w:firstLine="0"/>
        <w:rPr>
          <w:rFonts w:ascii="Cambria Math" w:hAnsi="Cambria Math" w:cs="Cambria Math"/>
          <w:bCs/>
          <w:lang w:val="en-US"/>
        </w:rPr>
      </w:pPr>
      <w:r>
        <w:rPr>
          <w:rFonts w:ascii="Cambria Math" w:hAnsi="Cambria Math" w:cs="Cambria Math"/>
          <w:bCs/>
          <w:lang w:val="en-US"/>
        </w:rPr>
        <w:t>S</w:t>
      </w:r>
      <w:r w:rsidRPr="00E93F5B">
        <w:rPr>
          <w:rFonts w:ascii="Cambria Math" w:hAnsi="Cambria Math" w:cs="Cambria Math"/>
          <w:bCs/>
          <w:vertAlign w:val="subscript"/>
          <w:lang w:val="en-US"/>
        </w:rPr>
        <w:t>d</w:t>
      </w:r>
      <w:r>
        <w:rPr>
          <w:rFonts w:ascii="Cambria Math" w:hAnsi="Cambria Math" w:cs="Cambria Math"/>
          <w:bCs/>
          <w:lang w:val="en-US"/>
        </w:rPr>
        <w:t>=2826</w:t>
      </w:r>
    </w:p>
    <w:p w14:paraId="21CBA35C" w14:textId="07CA008B" w:rsidR="00E93F5B" w:rsidRDefault="00E93F5B" w:rsidP="00FA294D">
      <w:pPr>
        <w:pStyle w:val="BodyTextIndent"/>
        <w:spacing w:line="360" w:lineRule="auto"/>
        <w:ind w:firstLine="0"/>
        <w:rPr>
          <w:rFonts w:ascii="Cambria Math" w:hAnsi="Cambria Math" w:cs="Cambria Math"/>
          <w:bCs/>
          <w:lang w:val="en-US"/>
        </w:rPr>
      </w:pPr>
      <w:r>
        <w:rPr>
          <w:rFonts w:ascii="Cambria Math" w:hAnsi="Cambria Math" w:cs="Cambria Math"/>
          <w:bCs/>
          <w:lang w:val="en-US"/>
        </w:rPr>
        <w:t>V</w:t>
      </w:r>
      <w:r w:rsidRPr="00E93F5B">
        <w:rPr>
          <w:rFonts w:ascii="Cambria Math" w:hAnsi="Cambria Math" w:cs="Cambria Math"/>
          <w:bCs/>
          <w:vertAlign w:val="subscript"/>
          <w:lang w:val="en-US"/>
        </w:rPr>
        <w:t>d</w:t>
      </w:r>
      <w:r>
        <w:rPr>
          <w:rFonts w:ascii="Cambria Math" w:hAnsi="Cambria Math" w:cs="Cambria Math"/>
          <w:bCs/>
          <w:lang w:val="en-US"/>
        </w:rPr>
        <w:t>=113040</w:t>
      </w:r>
    </w:p>
    <w:p w14:paraId="6B837DC7" w14:textId="6AB8DA38" w:rsidR="00E93F5B" w:rsidRPr="00E93F5B" w:rsidRDefault="00E93F5B" w:rsidP="00FA294D">
      <w:pPr>
        <w:pStyle w:val="BodyTextIndent"/>
        <w:spacing w:line="360" w:lineRule="auto"/>
        <w:ind w:firstLine="0"/>
        <w:rPr>
          <w:rFonts w:ascii="Cambria Math" w:hAnsi="Cambria Math" w:cs="Cambria Math"/>
          <w:bCs/>
          <w:lang w:val="en-US"/>
        </w:rPr>
      </w:pPr>
      <w:r>
        <w:rPr>
          <w:rFonts w:ascii="Cambria Math" w:hAnsi="Cambria Math" w:cs="Cambria Math"/>
          <w:bCs/>
          <w:lang w:val="en-US"/>
        </w:rPr>
        <w:t>V</w:t>
      </w:r>
      <w:r w:rsidRPr="00E93F5B">
        <w:rPr>
          <w:rFonts w:ascii="Cambria Math" w:hAnsi="Cambria Math" w:cs="Cambria Math"/>
          <w:bCs/>
          <w:vertAlign w:val="subscript"/>
          <w:lang w:val="en-US"/>
        </w:rPr>
        <w:t>V</w:t>
      </w:r>
      <w:r>
        <w:rPr>
          <w:rFonts w:ascii="Cambria Math" w:hAnsi="Cambria Math" w:cs="Cambria Math"/>
          <w:bCs/>
          <w:vertAlign w:val="subscript"/>
          <w:lang w:val="en-US"/>
        </w:rPr>
        <w:t>iso</w:t>
      </w:r>
      <w:r>
        <w:rPr>
          <w:rFonts w:ascii="Cambria Math" w:hAnsi="Cambria Math" w:cs="Cambria Math"/>
          <w:bCs/>
          <w:lang w:val="en-US"/>
        </w:rPr>
        <w:t>=</w:t>
      </w:r>
      <w:r w:rsidRPr="00E93F5B">
        <w:rPr>
          <w:rFonts w:ascii="Cambria Math" w:hAnsi="Cambria Math" w:cs="Cambria Math"/>
          <w:bCs/>
          <w:lang w:val="en-US"/>
        </w:rPr>
        <w:t xml:space="preserve"> </w:t>
      </w:r>
      <w:r>
        <w:rPr>
          <w:rFonts w:ascii="Cambria Math" w:hAnsi="Cambria Math" w:cs="Cambria Math"/>
          <w:bCs/>
          <w:lang w:val="en-US"/>
        </w:rPr>
        <w:t>V</w:t>
      </w:r>
      <w:r w:rsidRPr="00FA294D">
        <w:rPr>
          <w:rFonts w:ascii="Cambria Math" w:hAnsi="Cambria Math" w:cs="Cambria Math"/>
          <w:bCs/>
          <w:vertAlign w:val="subscript"/>
          <w:lang w:val="en-US"/>
        </w:rPr>
        <w:t>b</w:t>
      </w:r>
      <w:r>
        <w:rPr>
          <w:rFonts w:ascii="Cambria Math" w:hAnsi="Cambria Math" w:cs="Cambria Math"/>
          <w:bCs/>
          <w:lang w:val="en-US"/>
        </w:rPr>
        <w:t>+</w:t>
      </w:r>
      <w:r w:rsidRPr="00E93F5B">
        <w:rPr>
          <w:rFonts w:ascii="Cambria Math" w:hAnsi="Cambria Math" w:cs="Cambria Math"/>
          <w:bCs/>
          <w:lang w:val="en-US"/>
        </w:rPr>
        <w:t xml:space="preserve"> </w:t>
      </w:r>
      <w:r>
        <w:rPr>
          <w:rFonts w:ascii="Cambria Math" w:hAnsi="Cambria Math" w:cs="Cambria Math"/>
          <w:bCs/>
          <w:lang w:val="en-US"/>
        </w:rPr>
        <w:t>V</w:t>
      </w:r>
      <w:r w:rsidRPr="00E93F5B">
        <w:rPr>
          <w:rFonts w:ascii="Cambria Math" w:hAnsi="Cambria Math" w:cs="Cambria Math"/>
          <w:bCs/>
          <w:vertAlign w:val="subscript"/>
          <w:lang w:val="en-US"/>
        </w:rPr>
        <w:t>c</w:t>
      </w:r>
      <w:r>
        <w:rPr>
          <w:rFonts w:ascii="Cambria Math" w:hAnsi="Cambria Math" w:cs="Cambria Math"/>
          <w:bCs/>
          <w:lang w:val="en-US"/>
        </w:rPr>
        <w:t>+</w:t>
      </w:r>
      <w:r w:rsidRPr="00E93F5B">
        <w:rPr>
          <w:rFonts w:ascii="Cambria Math" w:hAnsi="Cambria Math" w:cs="Cambria Math"/>
          <w:bCs/>
          <w:lang w:val="en-US"/>
        </w:rPr>
        <w:t xml:space="preserve"> </w:t>
      </w:r>
      <w:r>
        <w:rPr>
          <w:rFonts w:ascii="Cambria Math" w:hAnsi="Cambria Math" w:cs="Cambria Math"/>
          <w:bCs/>
          <w:lang w:val="en-US"/>
        </w:rPr>
        <w:t>V</w:t>
      </w:r>
      <w:r w:rsidRPr="00E93F5B">
        <w:rPr>
          <w:rFonts w:ascii="Cambria Math" w:hAnsi="Cambria Math" w:cs="Cambria Math"/>
          <w:bCs/>
          <w:vertAlign w:val="subscript"/>
          <w:lang w:val="en-US"/>
        </w:rPr>
        <w:t>d</w:t>
      </w:r>
      <w:r>
        <w:rPr>
          <w:rFonts w:ascii="Cambria Math" w:hAnsi="Cambria Math" w:cs="Cambria Math"/>
          <w:bCs/>
          <w:lang w:val="en-US"/>
        </w:rPr>
        <w:t>-</w:t>
      </w:r>
      <w:r w:rsidRPr="00E93F5B">
        <w:rPr>
          <w:rFonts w:ascii="Cambria Math" w:hAnsi="Cambria Math" w:cs="Cambria Math"/>
          <w:bCs/>
          <w:lang w:val="en-US"/>
        </w:rPr>
        <w:t xml:space="preserve"> </w:t>
      </w:r>
      <w:r>
        <w:rPr>
          <w:rFonts w:ascii="Cambria Math" w:hAnsi="Cambria Math" w:cs="Cambria Math"/>
          <w:bCs/>
          <w:lang w:val="en-US"/>
        </w:rPr>
        <w:t>V</w:t>
      </w:r>
      <w:r w:rsidRPr="00FA294D">
        <w:rPr>
          <w:rFonts w:ascii="Cambria Math" w:hAnsi="Cambria Math" w:cs="Cambria Math"/>
          <w:bCs/>
          <w:vertAlign w:val="subscript"/>
          <w:lang w:val="en-US"/>
        </w:rPr>
        <w:t>a</w:t>
      </w:r>
      <w:r>
        <w:rPr>
          <w:rFonts w:ascii="Cambria Math" w:hAnsi="Cambria Math" w:cs="Cambria Math"/>
          <w:bCs/>
          <w:lang w:val="en-US"/>
        </w:rPr>
        <w:t>=136982,5 mm</w:t>
      </w:r>
      <w:r w:rsidRPr="00E93F5B">
        <w:rPr>
          <w:rFonts w:ascii="Cambria Math" w:hAnsi="Cambria Math" w:cs="Cambria Math"/>
          <w:bCs/>
          <w:vertAlign w:val="superscript"/>
          <w:lang w:val="en-US"/>
        </w:rPr>
        <w:t>2</w:t>
      </w:r>
      <w:r>
        <w:rPr>
          <w:rFonts w:ascii="Cambria Math" w:hAnsi="Cambria Math" w:cs="Cambria Math"/>
          <w:bCs/>
          <w:lang w:val="en-US"/>
        </w:rPr>
        <w:t>=136,9825 cm</w:t>
      </w:r>
      <w:r w:rsidRPr="00E93F5B">
        <w:rPr>
          <w:rFonts w:ascii="Cambria Math" w:hAnsi="Cambria Math" w:cs="Cambria Math"/>
          <w:bCs/>
          <w:vertAlign w:val="superscript"/>
          <w:lang w:val="en-US"/>
        </w:rPr>
        <w:t>2</w:t>
      </w:r>
    </w:p>
    <w:p w14:paraId="224DF7CD" w14:textId="33358286" w:rsidR="00E93F5B" w:rsidRDefault="00E93F5B" w:rsidP="00FA294D">
      <w:pPr>
        <w:pStyle w:val="BodyTextIndent"/>
        <w:spacing w:line="360" w:lineRule="auto"/>
        <w:ind w:firstLine="0"/>
        <w:rPr>
          <w:rFonts w:ascii="Cambria Math" w:hAnsi="Cambria Math" w:cs="Cambria Math"/>
          <w:bCs/>
          <w:lang w:val="en-US"/>
        </w:rPr>
      </w:pPr>
      <w:r>
        <w:rPr>
          <w:rFonts w:ascii="Cambria Math" w:hAnsi="Cambria Math" w:cs="Cambria Math"/>
          <w:bCs/>
          <w:lang w:val="en-US"/>
        </w:rPr>
        <w:t>G(m) = V</w:t>
      </w:r>
      <w:r w:rsidRPr="00E93F5B">
        <w:rPr>
          <w:rFonts w:ascii="Cambria Math" w:hAnsi="Cambria Math" w:cs="Cambria Math"/>
          <w:bCs/>
          <w:vertAlign w:val="subscript"/>
          <w:lang w:val="en-US"/>
        </w:rPr>
        <w:t>V</w:t>
      </w:r>
      <w:r>
        <w:rPr>
          <w:rFonts w:ascii="Cambria Math" w:hAnsi="Cambria Math" w:cs="Cambria Math"/>
          <w:bCs/>
          <w:vertAlign w:val="subscript"/>
          <w:lang w:val="en-US"/>
        </w:rPr>
        <w:t>iso</w:t>
      </w:r>
      <w:r>
        <w:rPr>
          <w:rFonts w:ascii="Cambria Math" w:hAnsi="Cambria Math" w:cs="Cambria Math"/>
          <w:bCs/>
          <w:lang w:val="en-US"/>
        </w:rPr>
        <w:t>*7,8g/cm</w:t>
      </w:r>
      <w:r w:rsidRPr="00E93F5B">
        <w:rPr>
          <w:rFonts w:ascii="Cambria Math" w:hAnsi="Cambria Math" w:cs="Cambria Math"/>
          <w:bCs/>
          <w:vertAlign w:val="superscript"/>
          <w:lang w:val="en-US"/>
        </w:rPr>
        <w:t>3</w:t>
      </w:r>
      <w:r>
        <w:rPr>
          <w:rFonts w:ascii="Cambria Math" w:hAnsi="Cambria Math" w:cs="Cambria Math"/>
          <w:bCs/>
          <w:lang w:val="en-US"/>
        </w:rPr>
        <w:t>=1068,4635 g=1,0684635 kg</w:t>
      </w:r>
    </w:p>
    <w:p w14:paraId="26DD1078" w14:textId="49BB7427" w:rsidR="00E93F5B" w:rsidRDefault="00CA774E" w:rsidP="00FA294D">
      <w:pPr>
        <w:pStyle w:val="BodyTextIndent"/>
        <w:spacing w:line="360" w:lineRule="auto"/>
        <w:ind w:firstLine="0"/>
        <w:rPr>
          <w:rFonts w:ascii="Cambria Math" w:hAnsi="Cambria Math" w:cs="Cambria Math"/>
          <w:bCs/>
          <w:lang w:val="en-US"/>
        </w:rPr>
      </w:pPr>
      <w:r>
        <w:rPr>
          <w:rFonts w:ascii="Cambria Math" w:hAnsi="Cambria Math" w:cs="Cambria Math"/>
          <w:bCs/>
          <w:lang w:val="en-US"/>
        </w:rPr>
        <w:t>t</w:t>
      </w:r>
      <w:r w:rsidR="00E93F5B">
        <w:rPr>
          <w:rFonts w:ascii="Cambria Math" w:hAnsi="Cambria Math" w:cs="Cambria Math"/>
          <w:bCs/>
          <w:lang w:val="en-US"/>
        </w:rPr>
        <w:t>=2*∛(1,07*17,5)</w:t>
      </w:r>
      <w:r>
        <w:rPr>
          <w:rFonts w:ascii="Cambria Math" w:hAnsi="Cambria Math" w:cs="Cambria Math"/>
          <w:bCs/>
          <w:lang w:val="en-US"/>
        </w:rPr>
        <w:t>=2*∛18,725=2*2,65=5,3 s</w:t>
      </w:r>
    </w:p>
    <w:p w14:paraId="06551FE0" w14:textId="2016DB89" w:rsidR="00CA774E" w:rsidRDefault="00CA774E" w:rsidP="00FA294D">
      <w:pPr>
        <w:pStyle w:val="BodyTextIndent"/>
        <w:spacing w:line="360" w:lineRule="auto"/>
        <w:ind w:firstLine="0"/>
        <w:rPr>
          <w:rFonts w:ascii="Cambria Math" w:hAnsi="Cambria Math" w:cs="Cambria Math"/>
          <w:bCs/>
          <w:lang w:val="en-US"/>
        </w:rPr>
      </w:pPr>
      <w:r>
        <w:rPr>
          <w:rFonts w:ascii="Cambria Math" w:hAnsi="Cambria Math" w:cs="Cambria Math"/>
          <w:bCs/>
          <w:lang w:val="en-US"/>
        </w:rPr>
        <w:t>P=60/2=30 mm</w:t>
      </w:r>
    </w:p>
    <w:p w14:paraId="00C56345" w14:textId="3DC7814A" w:rsidR="00CA774E" w:rsidRDefault="00CA774E" w:rsidP="00FA294D">
      <w:pPr>
        <w:pStyle w:val="BodyTextIndent"/>
        <w:spacing w:line="360" w:lineRule="auto"/>
        <w:ind w:firstLine="0"/>
        <w:rPr>
          <w:rFonts w:ascii="Cambria Math" w:hAnsi="Cambria Math" w:cs="Cambria Math"/>
          <w:bCs/>
          <w:lang w:val="en-US"/>
        </w:rPr>
      </w:pPr>
      <w:r>
        <w:rPr>
          <w:rFonts w:ascii="Cambria Math" w:hAnsi="Cambria Math" w:cs="Cambria Math"/>
          <w:bCs/>
          <w:lang w:val="en-US"/>
        </w:rPr>
        <w:t>H=P+&gt;30mm=30+40=70 mm</w:t>
      </w:r>
    </w:p>
    <w:p w14:paraId="29B7B898" w14:textId="0478F546" w:rsidR="00CA774E" w:rsidRDefault="00CA774E" w:rsidP="00FA294D">
      <w:pPr>
        <w:pStyle w:val="BodyTextIndent"/>
        <w:spacing w:line="360" w:lineRule="auto"/>
        <w:ind w:firstLine="0"/>
        <w:rPr>
          <w:rFonts w:ascii="Cambria Math" w:hAnsi="Cambria Math" w:cs="Cambria Math"/>
          <w:bCs/>
          <w:lang w:val="en-US"/>
        </w:rPr>
      </w:pPr>
      <w:r>
        <w:rPr>
          <w:rFonts w:ascii="Cambria Math" w:hAnsi="Cambria Math" w:cs="Cambria Math"/>
          <w:bCs/>
          <w:lang w:val="en-US"/>
        </w:rPr>
        <w:t>C = 60 mm</w:t>
      </w:r>
    </w:p>
    <w:p w14:paraId="2F662F8C" w14:textId="1CFF54B4" w:rsidR="00CA774E" w:rsidRDefault="00CA774E" w:rsidP="00FA294D">
      <w:pPr>
        <w:pStyle w:val="BodyTextIndent"/>
        <w:spacing w:line="360" w:lineRule="auto"/>
        <w:ind w:firstLine="0"/>
        <w:rPr>
          <w:rFonts w:ascii="Cambria Math" w:hAnsi="Cambria Math" w:cs="Cambria Math"/>
          <w:bCs/>
          <w:lang w:val="en-US"/>
        </w:rPr>
      </w:pPr>
      <w:r>
        <w:rPr>
          <w:rFonts w:ascii="Cambria Math" w:hAnsi="Cambria Math" w:cs="Cambria Math"/>
          <w:bCs/>
          <w:lang w:val="en-US"/>
        </w:rPr>
        <w:t>H</w:t>
      </w:r>
      <w:r w:rsidRPr="00CA774E">
        <w:rPr>
          <w:rFonts w:ascii="Cambria Math" w:hAnsi="Cambria Math" w:cs="Cambria Math"/>
          <w:bCs/>
          <w:vertAlign w:val="subscript"/>
          <w:lang w:val="en-US"/>
        </w:rPr>
        <w:t>p</w:t>
      </w:r>
      <w:r>
        <w:rPr>
          <w:rFonts w:ascii="Cambria Math" w:hAnsi="Cambria Math" w:cs="Cambria Math"/>
          <w:bCs/>
          <w:lang w:val="en-US"/>
        </w:rPr>
        <w:t>=70-900/120=70-7,5=62,5 cm</w:t>
      </w:r>
    </w:p>
    <w:p w14:paraId="0A614BFE" w14:textId="32BF4560" w:rsidR="00CA774E" w:rsidRDefault="00CA774E" w:rsidP="00FA294D">
      <w:pPr>
        <w:pStyle w:val="BodyTextIndent"/>
        <w:spacing w:line="360" w:lineRule="auto"/>
        <w:ind w:firstLine="0"/>
      </w:pPr>
      <w:r w:rsidRPr="00DA27B9">
        <w:t>µ</w:t>
      </w:r>
      <w:r>
        <w:t>=0,4</w:t>
      </w:r>
    </w:p>
    <w:p w14:paraId="6ED54B64" w14:textId="2BECAE13" w:rsidR="00CA774E" w:rsidRDefault="00CA774E" w:rsidP="00FA294D">
      <w:pPr>
        <w:pStyle w:val="BodyTextIndent"/>
        <w:spacing w:line="360" w:lineRule="auto"/>
        <w:ind w:firstLine="0"/>
        <w:rPr>
          <w:bCs/>
        </w:rPr>
      </w:pPr>
      <w:r w:rsidRPr="00DA27B9">
        <w:rPr>
          <w:bCs/>
        </w:rPr>
        <w:t>ΣF</w:t>
      </w:r>
      <w:r w:rsidRPr="00DA27B9">
        <w:rPr>
          <w:bCs/>
          <w:vertAlign w:val="subscript"/>
        </w:rPr>
        <w:t>tiekt</w:t>
      </w:r>
      <w:r>
        <w:rPr>
          <w:bCs/>
        </w:rPr>
        <w:t>=1,07/0,4*5,3*0,31*√62,5=1,07/5,19=0,21 cm</w:t>
      </w:r>
      <w:r w:rsidRPr="00CA774E">
        <w:rPr>
          <w:bCs/>
          <w:vertAlign w:val="superscript"/>
        </w:rPr>
        <w:t>2</w:t>
      </w:r>
    </w:p>
    <w:p w14:paraId="31DEDB68" w14:textId="77EFFA0E" w:rsidR="00CA774E" w:rsidRDefault="00CA774E" w:rsidP="00FA294D">
      <w:pPr>
        <w:pStyle w:val="BodyTextIndent"/>
        <w:spacing w:line="360" w:lineRule="auto"/>
        <w:ind w:firstLine="0"/>
        <w:rPr>
          <w:bCs/>
          <w:lang w:val="en-US"/>
        </w:rPr>
      </w:pPr>
      <w:r>
        <w:rPr>
          <w:bCs/>
        </w:rPr>
        <w:t>F</w:t>
      </w:r>
      <w:r w:rsidRPr="00CA774E">
        <w:rPr>
          <w:bCs/>
          <w:vertAlign w:val="subscript"/>
        </w:rPr>
        <w:t>š</w:t>
      </w:r>
      <w:r>
        <w:rPr>
          <w:bCs/>
          <w:lang w:val="en-US"/>
        </w:rPr>
        <w:t>=0,252 cm</w:t>
      </w:r>
      <w:r w:rsidRPr="00CA774E">
        <w:rPr>
          <w:bCs/>
          <w:vertAlign w:val="superscript"/>
          <w:lang w:val="en-US"/>
        </w:rPr>
        <w:t>2</w:t>
      </w:r>
    </w:p>
    <w:p w14:paraId="4C58D3E9" w14:textId="11D3B424" w:rsidR="00CA774E" w:rsidRDefault="00CA774E" w:rsidP="00FA294D">
      <w:pPr>
        <w:pStyle w:val="BodyTextIndent"/>
        <w:spacing w:line="360" w:lineRule="auto"/>
        <w:ind w:firstLine="0"/>
        <w:rPr>
          <w:bCs/>
          <w:lang w:val="en-US"/>
        </w:rPr>
      </w:pPr>
      <w:r>
        <w:rPr>
          <w:bCs/>
          <w:lang w:val="en-US"/>
        </w:rPr>
        <w:t>F</w:t>
      </w:r>
      <w:r w:rsidRPr="00CA774E">
        <w:rPr>
          <w:bCs/>
          <w:vertAlign w:val="subscript"/>
          <w:lang w:val="en-US"/>
        </w:rPr>
        <w:t>v</w:t>
      </w:r>
      <w:r>
        <w:rPr>
          <w:bCs/>
          <w:lang w:val="en-US"/>
        </w:rPr>
        <w:t>=0,294 cm</w:t>
      </w:r>
      <w:r w:rsidRPr="00CA774E">
        <w:rPr>
          <w:bCs/>
          <w:vertAlign w:val="superscript"/>
          <w:lang w:val="en-US"/>
        </w:rPr>
        <w:t>2</w:t>
      </w:r>
    </w:p>
    <w:p w14:paraId="01B285C6" w14:textId="17942783" w:rsidR="00CA774E" w:rsidRDefault="00CA774E" w:rsidP="00FA294D">
      <w:pPr>
        <w:pStyle w:val="BodyTextIndent"/>
        <w:spacing w:line="360" w:lineRule="auto"/>
        <w:ind w:firstLine="0"/>
        <w:rPr>
          <w:rFonts w:ascii="Cambria Math" w:hAnsi="Cambria Math" w:cs="Cambria Math"/>
          <w:bCs/>
          <w:lang w:val="en-US"/>
        </w:rPr>
      </w:pPr>
      <w:r>
        <w:rPr>
          <w:bCs/>
          <w:lang w:val="en-US"/>
        </w:rPr>
        <w:t>d</w:t>
      </w:r>
      <w:r>
        <w:rPr>
          <w:bCs/>
          <w:vertAlign w:val="subscript"/>
          <w:lang w:val="en-US"/>
        </w:rPr>
        <w:t>vmin</w:t>
      </w:r>
      <w:r>
        <w:rPr>
          <w:bCs/>
          <w:lang w:val="en-US"/>
        </w:rPr>
        <w:t>=√0,375</w:t>
      </w:r>
      <w:r>
        <w:rPr>
          <w:rFonts w:ascii="Cambria Math" w:hAnsi="Cambria Math" w:cs="Cambria Math"/>
          <w:bCs/>
          <w:lang w:val="en-US"/>
        </w:rPr>
        <w:t>≈0,6 cm</w:t>
      </w:r>
    </w:p>
    <w:p w14:paraId="29BC8370" w14:textId="2171D31E" w:rsidR="00CA774E" w:rsidRDefault="00CA774E" w:rsidP="00FA294D">
      <w:pPr>
        <w:pStyle w:val="BodyTextIndent"/>
        <w:spacing w:line="360" w:lineRule="auto"/>
        <w:ind w:firstLine="0"/>
        <w:rPr>
          <w:rFonts w:ascii="Cambria Math" w:hAnsi="Cambria Math" w:cs="Cambria Math"/>
          <w:bCs/>
          <w:lang w:val="en-US"/>
        </w:rPr>
      </w:pPr>
      <w:r>
        <w:rPr>
          <w:rFonts w:ascii="Cambria Math" w:hAnsi="Cambria Math" w:cs="Cambria Math"/>
          <w:bCs/>
          <w:lang w:val="en-US"/>
        </w:rPr>
        <w:t>d</w:t>
      </w:r>
      <w:r>
        <w:rPr>
          <w:rFonts w:ascii="Cambria Math" w:hAnsi="Cambria Math" w:cs="Cambria Math"/>
          <w:bCs/>
          <w:vertAlign w:val="subscript"/>
          <w:lang w:val="en-US"/>
        </w:rPr>
        <w:t>vmax</w:t>
      </w:r>
      <w:r>
        <w:rPr>
          <w:rFonts w:ascii="Cambria Math" w:hAnsi="Cambria Math" w:cs="Cambria Math"/>
          <w:bCs/>
          <w:lang w:val="en-US"/>
        </w:rPr>
        <w:t>=0,69 cm</w:t>
      </w:r>
    </w:p>
    <w:p w14:paraId="26BCEFDB" w14:textId="2E1A51EE" w:rsidR="0038405B" w:rsidRDefault="0038405B" w:rsidP="00FA294D">
      <w:pPr>
        <w:pStyle w:val="BodyTextIndent"/>
        <w:spacing w:line="360" w:lineRule="auto"/>
        <w:ind w:firstLine="0"/>
        <w:rPr>
          <w:bCs/>
        </w:rPr>
      </w:pPr>
      <w:r>
        <w:rPr>
          <w:bCs/>
        </w:rPr>
        <w:t>h</w:t>
      </w:r>
      <w:r w:rsidRPr="00CA774E">
        <w:rPr>
          <w:bCs/>
          <w:vertAlign w:val="subscript"/>
        </w:rPr>
        <w:t>š</w:t>
      </w:r>
      <w:r>
        <w:rPr>
          <w:bCs/>
        </w:rPr>
        <w:t>=2*</w:t>
      </w:r>
      <w:r w:rsidRPr="00DA27B9">
        <w:rPr>
          <w:bCs/>
        </w:rPr>
        <w:t>F</w:t>
      </w:r>
      <w:r w:rsidRPr="00DA27B9">
        <w:rPr>
          <w:bCs/>
          <w:vertAlign w:val="subscript"/>
        </w:rPr>
        <w:t>tiekt</w:t>
      </w:r>
      <w:r>
        <w:rPr>
          <w:bCs/>
        </w:rPr>
        <w:t>=0,42</w:t>
      </w:r>
      <w:r w:rsidR="00A97BF9">
        <w:rPr>
          <w:bCs/>
        </w:rPr>
        <w:t xml:space="preserve"> cm</w:t>
      </w:r>
    </w:p>
    <w:p w14:paraId="2E9CA776" w14:textId="0E674B56" w:rsidR="0038405B" w:rsidRDefault="0038405B" w:rsidP="00FA294D">
      <w:pPr>
        <w:pStyle w:val="BodyTextIndent"/>
        <w:spacing w:line="360" w:lineRule="auto"/>
        <w:ind w:firstLine="0"/>
        <w:rPr>
          <w:rFonts w:ascii="Cambria Math" w:hAnsi="Cambria Math" w:cs="Cambria Math"/>
          <w:bCs/>
          <w:lang w:val="en-US"/>
        </w:rPr>
      </w:pPr>
      <w:r>
        <w:rPr>
          <w:bCs/>
        </w:rPr>
        <w:t>a</w:t>
      </w:r>
      <w:r>
        <w:rPr>
          <w:rFonts w:ascii="Cambria Math" w:hAnsi="Cambria Math" w:cs="Cambria Math"/>
          <w:bCs/>
          <w:lang w:val="en-US"/>
        </w:rPr>
        <w:t>≈0.6 cm = 6 mm</w:t>
      </w:r>
    </w:p>
    <w:p w14:paraId="2BC1DB6A" w14:textId="38D1A3A7" w:rsidR="0038405B" w:rsidRPr="0038405B" w:rsidRDefault="0038405B" w:rsidP="00FA294D">
      <w:pPr>
        <w:pStyle w:val="BodyTextIndent"/>
        <w:spacing w:line="360" w:lineRule="auto"/>
        <w:ind w:firstLine="0"/>
        <w:rPr>
          <w:rFonts w:ascii="Cambria Math" w:hAnsi="Cambria Math" w:cs="Cambria Math"/>
          <w:bCs/>
          <w:lang w:val="en-US"/>
        </w:rPr>
      </w:pPr>
      <w:r>
        <w:rPr>
          <w:rFonts w:ascii="Cambria Math" w:hAnsi="Cambria Math" w:cs="Cambria Math"/>
          <w:bCs/>
          <w:lang w:val="en-US"/>
        </w:rPr>
        <w:t>b=6,06 mm</w:t>
      </w:r>
    </w:p>
    <w:sectPr w:rsidR="0038405B" w:rsidRPr="0038405B" w:rsidSect="00DA27B9">
      <w:footerReference w:type="default" r:id="rId22"/>
      <w:pgSz w:w="11906" w:h="16838"/>
      <w:pgMar w:top="1134"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4A335" w14:textId="77777777" w:rsidR="00514D0F" w:rsidRDefault="00514D0F" w:rsidP="00193A73">
      <w:r>
        <w:separator/>
      </w:r>
    </w:p>
  </w:endnote>
  <w:endnote w:type="continuationSeparator" w:id="0">
    <w:p w14:paraId="5D8669B6" w14:textId="77777777" w:rsidR="00514D0F" w:rsidRDefault="00514D0F" w:rsidP="00193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356911"/>
      <w:docPartObj>
        <w:docPartGallery w:val="Page Numbers (Bottom of Page)"/>
        <w:docPartUnique/>
      </w:docPartObj>
    </w:sdtPr>
    <w:sdtEndPr/>
    <w:sdtContent>
      <w:p w14:paraId="6E16008E" w14:textId="77777777" w:rsidR="00193A73" w:rsidRDefault="00193A73">
        <w:pPr>
          <w:pStyle w:val="Footer"/>
          <w:jc w:val="right"/>
        </w:pPr>
        <w:r>
          <w:fldChar w:fldCharType="begin"/>
        </w:r>
        <w:r>
          <w:instrText>PAGE   \* MERGEFORMAT</w:instrText>
        </w:r>
        <w:r>
          <w:fldChar w:fldCharType="separate"/>
        </w:r>
        <w:r>
          <w:rPr>
            <w:noProof/>
          </w:rPr>
          <w:t>4</w:t>
        </w:r>
        <w:r>
          <w:fldChar w:fldCharType="end"/>
        </w:r>
      </w:p>
    </w:sdtContent>
  </w:sdt>
  <w:p w14:paraId="5D202984" w14:textId="77777777" w:rsidR="00193A73" w:rsidRDefault="00193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188B9" w14:textId="77777777" w:rsidR="00514D0F" w:rsidRDefault="00514D0F" w:rsidP="00193A73">
      <w:r>
        <w:separator/>
      </w:r>
    </w:p>
  </w:footnote>
  <w:footnote w:type="continuationSeparator" w:id="0">
    <w:p w14:paraId="36996135" w14:textId="77777777" w:rsidR="00514D0F" w:rsidRDefault="00514D0F" w:rsidP="00193A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099B"/>
    <w:multiLevelType w:val="hybridMultilevel"/>
    <w:tmpl w:val="38B2969E"/>
    <w:lvl w:ilvl="0" w:tplc="0427000F">
      <w:start w:val="1"/>
      <w:numFmt w:val="decimal"/>
      <w:lvlText w:val="%1."/>
      <w:lvlJc w:val="left"/>
      <w:pPr>
        <w:tabs>
          <w:tab w:val="num" w:pos="720"/>
        </w:tabs>
        <w:ind w:left="720" w:hanging="360"/>
      </w:pPr>
      <w:rPr>
        <w:rFonts w:hint="default"/>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1" w15:restartNumberingAfterBreak="0">
    <w:nsid w:val="1E571CD0"/>
    <w:multiLevelType w:val="hybridMultilevel"/>
    <w:tmpl w:val="FB80EF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3451C0"/>
    <w:multiLevelType w:val="hybridMultilevel"/>
    <w:tmpl w:val="130653F8"/>
    <w:lvl w:ilvl="0" w:tplc="886E8E62">
      <w:start w:val="1"/>
      <w:numFmt w:val="bullet"/>
      <w:lvlText w:val="-"/>
      <w:lvlJc w:val="left"/>
      <w:pPr>
        <w:tabs>
          <w:tab w:val="num" w:pos="720"/>
        </w:tabs>
        <w:ind w:left="720" w:hanging="360"/>
      </w:pPr>
      <w:rPr>
        <w:rFonts w:ascii="Times New Roman" w:eastAsia="Times New Roman" w:hAnsi="Times New Roman" w:cs="Times New Roman"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5B40B16"/>
    <w:multiLevelType w:val="hybridMultilevel"/>
    <w:tmpl w:val="BE680D0E"/>
    <w:lvl w:ilvl="0" w:tplc="0427000F">
      <w:start w:val="1"/>
      <w:numFmt w:val="decimal"/>
      <w:lvlText w:val="%1."/>
      <w:lvlJc w:val="left"/>
      <w:pPr>
        <w:tabs>
          <w:tab w:val="num" w:pos="720"/>
        </w:tabs>
        <w:ind w:left="720" w:hanging="360"/>
      </w:pPr>
      <w:rPr>
        <w:rFonts w:hint="default"/>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4" w15:restartNumberingAfterBreak="0">
    <w:nsid w:val="396D3B10"/>
    <w:multiLevelType w:val="hybridMultilevel"/>
    <w:tmpl w:val="25580AB8"/>
    <w:lvl w:ilvl="0" w:tplc="0427000F">
      <w:start w:val="1"/>
      <w:numFmt w:val="decimal"/>
      <w:lvlText w:val="%1."/>
      <w:lvlJc w:val="left"/>
      <w:pPr>
        <w:tabs>
          <w:tab w:val="num" w:pos="720"/>
        </w:tabs>
        <w:ind w:left="720" w:hanging="360"/>
      </w:pPr>
      <w:rPr>
        <w:rFonts w:hint="default"/>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5" w15:restartNumberingAfterBreak="0">
    <w:nsid w:val="4FD2681C"/>
    <w:multiLevelType w:val="hybridMultilevel"/>
    <w:tmpl w:val="6EDC519E"/>
    <w:lvl w:ilvl="0" w:tplc="04270001">
      <w:start w:val="1"/>
      <w:numFmt w:val="bullet"/>
      <w:lvlText w:val=""/>
      <w:lvlJc w:val="left"/>
      <w:pPr>
        <w:ind w:left="1647" w:hanging="360"/>
      </w:pPr>
      <w:rPr>
        <w:rFonts w:ascii="Symbol" w:hAnsi="Symbol" w:hint="default"/>
      </w:rPr>
    </w:lvl>
    <w:lvl w:ilvl="1" w:tplc="04270003" w:tentative="1">
      <w:start w:val="1"/>
      <w:numFmt w:val="bullet"/>
      <w:lvlText w:val="o"/>
      <w:lvlJc w:val="left"/>
      <w:pPr>
        <w:ind w:left="2367" w:hanging="360"/>
      </w:pPr>
      <w:rPr>
        <w:rFonts w:ascii="Courier New" w:hAnsi="Courier New" w:cs="Courier New" w:hint="default"/>
      </w:rPr>
    </w:lvl>
    <w:lvl w:ilvl="2" w:tplc="04270005" w:tentative="1">
      <w:start w:val="1"/>
      <w:numFmt w:val="bullet"/>
      <w:lvlText w:val=""/>
      <w:lvlJc w:val="left"/>
      <w:pPr>
        <w:ind w:left="3087" w:hanging="360"/>
      </w:pPr>
      <w:rPr>
        <w:rFonts w:ascii="Wingdings" w:hAnsi="Wingdings" w:hint="default"/>
      </w:rPr>
    </w:lvl>
    <w:lvl w:ilvl="3" w:tplc="04270001" w:tentative="1">
      <w:start w:val="1"/>
      <w:numFmt w:val="bullet"/>
      <w:lvlText w:val=""/>
      <w:lvlJc w:val="left"/>
      <w:pPr>
        <w:ind w:left="3807" w:hanging="360"/>
      </w:pPr>
      <w:rPr>
        <w:rFonts w:ascii="Symbol" w:hAnsi="Symbol" w:hint="default"/>
      </w:rPr>
    </w:lvl>
    <w:lvl w:ilvl="4" w:tplc="04270003" w:tentative="1">
      <w:start w:val="1"/>
      <w:numFmt w:val="bullet"/>
      <w:lvlText w:val="o"/>
      <w:lvlJc w:val="left"/>
      <w:pPr>
        <w:ind w:left="4527" w:hanging="360"/>
      </w:pPr>
      <w:rPr>
        <w:rFonts w:ascii="Courier New" w:hAnsi="Courier New" w:cs="Courier New" w:hint="default"/>
      </w:rPr>
    </w:lvl>
    <w:lvl w:ilvl="5" w:tplc="04270005" w:tentative="1">
      <w:start w:val="1"/>
      <w:numFmt w:val="bullet"/>
      <w:lvlText w:val=""/>
      <w:lvlJc w:val="left"/>
      <w:pPr>
        <w:ind w:left="5247" w:hanging="360"/>
      </w:pPr>
      <w:rPr>
        <w:rFonts w:ascii="Wingdings" w:hAnsi="Wingdings" w:hint="default"/>
      </w:rPr>
    </w:lvl>
    <w:lvl w:ilvl="6" w:tplc="04270001" w:tentative="1">
      <w:start w:val="1"/>
      <w:numFmt w:val="bullet"/>
      <w:lvlText w:val=""/>
      <w:lvlJc w:val="left"/>
      <w:pPr>
        <w:ind w:left="5967" w:hanging="360"/>
      </w:pPr>
      <w:rPr>
        <w:rFonts w:ascii="Symbol" w:hAnsi="Symbol" w:hint="default"/>
      </w:rPr>
    </w:lvl>
    <w:lvl w:ilvl="7" w:tplc="04270003" w:tentative="1">
      <w:start w:val="1"/>
      <w:numFmt w:val="bullet"/>
      <w:lvlText w:val="o"/>
      <w:lvlJc w:val="left"/>
      <w:pPr>
        <w:ind w:left="6687" w:hanging="360"/>
      </w:pPr>
      <w:rPr>
        <w:rFonts w:ascii="Courier New" w:hAnsi="Courier New" w:cs="Courier New" w:hint="default"/>
      </w:rPr>
    </w:lvl>
    <w:lvl w:ilvl="8" w:tplc="04270005" w:tentative="1">
      <w:start w:val="1"/>
      <w:numFmt w:val="bullet"/>
      <w:lvlText w:val=""/>
      <w:lvlJc w:val="left"/>
      <w:pPr>
        <w:ind w:left="7407" w:hanging="360"/>
      </w:pPr>
      <w:rPr>
        <w:rFonts w:ascii="Wingdings" w:hAnsi="Wingdings" w:hint="default"/>
      </w:rPr>
    </w:lvl>
  </w:abstractNum>
  <w:abstractNum w:abstractNumId="6" w15:restartNumberingAfterBreak="0">
    <w:nsid w:val="53AE11CB"/>
    <w:multiLevelType w:val="hybridMultilevel"/>
    <w:tmpl w:val="BDFCDBE2"/>
    <w:lvl w:ilvl="0" w:tplc="0427000F">
      <w:start w:val="1"/>
      <w:numFmt w:val="decimal"/>
      <w:lvlText w:val="%1."/>
      <w:lvlJc w:val="left"/>
      <w:pPr>
        <w:tabs>
          <w:tab w:val="num" w:pos="720"/>
        </w:tabs>
        <w:ind w:left="720" w:hanging="360"/>
      </w:pPr>
      <w:rPr>
        <w:rFonts w:hint="default"/>
      </w:rPr>
    </w:lvl>
    <w:lvl w:ilvl="1" w:tplc="916C70A4">
      <w:start w:val="1"/>
      <w:numFmt w:val="decimal"/>
      <w:lvlText w:val="%2)"/>
      <w:lvlJc w:val="left"/>
      <w:pPr>
        <w:tabs>
          <w:tab w:val="num" w:pos="1440"/>
        </w:tabs>
        <w:ind w:left="1440" w:hanging="360"/>
      </w:pPr>
      <w:rPr>
        <w:rFonts w:hint="default"/>
      </w:rPr>
    </w:lvl>
    <w:lvl w:ilvl="2" w:tplc="E8D2622E">
      <w:numFmt w:val="bullet"/>
      <w:lvlText w:val="-"/>
      <w:lvlJc w:val="left"/>
      <w:pPr>
        <w:tabs>
          <w:tab w:val="num" w:pos="2340"/>
        </w:tabs>
        <w:ind w:left="2340" w:hanging="360"/>
      </w:pPr>
      <w:rPr>
        <w:rFonts w:ascii="Times New Roman" w:eastAsia="Times New Roman" w:hAnsi="Times New Roman" w:cs="Times New Roman" w:hint="default"/>
      </w:r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7" w15:restartNumberingAfterBreak="0">
    <w:nsid w:val="54C37DC6"/>
    <w:multiLevelType w:val="hybridMultilevel"/>
    <w:tmpl w:val="C868F532"/>
    <w:lvl w:ilvl="0" w:tplc="886E8E62">
      <w:start w:val="1"/>
      <w:numFmt w:val="bullet"/>
      <w:lvlText w:val="-"/>
      <w:lvlJc w:val="left"/>
      <w:pPr>
        <w:tabs>
          <w:tab w:val="num" w:pos="4320"/>
        </w:tabs>
        <w:ind w:left="432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66DA7D67"/>
    <w:multiLevelType w:val="hybridMultilevel"/>
    <w:tmpl w:val="4E7C76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9581D84"/>
    <w:multiLevelType w:val="hybridMultilevel"/>
    <w:tmpl w:val="CB60970A"/>
    <w:lvl w:ilvl="0" w:tplc="125CB8A2">
      <w:start w:val="1"/>
      <w:numFmt w:val="decimal"/>
      <w:lvlText w:val="%1."/>
      <w:lvlJc w:val="left"/>
      <w:pPr>
        <w:tabs>
          <w:tab w:val="num" w:pos="1005"/>
        </w:tabs>
        <w:ind w:left="1005" w:hanging="64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2"/>
  </w:num>
  <w:num w:numId="4">
    <w:abstractNumId w:val="4"/>
  </w:num>
  <w:num w:numId="5">
    <w:abstractNumId w:val="1"/>
  </w:num>
  <w:num w:numId="6">
    <w:abstractNumId w:val="3"/>
  </w:num>
  <w:num w:numId="7">
    <w:abstractNumId w:val="8"/>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7B9"/>
    <w:rsid w:val="00193A73"/>
    <w:rsid w:val="0038405B"/>
    <w:rsid w:val="004C5ED4"/>
    <w:rsid w:val="00514D0F"/>
    <w:rsid w:val="007908D1"/>
    <w:rsid w:val="00A97BF9"/>
    <w:rsid w:val="00CA774E"/>
    <w:rsid w:val="00DA27B9"/>
    <w:rsid w:val="00E93F5B"/>
    <w:rsid w:val="00F646AE"/>
    <w:rsid w:val="00FA294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00499FBF"/>
  <w15:chartTrackingRefBased/>
  <w15:docId w15:val="{E4DB8DE4-5208-48A5-B8EA-6AC32708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ind w:firstLine="360"/>
      <w:jc w:val="both"/>
      <w:outlineLvl w:val="0"/>
    </w:pPr>
    <w:rPr>
      <w:b/>
      <w:bCs/>
      <w:sz w:val="28"/>
    </w:rPr>
  </w:style>
  <w:style w:type="paragraph" w:styleId="Heading2">
    <w:name w:val="heading 2"/>
    <w:basedOn w:val="Normal"/>
    <w:next w:val="Normal"/>
    <w:qFormat/>
    <w:pPr>
      <w:keepNext/>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firstLine="360"/>
      <w:jc w:val="both"/>
    </w:pPr>
  </w:style>
  <w:style w:type="paragraph" w:styleId="BodyTextIndent2">
    <w:name w:val="Body Text Indent 2"/>
    <w:basedOn w:val="Normal"/>
    <w:semiHidden/>
    <w:pPr>
      <w:ind w:firstLine="540"/>
    </w:pPr>
  </w:style>
  <w:style w:type="paragraph" w:styleId="BodyText">
    <w:name w:val="Body Text"/>
    <w:basedOn w:val="Normal"/>
    <w:semiHidden/>
    <w:pPr>
      <w:tabs>
        <w:tab w:val="left" w:pos="360"/>
      </w:tabs>
      <w:jc w:val="both"/>
    </w:pPr>
  </w:style>
  <w:style w:type="paragraph" w:styleId="BodyTextIndent3">
    <w:name w:val="Body Text Indent 3"/>
    <w:basedOn w:val="Normal"/>
    <w:semiHidden/>
    <w:pPr>
      <w:ind w:left="1620" w:hanging="360"/>
      <w:jc w:val="both"/>
    </w:pPr>
    <w:rPr>
      <w:bCs/>
    </w:rPr>
  </w:style>
  <w:style w:type="paragraph" w:styleId="ListParagraph">
    <w:name w:val="List Paragraph"/>
    <w:basedOn w:val="Normal"/>
    <w:uiPriority w:val="34"/>
    <w:qFormat/>
    <w:rsid w:val="00F646AE"/>
    <w:pPr>
      <w:ind w:left="720"/>
      <w:contextualSpacing/>
    </w:pPr>
  </w:style>
  <w:style w:type="paragraph" w:styleId="Header">
    <w:name w:val="header"/>
    <w:basedOn w:val="Normal"/>
    <w:link w:val="HeaderChar"/>
    <w:uiPriority w:val="99"/>
    <w:unhideWhenUsed/>
    <w:rsid w:val="00193A73"/>
    <w:pPr>
      <w:tabs>
        <w:tab w:val="center" w:pos="4819"/>
        <w:tab w:val="right" w:pos="9638"/>
      </w:tabs>
    </w:pPr>
  </w:style>
  <w:style w:type="character" w:customStyle="1" w:styleId="HeaderChar">
    <w:name w:val="Header Char"/>
    <w:basedOn w:val="DefaultParagraphFont"/>
    <w:link w:val="Header"/>
    <w:uiPriority w:val="99"/>
    <w:rsid w:val="00193A73"/>
    <w:rPr>
      <w:sz w:val="24"/>
      <w:szCs w:val="24"/>
    </w:rPr>
  </w:style>
  <w:style w:type="paragraph" w:styleId="Footer">
    <w:name w:val="footer"/>
    <w:basedOn w:val="Normal"/>
    <w:link w:val="FooterChar"/>
    <w:uiPriority w:val="99"/>
    <w:unhideWhenUsed/>
    <w:rsid w:val="00193A73"/>
    <w:pPr>
      <w:tabs>
        <w:tab w:val="center" w:pos="4819"/>
        <w:tab w:val="right" w:pos="9638"/>
      </w:tabs>
    </w:pPr>
  </w:style>
  <w:style w:type="character" w:customStyle="1" w:styleId="FooterChar">
    <w:name w:val="Footer Char"/>
    <w:basedOn w:val="DefaultParagraphFont"/>
    <w:link w:val="Footer"/>
    <w:uiPriority w:val="99"/>
    <w:rsid w:val="00193A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footer" Target="footer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925</Words>
  <Characters>5975</Characters>
  <Application>Microsoft Office Word</Application>
  <DocSecurity>0</DocSecurity>
  <Lines>49</Lines>
  <Paragraphs>13</Paragraphs>
  <ScaleCrop>false</ScaleCrop>
  <HeadingPairs>
    <vt:vector size="6" baseType="variant">
      <vt:variant>
        <vt:lpstr>Title</vt:lpstr>
      </vt:variant>
      <vt:variant>
        <vt:i4>1</vt:i4>
      </vt:variant>
      <vt:variant>
        <vt:lpstr>Pavadinimas</vt:lpstr>
      </vt:variant>
      <vt:variant>
        <vt:i4>1</vt:i4>
      </vt:variant>
      <vt:variant>
        <vt:lpstr>Название</vt:lpstr>
      </vt:variant>
      <vt:variant>
        <vt:i4>1</vt:i4>
      </vt:variant>
    </vt:vector>
  </HeadingPairs>
  <TitlesOfParts>
    <vt:vector size="3" baseType="lpstr">
      <vt:lpstr>Laboratorinis darbas Nr</vt:lpstr>
      <vt:lpstr>Laboratorinis darbas Nr</vt:lpstr>
      <vt:lpstr>Laboratorinis darbas Nr</vt:lpstr>
    </vt:vector>
  </TitlesOfParts>
  <Company>Klaipлdos universitetas</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Laboratorinis darbas Nr</dc:title>
  <dc:subject/>
  <dc:creator>Agne</dc:creator>
  <cp:keywords/>
  <dc:description/>
  <cp:lastModifiedBy>Edgaras Jurevicius</cp:lastModifiedBy>
  <cp:revision>5</cp:revision>
  <dcterms:created xsi:type="dcterms:W3CDTF">2020-11-11T19:35:00Z</dcterms:created>
  <dcterms:modified xsi:type="dcterms:W3CDTF">2022-12-06T23:00:00Z</dcterms:modified>
</cp:coreProperties>
</file>