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BB84" w14:textId="37406C52" w:rsidR="00AD7238" w:rsidRPr="006D05D9" w:rsidRDefault="00AD7238" w:rsidP="005C7D01">
      <w:pPr>
        <w:rPr>
          <w:b/>
          <w:bCs/>
          <w:sz w:val="26"/>
          <w:szCs w:val="26"/>
          <w:lang w:val="en-GB"/>
        </w:rPr>
      </w:pPr>
      <w:bookmarkStart w:id="0" w:name="_Hlk163210839"/>
      <w:r w:rsidRPr="006D05D9">
        <w:rPr>
          <w:b/>
          <w:bCs/>
          <w:sz w:val="26"/>
          <w:szCs w:val="26"/>
          <w:lang w:val="en-GB"/>
        </w:rPr>
        <w:t>Propo</w:t>
      </w:r>
      <w:r w:rsidR="000D4622" w:rsidRPr="006D05D9">
        <w:rPr>
          <w:b/>
          <w:bCs/>
          <w:sz w:val="26"/>
          <w:szCs w:val="26"/>
          <w:lang w:val="en-GB"/>
        </w:rPr>
        <w:t xml:space="preserve">sal of </w:t>
      </w:r>
      <w:r w:rsidR="00C061FC" w:rsidRPr="006D05D9">
        <w:rPr>
          <w:b/>
          <w:bCs/>
          <w:sz w:val="26"/>
          <w:szCs w:val="26"/>
          <w:lang w:val="en-GB"/>
        </w:rPr>
        <w:t xml:space="preserve">a new equation </w:t>
      </w:r>
      <w:r w:rsidR="000D4622" w:rsidRPr="006D05D9">
        <w:rPr>
          <w:b/>
          <w:bCs/>
          <w:sz w:val="26"/>
          <w:szCs w:val="26"/>
          <w:lang w:val="en-GB"/>
        </w:rPr>
        <w:t xml:space="preserve">to define and evaluate </w:t>
      </w:r>
      <w:r w:rsidR="009F3196" w:rsidRPr="006D05D9">
        <w:rPr>
          <w:b/>
          <w:bCs/>
          <w:sz w:val="26"/>
          <w:szCs w:val="26"/>
          <w:lang w:val="en-GB"/>
        </w:rPr>
        <w:t xml:space="preserve">maximum </w:t>
      </w:r>
      <w:r w:rsidR="0024101D" w:rsidRPr="006D05D9">
        <w:rPr>
          <w:b/>
          <w:bCs/>
          <w:sz w:val="26"/>
          <w:szCs w:val="26"/>
          <w:lang w:val="en-GB"/>
        </w:rPr>
        <w:t>desk height in educational context</w:t>
      </w:r>
      <w:r w:rsidR="00260DE8">
        <w:rPr>
          <w:b/>
          <w:bCs/>
          <w:sz w:val="26"/>
          <w:szCs w:val="26"/>
          <w:lang w:val="en-GB"/>
        </w:rPr>
        <w:t>s</w:t>
      </w:r>
      <w:r w:rsidR="0024101D" w:rsidRPr="006D05D9">
        <w:rPr>
          <w:b/>
          <w:bCs/>
          <w:sz w:val="26"/>
          <w:szCs w:val="26"/>
          <w:lang w:val="en-GB"/>
        </w:rPr>
        <w:t>.</w:t>
      </w:r>
    </w:p>
    <w:bookmarkEnd w:id="0"/>
    <w:p w14:paraId="62A464E6" w14:textId="77777777" w:rsidR="00AD7238" w:rsidRPr="006D05D9" w:rsidRDefault="00AD7238" w:rsidP="005C7D01">
      <w:pPr>
        <w:rPr>
          <w:b/>
          <w:bCs/>
          <w:sz w:val="26"/>
          <w:szCs w:val="26"/>
          <w:lang w:val="en-GB"/>
        </w:rPr>
      </w:pPr>
    </w:p>
    <w:p w14:paraId="40A9FF37" w14:textId="16B063F4" w:rsidR="00A42D69" w:rsidRPr="006D05D9" w:rsidRDefault="00A42D69" w:rsidP="005C7D01">
      <w:pPr>
        <w:rPr>
          <w:b/>
          <w:bCs/>
          <w:sz w:val="26"/>
          <w:szCs w:val="26"/>
          <w:lang w:val="en-GB"/>
        </w:rPr>
      </w:pPr>
    </w:p>
    <w:p w14:paraId="1B047B93" w14:textId="77777777" w:rsidR="00A42D69" w:rsidRPr="006D05D9" w:rsidRDefault="00A42D69" w:rsidP="005C7D01">
      <w:pPr>
        <w:rPr>
          <w:b/>
          <w:bCs/>
          <w:sz w:val="26"/>
          <w:szCs w:val="26"/>
          <w:lang w:val="en-GB"/>
        </w:rPr>
      </w:pPr>
    </w:p>
    <w:p w14:paraId="06543FA4" w14:textId="54B0BB0B" w:rsidR="0024101D" w:rsidRPr="006D05D9" w:rsidRDefault="0024101D" w:rsidP="005C7D01">
      <w:pPr>
        <w:rPr>
          <w:b/>
          <w:bCs/>
          <w:sz w:val="26"/>
          <w:szCs w:val="26"/>
          <w:lang w:val="en-GB"/>
        </w:rPr>
      </w:pPr>
      <w:r w:rsidRPr="006D05D9">
        <w:rPr>
          <w:b/>
          <w:bCs/>
          <w:sz w:val="26"/>
          <w:szCs w:val="26"/>
          <w:lang w:val="en-GB"/>
        </w:rPr>
        <w:t>Abstract</w:t>
      </w:r>
    </w:p>
    <w:p w14:paraId="5F796D2F" w14:textId="77777777" w:rsidR="0024101D" w:rsidRPr="006D05D9" w:rsidRDefault="0024101D" w:rsidP="005C7D01">
      <w:pPr>
        <w:rPr>
          <w:b/>
          <w:bCs/>
          <w:sz w:val="26"/>
          <w:szCs w:val="26"/>
          <w:lang w:val="en-GB"/>
        </w:rPr>
      </w:pPr>
    </w:p>
    <w:p w14:paraId="77C75150" w14:textId="149DEFC9" w:rsidR="009603AC" w:rsidRPr="006D05D9" w:rsidRDefault="009409DF" w:rsidP="005C7D01">
      <w:pPr>
        <w:rPr>
          <w:lang w:val="en-GB"/>
        </w:rPr>
      </w:pPr>
      <w:r w:rsidRPr="006D05D9">
        <w:rPr>
          <w:lang w:val="en-GB"/>
        </w:rPr>
        <w:t xml:space="preserve">This research </w:t>
      </w:r>
      <w:r w:rsidR="00DD3AFD">
        <w:rPr>
          <w:lang w:val="en-GB"/>
        </w:rPr>
        <w:t>analyses</w:t>
      </w:r>
      <w:r w:rsidR="00DD3AFD" w:rsidRPr="006D05D9">
        <w:rPr>
          <w:lang w:val="en-GB"/>
        </w:rPr>
        <w:t xml:space="preserve"> </w:t>
      </w:r>
      <w:r w:rsidRPr="006D05D9">
        <w:rPr>
          <w:lang w:val="en-GB"/>
        </w:rPr>
        <w:t>differences in kinematics, electromyography</w:t>
      </w:r>
      <w:r w:rsidR="00DD3AFD">
        <w:rPr>
          <w:lang w:val="en-GB"/>
        </w:rPr>
        <w:t xml:space="preserve"> (EMG)</w:t>
      </w:r>
      <w:r w:rsidRPr="006D05D9">
        <w:rPr>
          <w:lang w:val="en-GB"/>
        </w:rPr>
        <w:t xml:space="preserve">, </w:t>
      </w:r>
      <w:r w:rsidR="00DD3AFD">
        <w:rPr>
          <w:lang w:val="en-GB"/>
        </w:rPr>
        <w:t xml:space="preserve">task </w:t>
      </w:r>
      <w:r w:rsidRPr="006D05D9">
        <w:rPr>
          <w:lang w:val="en-GB"/>
        </w:rPr>
        <w:t xml:space="preserve">performance, </w:t>
      </w:r>
      <w:r w:rsidR="00DD3AFD">
        <w:rPr>
          <w:lang w:val="en-GB"/>
        </w:rPr>
        <w:t xml:space="preserve">personal </w:t>
      </w:r>
      <w:r w:rsidRPr="006D05D9">
        <w:rPr>
          <w:lang w:val="en-GB"/>
        </w:rPr>
        <w:t>preference, and discomfort between two desk height conditions:</w:t>
      </w:r>
      <w:r w:rsidR="004D209F" w:rsidRPr="006D05D9">
        <w:rPr>
          <w:lang w:val="en-GB"/>
        </w:rPr>
        <w:t xml:space="preserve"> </w:t>
      </w:r>
      <w:r w:rsidRPr="006D05D9">
        <w:rPr>
          <w:lang w:val="en-GB"/>
        </w:rPr>
        <w:t>one based on the principles of Chaffin and Anderson and the other using a new equation</w:t>
      </w:r>
      <w:r w:rsidR="00DD3AFD">
        <w:rPr>
          <w:lang w:val="en-GB"/>
        </w:rPr>
        <w:t xml:space="preserve">, </w:t>
      </w:r>
      <w:proofErr w:type="gramStart"/>
      <w:r w:rsidR="00DD3AFD">
        <w:rPr>
          <w:lang w:val="en-GB"/>
        </w:rPr>
        <w:t>developed</w:t>
      </w:r>
      <w:proofErr w:type="gramEnd"/>
      <w:r w:rsidR="00DD3AFD">
        <w:rPr>
          <w:lang w:val="en-GB"/>
        </w:rPr>
        <w:t xml:space="preserve"> and proposed through this work</w:t>
      </w:r>
      <w:r w:rsidRPr="006D05D9">
        <w:rPr>
          <w:lang w:val="en-GB"/>
        </w:rPr>
        <w:t>. A quasi-experimental study with 34 participants was conducted</w:t>
      </w:r>
      <w:r w:rsidR="00D923C7" w:rsidRPr="006D05D9">
        <w:rPr>
          <w:lang w:val="en-GB"/>
        </w:rPr>
        <w:t xml:space="preserve">. </w:t>
      </w:r>
      <w:r w:rsidRPr="006D05D9">
        <w:rPr>
          <w:lang w:val="en-GB"/>
        </w:rPr>
        <w:t xml:space="preserve">Participants performed tasks on both desk height conditions, with data collected on shoulder kinematics and muscle activity using motion capture and surface EMG, respectively. Performance metrics varied based on task type, while preference and discomfort were assessed through surveys and visual </w:t>
      </w:r>
      <w:proofErr w:type="spellStart"/>
      <w:r w:rsidRPr="006D05D9">
        <w:rPr>
          <w:lang w:val="en-GB"/>
        </w:rPr>
        <w:t>analog</w:t>
      </w:r>
      <w:proofErr w:type="spellEnd"/>
      <w:r w:rsidRPr="006D05D9">
        <w:rPr>
          <w:lang w:val="en-GB"/>
        </w:rPr>
        <w:t xml:space="preserve"> scales, respectively. Findings suggest </w:t>
      </w:r>
      <w:r w:rsidR="00333A5A" w:rsidRPr="006D05D9">
        <w:rPr>
          <w:lang w:val="en-GB"/>
        </w:rPr>
        <w:t xml:space="preserve">no </w:t>
      </w:r>
      <w:r w:rsidRPr="006D05D9">
        <w:rPr>
          <w:lang w:val="en-GB"/>
        </w:rPr>
        <w:t xml:space="preserve">significant </w:t>
      </w:r>
      <w:r w:rsidR="002A78DD" w:rsidRPr="006D05D9">
        <w:rPr>
          <w:lang w:val="en-GB"/>
        </w:rPr>
        <w:t>d</w:t>
      </w:r>
      <w:r w:rsidR="00333A5A" w:rsidRPr="006D05D9">
        <w:rPr>
          <w:lang w:val="en-GB"/>
        </w:rPr>
        <w:t>ifferences</w:t>
      </w:r>
      <w:r w:rsidRPr="006D05D9">
        <w:rPr>
          <w:lang w:val="en-GB"/>
        </w:rPr>
        <w:t xml:space="preserve"> between </w:t>
      </w:r>
      <w:r w:rsidR="00333A5A" w:rsidRPr="006D05D9">
        <w:rPr>
          <w:lang w:val="en-GB"/>
        </w:rPr>
        <w:t>the two setups in</w:t>
      </w:r>
      <w:r w:rsidRPr="006D05D9">
        <w:rPr>
          <w:lang w:val="en-GB"/>
        </w:rPr>
        <w:t xml:space="preserve"> </w:t>
      </w:r>
      <w:r w:rsidR="00624E62" w:rsidRPr="006D05D9">
        <w:rPr>
          <w:lang w:val="en-GB"/>
        </w:rPr>
        <w:t xml:space="preserve">safe </w:t>
      </w:r>
      <w:r w:rsidRPr="006D05D9">
        <w:rPr>
          <w:lang w:val="en-GB"/>
        </w:rPr>
        <w:t xml:space="preserve">shoulder </w:t>
      </w:r>
      <w:r w:rsidR="002A78DD" w:rsidRPr="006D05D9">
        <w:rPr>
          <w:lang w:val="en-GB"/>
        </w:rPr>
        <w:t>kinematics</w:t>
      </w:r>
      <w:r w:rsidRPr="006D05D9">
        <w:rPr>
          <w:lang w:val="en-GB"/>
        </w:rPr>
        <w:t xml:space="preserve">, while </w:t>
      </w:r>
      <w:r w:rsidR="00DD3AFD">
        <w:rPr>
          <w:lang w:val="en-GB"/>
        </w:rPr>
        <w:t>EMG</w:t>
      </w:r>
      <w:r w:rsidR="00DD3AFD" w:rsidRPr="006D05D9">
        <w:rPr>
          <w:lang w:val="en-GB"/>
        </w:rPr>
        <w:t xml:space="preserve"> </w:t>
      </w:r>
      <w:r w:rsidRPr="006D05D9">
        <w:rPr>
          <w:lang w:val="en-GB"/>
        </w:rPr>
        <w:t>results show</w:t>
      </w:r>
      <w:r w:rsidR="002A78DD" w:rsidRPr="006D05D9">
        <w:rPr>
          <w:lang w:val="en-GB"/>
        </w:rPr>
        <w:t>ed</w:t>
      </w:r>
      <w:r w:rsidRPr="006D05D9">
        <w:rPr>
          <w:lang w:val="en-GB"/>
        </w:rPr>
        <w:t xml:space="preserve"> </w:t>
      </w:r>
      <w:r w:rsidR="002A78DD" w:rsidRPr="006D05D9">
        <w:rPr>
          <w:lang w:val="en-GB"/>
        </w:rPr>
        <w:t xml:space="preserve">consistent safe </w:t>
      </w:r>
      <w:r w:rsidRPr="006D05D9">
        <w:rPr>
          <w:lang w:val="en-GB"/>
        </w:rPr>
        <w:t>muscle activity patterns</w:t>
      </w:r>
      <w:r w:rsidR="002A78DD" w:rsidRPr="006D05D9">
        <w:rPr>
          <w:lang w:val="en-GB"/>
        </w:rPr>
        <w:t xml:space="preserve"> for both setups</w:t>
      </w:r>
      <w:r w:rsidRPr="006D05D9">
        <w:rPr>
          <w:lang w:val="en-GB"/>
        </w:rPr>
        <w:t xml:space="preserve">. Performance metrics did not significantly differ between conditions. Preference analysis revealed no significant difference, while discomfort levels were comparable between conditions. </w:t>
      </w:r>
      <w:r w:rsidR="009F3196" w:rsidRPr="006D05D9">
        <w:rPr>
          <w:lang w:val="en-GB"/>
        </w:rPr>
        <w:t xml:space="preserve">In conclusion, it can be determined that </w:t>
      </w:r>
      <w:r w:rsidR="00DD3AFD">
        <w:rPr>
          <w:lang w:val="en-GB"/>
        </w:rPr>
        <w:t xml:space="preserve">the </w:t>
      </w:r>
      <w:r w:rsidR="009F3196" w:rsidRPr="006D05D9">
        <w:rPr>
          <w:lang w:val="en-GB"/>
        </w:rPr>
        <w:t xml:space="preserve">new equation for maximum desk height </w:t>
      </w:r>
      <w:r w:rsidR="00BE4A43" w:rsidRPr="006D05D9">
        <w:rPr>
          <w:lang w:val="en-GB"/>
        </w:rPr>
        <w:t>c</w:t>
      </w:r>
      <w:r w:rsidR="009F3196" w:rsidRPr="006D05D9">
        <w:rPr>
          <w:lang w:val="en-GB"/>
        </w:rPr>
        <w:t>an be utilized while upholding health standards</w:t>
      </w:r>
      <w:r w:rsidR="009A2A08" w:rsidRPr="006D05D9">
        <w:rPr>
          <w:lang w:val="en-GB"/>
        </w:rPr>
        <w:t>, being</w:t>
      </w:r>
      <w:r w:rsidR="009F3196" w:rsidRPr="006D05D9">
        <w:rPr>
          <w:lang w:val="en-GB"/>
        </w:rPr>
        <w:t xml:space="preserve"> better suited to the practicalities found in educational settings.</w:t>
      </w:r>
    </w:p>
    <w:p w14:paraId="0855D103" w14:textId="77777777" w:rsidR="009F3196" w:rsidRPr="006D05D9" w:rsidRDefault="009F3196" w:rsidP="005C7D01">
      <w:pPr>
        <w:rPr>
          <w:b/>
          <w:bCs/>
          <w:sz w:val="26"/>
          <w:szCs w:val="26"/>
          <w:lang w:val="en-GB"/>
        </w:rPr>
      </w:pPr>
    </w:p>
    <w:p w14:paraId="48BFB323" w14:textId="4EDE60AF" w:rsidR="009603AC" w:rsidRPr="006D05D9" w:rsidRDefault="00A42D69" w:rsidP="005C7D01">
      <w:pPr>
        <w:rPr>
          <w:b/>
          <w:bCs/>
          <w:lang w:val="en-GB"/>
        </w:rPr>
      </w:pPr>
      <w:r w:rsidRPr="006D05D9">
        <w:rPr>
          <w:b/>
          <w:bCs/>
          <w:lang w:val="en-GB"/>
        </w:rPr>
        <w:t>Keywords:</w:t>
      </w:r>
      <w:r w:rsidR="0070555D" w:rsidRPr="006D05D9">
        <w:rPr>
          <w:b/>
          <w:bCs/>
          <w:lang w:val="en-GB"/>
        </w:rPr>
        <w:t xml:space="preserve"> </w:t>
      </w:r>
      <w:r w:rsidR="00A17D42" w:rsidRPr="006D05D9">
        <w:rPr>
          <w:lang w:val="en-GB"/>
        </w:rPr>
        <w:t xml:space="preserve">Seat to </w:t>
      </w:r>
      <w:r w:rsidR="0070555D" w:rsidRPr="006D05D9">
        <w:rPr>
          <w:lang w:val="en-GB"/>
        </w:rPr>
        <w:t>Desk</w:t>
      </w:r>
      <w:r w:rsidR="00467571" w:rsidRPr="006D05D9">
        <w:rPr>
          <w:lang w:val="en-GB"/>
        </w:rPr>
        <w:t xml:space="preserve"> height, design</w:t>
      </w:r>
      <w:r w:rsidR="009B63C4" w:rsidRPr="006D05D9">
        <w:rPr>
          <w:lang w:val="en-GB"/>
        </w:rPr>
        <w:t xml:space="preserve">, </w:t>
      </w:r>
      <w:r w:rsidR="00467571" w:rsidRPr="006D05D9">
        <w:rPr>
          <w:lang w:val="en-GB"/>
        </w:rPr>
        <w:t>anthropometry</w:t>
      </w:r>
    </w:p>
    <w:p w14:paraId="50615D2F" w14:textId="77777777" w:rsidR="009603AC" w:rsidRPr="006D05D9" w:rsidRDefault="009603AC" w:rsidP="005C7D01">
      <w:pPr>
        <w:rPr>
          <w:b/>
          <w:bCs/>
          <w:sz w:val="26"/>
          <w:szCs w:val="26"/>
          <w:lang w:val="en-GB"/>
        </w:rPr>
      </w:pPr>
    </w:p>
    <w:p w14:paraId="485C64A9" w14:textId="77777777" w:rsidR="009603AC" w:rsidRPr="006D05D9" w:rsidRDefault="009603AC" w:rsidP="005C7D01">
      <w:pPr>
        <w:rPr>
          <w:b/>
          <w:bCs/>
          <w:sz w:val="26"/>
          <w:szCs w:val="26"/>
          <w:lang w:val="en-GB"/>
        </w:rPr>
      </w:pPr>
    </w:p>
    <w:p w14:paraId="443D3543" w14:textId="77777777" w:rsidR="009603AC" w:rsidRPr="006D05D9" w:rsidRDefault="009603AC" w:rsidP="005C7D01">
      <w:pPr>
        <w:rPr>
          <w:b/>
          <w:bCs/>
          <w:sz w:val="26"/>
          <w:szCs w:val="26"/>
          <w:lang w:val="en-GB"/>
        </w:rPr>
      </w:pPr>
    </w:p>
    <w:p w14:paraId="55C0DBCC" w14:textId="77777777" w:rsidR="009603AC" w:rsidRPr="006D05D9" w:rsidRDefault="009603AC" w:rsidP="005C7D01">
      <w:pPr>
        <w:rPr>
          <w:b/>
          <w:bCs/>
          <w:sz w:val="26"/>
          <w:szCs w:val="26"/>
          <w:lang w:val="en-GB"/>
        </w:rPr>
      </w:pPr>
    </w:p>
    <w:p w14:paraId="071C4C24" w14:textId="77777777" w:rsidR="009603AC" w:rsidRPr="006D05D9" w:rsidRDefault="009603AC" w:rsidP="005C7D01">
      <w:pPr>
        <w:rPr>
          <w:b/>
          <w:bCs/>
          <w:sz w:val="26"/>
          <w:szCs w:val="26"/>
          <w:lang w:val="en-GB"/>
        </w:rPr>
      </w:pPr>
    </w:p>
    <w:p w14:paraId="3B696281" w14:textId="77777777" w:rsidR="006D528F" w:rsidRPr="006D05D9" w:rsidRDefault="006D528F">
      <w:pPr>
        <w:spacing w:after="160" w:line="259" w:lineRule="auto"/>
        <w:jc w:val="left"/>
        <w:rPr>
          <w:b/>
          <w:bCs/>
          <w:sz w:val="26"/>
          <w:szCs w:val="26"/>
          <w:lang w:val="en-GB"/>
        </w:rPr>
      </w:pPr>
      <w:r w:rsidRPr="006D05D9">
        <w:rPr>
          <w:b/>
          <w:bCs/>
          <w:sz w:val="26"/>
          <w:szCs w:val="26"/>
          <w:lang w:val="en-GB"/>
        </w:rPr>
        <w:br w:type="page"/>
      </w:r>
    </w:p>
    <w:p w14:paraId="7712AEA4" w14:textId="336B6E0B" w:rsidR="009A7E6B" w:rsidRPr="006D05D9" w:rsidRDefault="005C7D01" w:rsidP="005C7D01">
      <w:pPr>
        <w:rPr>
          <w:b/>
          <w:bCs/>
          <w:sz w:val="26"/>
          <w:szCs w:val="26"/>
          <w:lang w:val="en-GB"/>
        </w:rPr>
      </w:pPr>
      <w:r w:rsidRPr="006D05D9">
        <w:rPr>
          <w:b/>
          <w:bCs/>
          <w:sz w:val="26"/>
          <w:szCs w:val="26"/>
          <w:lang w:val="en-GB"/>
        </w:rPr>
        <w:lastRenderedPageBreak/>
        <w:t xml:space="preserve">1. </w:t>
      </w:r>
      <w:r w:rsidR="008A0730" w:rsidRPr="006D05D9">
        <w:rPr>
          <w:b/>
          <w:bCs/>
          <w:sz w:val="26"/>
          <w:szCs w:val="26"/>
          <w:lang w:val="en-GB"/>
        </w:rPr>
        <w:t>Introduction</w:t>
      </w:r>
    </w:p>
    <w:p w14:paraId="4E0C5A00" w14:textId="77777777" w:rsidR="00616D5A" w:rsidRPr="006D05D9" w:rsidRDefault="00616D5A" w:rsidP="005C7D01">
      <w:pPr>
        <w:rPr>
          <w:b/>
          <w:bCs/>
          <w:sz w:val="26"/>
          <w:szCs w:val="26"/>
          <w:lang w:val="en-GB"/>
        </w:rPr>
      </w:pPr>
    </w:p>
    <w:p w14:paraId="5821DAAA" w14:textId="38A22E35" w:rsidR="00C7287E" w:rsidRPr="000D7AC6" w:rsidRDefault="00DC4E5B" w:rsidP="00083312">
      <w:pPr>
        <w:ind w:firstLine="284"/>
        <w:rPr>
          <w:lang w:val="fr-FR"/>
        </w:rPr>
      </w:pPr>
      <w:r w:rsidRPr="006D05D9">
        <w:rPr>
          <w:lang w:val="en-GB"/>
        </w:rPr>
        <w:t>T</w:t>
      </w:r>
      <w:r w:rsidR="008A0730" w:rsidRPr="006D05D9">
        <w:rPr>
          <w:lang w:val="en-GB"/>
        </w:rPr>
        <w:t xml:space="preserve">he current educational model has determined that students </w:t>
      </w:r>
      <w:r w:rsidR="00632A62">
        <w:rPr>
          <w:lang w:val="en-GB"/>
        </w:rPr>
        <w:t>(</w:t>
      </w:r>
      <w:r w:rsidR="008A0730" w:rsidRPr="006D05D9">
        <w:rPr>
          <w:lang w:val="en-GB"/>
        </w:rPr>
        <w:t>and workers</w:t>
      </w:r>
      <w:r w:rsidR="00632A62">
        <w:rPr>
          <w:lang w:val="en-GB"/>
        </w:rPr>
        <w:t>)</w:t>
      </w:r>
      <w:r w:rsidR="008A0730" w:rsidRPr="006D05D9">
        <w:rPr>
          <w:lang w:val="en-GB"/>
        </w:rPr>
        <w:t xml:space="preserve"> are faced with completing long shifts (6 or 8 hours a day) in a seated position in classrooms </w:t>
      </w:r>
      <w:r w:rsidR="00632A62">
        <w:rPr>
          <w:lang w:val="en-GB"/>
        </w:rPr>
        <w:t>(</w:t>
      </w:r>
      <w:r w:rsidR="008A0730" w:rsidRPr="006D05D9">
        <w:rPr>
          <w:lang w:val="en-GB"/>
        </w:rPr>
        <w:t>or offices</w:t>
      </w:r>
      <w:r w:rsidR="00632A62">
        <w:rPr>
          <w:lang w:val="en-GB"/>
        </w:rPr>
        <w:t>)</w:t>
      </w:r>
      <w:r w:rsidR="008A0730" w:rsidRPr="006D05D9">
        <w:rPr>
          <w:lang w:val="en-GB"/>
        </w:rPr>
        <w:t xml:space="preserve"> around the world </w:t>
      </w:r>
      <w:r w:rsidR="00562DD7" w:rsidRPr="006D05D9">
        <w:rPr>
          <w:lang w:val="en-GB"/>
        </w:rPr>
        <w:t xml:space="preserve"> </w:t>
      </w:r>
      <w:r w:rsidR="00562DD7" w:rsidRPr="006D05D9">
        <w:rPr>
          <w:lang w:val="en-GB"/>
        </w:rPr>
        <w:fldChar w:fldCharType="begin" w:fldLock="1"/>
      </w:r>
      <w:r w:rsidR="00286DAD" w:rsidRPr="006D05D9">
        <w:rPr>
          <w:lang w:val="en-GB"/>
        </w:rPr>
        <w:instrText>ADDIN CSL_CITATION {"citationItems":[{"id":"ITEM-1","itemData":{"DOI":"10.1088/1757-899X/393/1/012111","ISSN":"1757899X","abstract":"© 2018 Institute of Physics Publishing. All rights reserved. Considering the amount of time school children spend in school, primarily sitting, classroom furniture has a crucial role in the maintenance of good sitting posture and should be designed to promote it. However, there are numerous studies that have reported unsuitability of school furniture and its mismatch with students' needs and anthropometric characteristics. This paper presents the results of research conducted among 100 students from a secondary technical school who were asked to answer to the questionnaire related to the comfort of furniture they use in the classroom for computer aided design, sitting posture they take as well as how it affects their psychophysical state and learning activities. Also, T-test analysis was conducted in order to determine whether there was statistically significant difference in opinion on the comfort of the furniture between first and fourth grade students. The results indicate that students do not feel totally comfortable when sitting at a computer in the classroom for computer aided design but that the discomfort does not have huge consequences on their mental and physical state (tiredness, pain, concentration and attention) during class.","author":[{"dropping-particle":"","family":"Gligorović","given":"B.","non-dropping-particle":"","parse-names":false,"suffix":""},{"dropping-particle":"","family":"Desnica","given":"E.","non-dropping-particle":"","parse-names":false,"suffix":""},{"dropping-particle":"","family":"Palinkaš","given":"I.","non-dropping-particle":"","parse-names":false,"suffix":""}],"container-title":"IOP Conference Series: Materials Science and Engineering","id":"ITEM-1","issue":"1","issued":{"date-parts":[["2018"]]},"title":"The importance of ergonomics in schools - Secondary technical school students' opinion on the comfort of furniture in the classroom for computer aided design","type":"article-journal","volume":"393"},"uris":["http://www.mendeley.com/documents/?uuid=52bd5098-c1f2-4771-8de0-2d3d328ab3c9"]},{"id":"ITEM-2","itemData":{"DOI":"10.1016/j.apergo.2019.102947","ISSN":"00036870","abstract":"There is increasing evidence that subjects who are exposed to long sitting periods suffer from musculoskeletal discomfort and back pain. The underlying mechanism and effective prevention strategies are still largely unknown. In this study, muscle stiffness of the back was measured in 59 office workers who followed their usual desk work regime for 4.5 h in a sitting posture. The sitting period was either followed by an 8-min roller massage intervention or a controlled standing task. Results showed that muscle stiffness increased significantly after the 4.5 h sitting period. When the sitting period was followed by roller massage, the stiffness values dropped slightly below baseline stiffness. In contrast, the stiffness values remained increased when the sitting period was followed by controlled standing. This study indicates that short-duration tissue manipulation can be an effective active break between prolonged sitting periods to prevent musculoskeletal issues, such as musculoskeletal discomfort and back pain.","author":[{"dropping-particle":"","family":"Kett","given":"Alexander Robert","non-dropping-particle":"","parse-names":false,"suffix":""},{"dropping-particle":"","family":"Sichting","given":"Freddy","non-dropping-particle":"","parse-names":false,"suffix":""}],"container-title":"Applied Ergonomics","id":"ITEM-2","issue":"May 2019","issued":{"date-parts":[["2020"]]},"page":"102947","publisher":"Elsevier","title":"Sedentary behaviour at work increases muscle stiffness of the back: Why roller massage has potential as an active break intervention","type":"article-journal","volume":"82"},"uris":["http://www.mendeley.com/documents/?uuid=0a0c4ec4-5e89-4158-803d-7bff9fbe9e5b"]}],"mendeley":{"formattedCitation":"(Gligorović et al., 2018; Kett and Sichting, 2020)","plainTextFormattedCitation":"(Gligorović et al., 2018; Kett and Sichting, 2020)","previouslyFormattedCitation":"(Gligorović et al., 2018; Kett and Sichting, 2020)"},"properties":{"noteIndex":0},"schema":"https://github.com/citation-style-language/schema/raw/master/csl-citation.json"}</w:instrText>
      </w:r>
      <w:r w:rsidR="00562DD7" w:rsidRPr="006D05D9">
        <w:rPr>
          <w:lang w:val="en-GB"/>
        </w:rPr>
        <w:fldChar w:fldCharType="separate"/>
      </w:r>
      <w:r w:rsidR="00286DAD" w:rsidRPr="006D05D9">
        <w:rPr>
          <w:lang w:val="en-GB"/>
        </w:rPr>
        <w:t>(Gligorović et al., 2018; Kett and Sichting, 2020)</w:t>
      </w:r>
      <w:r w:rsidR="00562DD7" w:rsidRPr="006D05D9">
        <w:rPr>
          <w:lang w:val="en-GB"/>
        </w:rPr>
        <w:fldChar w:fldCharType="end"/>
      </w:r>
      <w:r w:rsidR="002D6549" w:rsidRPr="006D05D9">
        <w:rPr>
          <w:lang w:val="en-GB"/>
        </w:rPr>
        <w:t xml:space="preserve"> </w:t>
      </w:r>
      <w:r w:rsidR="00D65655" w:rsidRPr="006D05D9">
        <w:rPr>
          <w:lang w:val="en-GB"/>
        </w:rPr>
        <w:t xml:space="preserve">that </w:t>
      </w:r>
      <w:r w:rsidR="008A0730" w:rsidRPr="006D05D9">
        <w:rPr>
          <w:lang w:val="en-GB"/>
        </w:rPr>
        <w:t xml:space="preserve">forces a static, restricted, and uncomfortable posture, which over time </w:t>
      </w:r>
      <w:r w:rsidR="006C340D" w:rsidRPr="006D05D9">
        <w:rPr>
          <w:lang w:val="en-GB"/>
        </w:rPr>
        <w:t xml:space="preserve">can be </w:t>
      </w:r>
      <w:r w:rsidR="008A0730" w:rsidRPr="006D05D9">
        <w:rPr>
          <w:lang w:val="en-GB"/>
        </w:rPr>
        <w:t xml:space="preserve">harmful to health. </w:t>
      </w:r>
      <w:r w:rsidRPr="006D05D9">
        <w:rPr>
          <w:lang w:val="en-GB"/>
        </w:rPr>
        <w:t xml:space="preserve"> Castellucci et al </w:t>
      </w:r>
      <w:r w:rsidRPr="006D05D9">
        <w:rPr>
          <w:lang w:val="en-GB"/>
        </w:rPr>
        <w:fldChar w:fldCharType="begin" w:fldLock="1"/>
      </w:r>
      <w:r w:rsidR="00562DD7" w:rsidRPr="006D05D9">
        <w:rPr>
          <w:lang w:val="en-GB"/>
        </w:rPr>
        <w:instrText>ADDIN CSL_CITATION {"citationItems":[{"id":"ITEM-1","itemData":{"DOI":"10.1080/00140139.2016.1170889","ISSN":"0014-0139","PMID":"27015656","author":[{"dropping-particle":"","family":"Castellucci","given":"H. I.","non-dropping-particle":"","parse-names":false,"suffix":""},{"dropping-particle":"","family":"Arezes","given":"P. M.","non-dropping-particle":"","parse-names":false,"suffix":""},{"dropping-particle":"","family":"Molenbroek","given":"J. F. M.","non-dropping-particle":"","parse-names":false,"suffix":""},{"dropping-particle":"","family":"Bruin","given":"R.","non-dropping-particle":"de","parse-names":false,"suffix":""},{"dropping-particle":"","family":"Viviani","given":"C.","non-dropping-particle":"","parse-names":false,"suffix":""}],"container-title":"Ergonomics","id":"ITEM-1","issue":"1","issued":{"date-parts":[["2017"]]},"page":"93-110","publisher":"Taylor &amp; Francis","title":"The influence of school furniture on students’ performance and physical responses: results of a systematic review","type":"article-journal","volume":"60"},"uris":["http://www.mendeley.com/documents/?uuid=b67d2d56-2885-4cce-996f-cb188b2a702d"]}],"mendeley":{"formattedCitation":"(Castellucci et al., 2017)","manualFormatting":"(2017)","plainTextFormattedCitation":"(Castellucci et al., 2017)","previouslyFormattedCitation":"(Castellucci et al., 2017)"},"properties":{"noteIndex":0},"schema":"https://github.com/citation-style-language/schema/raw/master/csl-citation.json"}</w:instrText>
      </w:r>
      <w:r w:rsidRPr="006D05D9">
        <w:rPr>
          <w:lang w:val="en-GB"/>
        </w:rPr>
        <w:fldChar w:fldCharType="separate"/>
      </w:r>
      <w:r w:rsidRPr="006D05D9">
        <w:rPr>
          <w:lang w:val="en-GB"/>
        </w:rPr>
        <w:t>(2017)</w:t>
      </w:r>
      <w:r w:rsidRPr="006D05D9">
        <w:rPr>
          <w:lang w:val="en-GB"/>
        </w:rPr>
        <w:fldChar w:fldCharType="end"/>
      </w:r>
      <w:r w:rsidRPr="006D05D9">
        <w:rPr>
          <w:lang w:val="en-GB"/>
        </w:rPr>
        <w:t xml:space="preserve"> found that a change in school furniture dimensions (better fit or match) resulted in an improvement in posture,</w:t>
      </w:r>
      <w:r w:rsidR="00F528C1" w:rsidRPr="006D05D9">
        <w:rPr>
          <w:lang w:val="en-GB"/>
        </w:rPr>
        <w:t xml:space="preserve"> muscle activity</w:t>
      </w:r>
      <w:r w:rsidRPr="006D05D9">
        <w:rPr>
          <w:lang w:val="en-GB"/>
        </w:rPr>
        <w:t xml:space="preserve"> and </w:t>
      </w:r>
      <w:r w:rsidR="00000EDA" w:rsidRPr="006D05D9">
        <w:rPr>
          <w:lang w:val="en-GB"/>
        </w:rPr>
        <w:t>a reduction in</w:t>
      </w:r>
      <w:r w:rsidR="00EB4898" w:rsidRPr="006D05D9">
        <w:rPr>
          <w:lang w:val="en-GB"/>
        </w:rPr>
        <w:t xml:space="preserve"> </w:t>
      </w:r>
      <w:r w:rsidRPr="006D05D9">
        <w:rPr>
          <w:lang w:val="en-GB"/>
        </w:rPr>
        <w:t xml:space="preserve">discomfort/pain. </w:t>
      </w:r>
      <w:r w:rsidR="00272F1A" w:rsidRPr="006D05D9">
        <w:rPr>
          <w:lang w:val="en-GB"/>
        </w:rPr>
        <w:t>Students</w:t>
      </w:r>
      <w:r w:rsidRPr="006D05D9">
        <w:rPr>
          <w:lang w:val="en-GB"/>
        </w:rPr>
        <w:t xml:space="preserve"> are usually exposed to furniture with fixed dimensions, which makes it almost impossible to adjust to the anthropometric changes they suffer </w:t>
      </w:r>
      <w:r w:rsidR="00050CCC" w:rsidRPr="006D05D9">
        <w:rPr>
          <w:lang w:val="en-GB"/>
        </w:rPr>
        <w:t>during</w:t>
      </w:r>
      <w:r w:rsidRPr="006D05D9">
        <w:rPr>
          <w:lang w:val="en-GB"/>
        </w:rPr>
        <w:t xml:space="preserve"> their school life. The main reason for not having height adjustable school furniture is mainly due to viability issues related to increased costs and maintenance requirements, both of great concern for the school system in general. For the same reasons, international standards use grading/scalability technique</w:t>
      </w:r>
      <w:r w:rsidR="009E03AD" w:rsidRPr="006D05D9">
        <w:rPr>
          <w:lang w:val="en-GB"/>
        </w:rPr>
        <w:t>s</w:t>
      </w:r>
      <w:r w:rsidRPr="006D05D9">
        <w:rPr>
          <w:lang w:val="en-GB"/>
        </w:rPr>
        <w:t xml:space="preserve"> which </w:t>
      </w:r>
      <w:r w:rsidR="009E03AD" w:rsidRPr="006D05D9">
        <w:rPr>
          <w:lang w:val="en-GB"/>
        </w:rPr>
        <w:t>are</w:t>
      </w:r>
      <w:r w:rsidRPr="006D05D9">
        <w:rPr>
          <w:lang w:val="en-GB"/>
        </w:rPr>
        <w:t xml:space="preserve"> based on the use of different equations to define sizes (e.g. clothing S, M, L, XL, XXL)</w:t>
      </w:r>
      <w:r w:rsidR="00786EDD" w:rsidRPr="006D05D9">
        <w:rPr>
          <w:lang w:val="en-GB"/>
        </w:rPr>
        <w:t xml:space="preserve"> </w:t>
      </w:r>
      <w:r w:rsidR="00562DD7" w:rsidRPr="006D05D9">
        <w:rPr>
          <w:lang w:val="en-GB"/>
        </w:rPr>
        <w:fldChar w:fldCharType="begin" w:fldLock="1"/>
      </w:r>
      <w:r w:rsidR="00286DAD" w:rsidRPr="006D05D9">
        <w:rPr>
          <w:lang w:val="en-GB"/>
        </w:rPr>
        <w:instrText>ADDIN CSL_CITATION {"citationItems":[{"id":"ITEM-1","itemData":{"DOI":"10.1177/10648046211067290","ISSN":"1064-8046","author":[{"dropping-particle":"","family":"Bruin","given":"Renate","non-dropping-particle":"de","parse-names":false,"suffix":""},{"dropping-particle":"","family":"Castellucci","given":"Héctor I.","non-dropping-particle":"","parse-names":false,"suffix":""}],"container-title":"Ergonomics in Design: The Quarterly of Human Factors Applications","id":"ITEM-1","issued":{"date-parts":[["2022","3","3"]]},"page":"106480462110672","title":"School Furniture and Anthropometric Fit, the Gap Between Theory and Practice","type":"article-journal"},"uris":["http://www.mendeley.com/documents/?uuid=6f3c1f60-6fd1-40e5-a295-fb04156b6743"]}],"mendeley":{"formattedCitation":"(de Bruin and Castellucci, 2022)","plainTextFormattedCitation":"(de Bruin and Castellucci, 2022)","previouslyFormattedCitation":"(de Bruin and Castellucci, 2022)"},"properties":{"noteIndex":0},"schema":"https://github.com/citation-style-language/schema/raw/master/csl-citation.json"}</w:instrText>
      </w:r>
      <w:r w:rsidR="00562DD7" w:rsidRPr="006D05D9">
        <w:rPr>
          <w:lang w:val="en-GB"/>
        </w:rPr>
        <w:fldChar w:fldCharType="separate"/>
      </w:r>
      <w:r w:rsidR="00286DAD" w:rsidRPr="006D05D9">
        <w:rPr>
          <w:lang w:val="en-GB"/>
        </w:rPr>
        <w:t>(de Bruin and Castellucci, 2022)</w:t>
      </w:r>
      <w:r w:rsidR="00562DD7" w:rsidRPr="006D05D9">
        <w:rPr>
          <w:lang w:val="en-GB"/>
        </w:rPr>
        <w:fldChar w:fldCharType="end"/>
      </w:r>
      <w:r w:rsidRPr="006D05D9">
        <w:rPr>
          <w:lang w:val="en-GB"/>
        </w:rPr>
        <w:t>.</w:t>
      </w:r>
      <w:r w:rsidR="003A67E4" w:rsidRPr="006D05D9">
        <w:rPr>
          <w:lang w:val="en-GB"/>
        </w:rPr>
        <w:t xml:space="preserve"> T</w:t>
      </w:r>
      <w:r w:rsidR="005604A4" w:rsidRPr="006D05D9">
        <w:rPr>
          <w:lang w:val="en-GB"/>
        </w:rPr>
        <w:t>he</w:t>
      </w:r>
      <w:r w:rsidR="00F42D77" w:rsidRPr="006D05D9">
        <w:rPr>
          <w:lang w:val="en-GB"/>
        </w:rPr>
        <w:t>se</w:t>
      </w:r>
      <w:r w:rsidR="005604A4" w:rsidRPr="006D05D9">
        <w:rPr>
          <w:lang w:val="en-GB"/>
        </w:rPr>
        <w:t xml:space="preserve"> equations</w:t>
      </w:r>
      <w:r w:rsidR="005979A9" w:rsidRPr="006D05D9">
        <w:rPr>
          <w:lang w:val="en-GB"/>
        </w:rPr>
        <w:t xml:space="preserve"> are widely used worldwid</w:t>
      </w:r>
      <w:r w:rsidR="009E12ED" w:rsidRPr="006D05D9">
        <w:rPr>
          <w:lang w:val="en-GB"/>
        </w:rPr>
        <w:t>e</w:t>
      </w:r>
      <w:r w:rsidR="005979A9" w:rsidRPr="006D05D9">
        <w:rPr>
          <w:lang w:val="en-GB"/>
        </w:rPr>
        <w:t xml:space="preserve">, specifically </w:t>
      </w:r>
      <w:r w:rsidR="008A61E0" w:rsidRPr="006D05D9">
        <w:rPr>
          <w:lang w:val="en-GB"/>
        </w:rPr>
        <w:t xml:space="preserve">prescribing </w:t>
      </w:r>
      <w:r w:rsidR="005604A4" w:rsidRPr="006D05D9">
        <w:rPr>
          <w:lang w:val="en-GB"/>
        </w:rPr>
        <w:t>school furniture dimensions (standards) or to evaluate the level of match/mismatch between anthropometric measures</w:t>
      </w:r>
      <w:r w:rsidR="00481F54" w:rsidRPr="006D05D9">
        <w:rPr>
          <w:lang w:val="en-GB"/>
        </w:rPr>
        <w:t xml:space="preserve"> </w:t>
      </w:r>
      <w:r w:rsidR="00BE40A8" w:rsidRPr="006D05D9">
        <w:rPr>
          <w:lang w:val="en-GB"/>
        </w:rPr>
        <w:fldChar w:fldCharType="begin" w:fldLock="1"/>
      </w:r>
      <w:r w:rsidR="009A0BC8" w:rsidRPr="006D05D9">
        <w:rPr>
          <w:lang w:val="en-GB"/>
        </w:rPr>
        <w:instrText>ADDIN CSL_CITATION {"citationItems":[{"id":"ITEM-1","itemData":{"DOI":"10.1016/j.ergon.2019.102864","ISSN":"18728219","abstract":"The appropriate design of tools, equipment and accessories for human body sizes, while meeting the social, cultural, economic and psychological needs of people, provides maximum benefit. This is crucial for students who spend most of their time using school furniture. The aim of the study is to investigate the mismatch between school furniture dimensions and students’ anthropometric measures. Nine anthropometric measures were taken of 225 students (68 female and 157 male) from nine departments of an engineering faculty using a specially designed measurement tool. The mismatch percentages between the existing classroom furniture dimensions and the anthropometric measures were determined using some well-known criterion equations. The results indicated a considerable mismatch: 44.45% for seat height, 100% for seat depth, and 21.28% for desk height. Two types of proposed classroom furniture achieved much higher percentage matches. The match percentages were above 70% for four dimensions for type A and above 95%, except for seat height and width of backrest, for all of the dimensions for both types. Relevance to industry: This study helps in establishing and motivating necessary further studies in classroom ergonomics in university settings.","author":[{"dropping-particle":"","family":"Kahya","given":"Emin","non-dropping-particle":"","parse-names":false,"suffix":""}],"container-title":"International Journal of Industrial Ergonomics","id":"ITEM-1","issue":"October","issued":{"date-parts":[["2019"]]},"page":"102864","publisher":"Elsevier B.V.","title":"Mismatch between classroom furniture and anthropometric measures of university students","type":"article-journal","volume":"74"},"uris":["http://www.mendeley.com/documents/?uuid=686ee12d-5cd2-4412-8d48-879a8c7bfde4"]},{"id":"ITEM-2","itemData":{"DOI":"10.1080/1463922X.2020.1753259","ISSN":"1464536X","abstract":"Children spend most of their school time in classrooms and in seating positions; therefore, the use of ill-fitted classroom furniture can cause discomfort and irritation, and predispose users to musculoskeletal disorders. The aim of this study was to survey the anthropometric measures of selected secondary school children in Akure, Nigeria, and to conduct an ergonomic evaluation of the classroom furniture available to the school children. Three hundred and seventy-five children (188 males and 187 females) aged 10 to 17 and across three schools were selected for the study. The anthropometric measures of the children were taken using a standard anthropometer while the dimensions of the classroom furniture were also taken using an inextensible tape measure. The mean values for most anthropometric measures were observed to be slightly higher in females than in males. Furthermore, 43% of the males and 42% of the females were observed to have seat height mismatches while 52% of males and 37% of females were observed to have seat depth mismatches. All the participants were observed to record a seat-desk height mismatch. The evidence presented shows that the classroom furniture available to the children does not suit a large number of the users.","author":[{"dropping-particle":"","family":"Obinna","given":"Fidelis P.","non-dropping-particle":"","parse-names":false,"suffix":""},{"dropping-particle":"","family":"Sunday","given":"Adelakun A.","non-dropping-particle":"","parse-names":false,"suffix":""},{"dropping-particle":"","family":"Babatunde","given":"Ogunlade","non-dropping-particle":"","parse-names":false,"suffix":""}],"container-title":"Theoretical Issues in Ergonomics Science","id":"ITEM-2","issue":"1","issued":{"date-parts":[["2021"]]},"page":"1-14","publisher":"Taylor &amp; Francis","title":"Ergonomic assessment and health implications of classroom furniture designs in secondary schools: a case study","type":"article-journal","volume":"22"},"uris":["http://www.mendeley.com/documents/?uuid=cd267da4-7444-4603-8bd2-8c05e2b396b3"]},{"id":"ITEM-3","itemData":{"DOI":"10.1080/1463922X.2019.1617909","ISSN":"1464536X","abstract":"University students spend most of their time in classrooms, mostly in a sitting position. Prolonged sitting on ill-fitted furniture and the resulting bad posture is making students suffer from different musculoskeletal disorders (MSDs). This study evaluates the potential mismatch between furniture dimensions and anthropometric measurements. To determine potential mismatch, 13 anthropometric measurements of 550 students and 11 dimensions of two types of classroom furniture (mounted-desktop and chair-with-table) were measured and then compared. Additionally, chi-square test was performed to compare the relation between anthropometry and relevant furniture dimensions. Results showed that a significant number of mismatches emerged between anthropometric measurements and furniture dimensions. For both types of furniture, seat height was too high and seat depth was too deep. Moreover, for mounted desktop, desk height is almost appropriate for all students whereas for chair and table, it was too high for the males. These circumstances may lead to increase discomfort and increase MSDs problems among all students. It can be concluded that the dimensions of both types of classroom furniture were not appropriate for users according to anthropometric measurements. This analysis recommends the measurements of furniture dimensions based on participants’ anthropometric measurements to avoid or minimise discomfort and MSDs problems.","author":[{"dropping-particle":"","family":"Parvez","given":"M. S.","non-dropping-particle":"","parse-names":false,"suffix":""},{"dropping-particle":"","family":"Rahman","given":"A.","non-dropping-particle":"","parse-names":false,"suffix":""},{"dropping-particle":"","family":"Tasnim","given":"N.","non-dropping-particle":"","parse-names":false,"suffix":""}],"container-title":"Theoretical Issues in Ergonomics Science","id":"ITEM-3","issue":"5","issued":{"date-parts":[["2019"]]},"page":"603-631","publisher":"Taylor &amp; Francis","title":"Ergonomic mismatch between students anthropometry and university classroom furniture","type":"article-journal","volume":"20"},"uris":["http://www.mendeley.com/documents/?uuid=64623199-7744-4c43-b5ec-bc80e0e50772"]},{"id":"ITEM-4","itemData":{"DOI":"10.1016/j.apergo.2020.103273","ISSN":"00036870","abstract":"Anthropometry is critical for product and workplace design. Highly prevalent, office work is associated with sedentarism and physical discomfort due to prolonged sitting. Dynamic seating (alternating across sitting, perching, and standing) has been suggested as an alternative to overcome those problems. The current study tested a large sample of anthropometric data for mismatch levels against national and international office furniture standards using dynamic seating as a framework with traditional and perching mismatch equations, applied to three recommended dynamic seating components. Dimensions present in the standards used did not match the majority of the sample. For sitting, seat width and depth individually presented the lowest levels of match, as well as under cumulative fit of all office furniture dimensions. However, these were alleviated when incorporating adjustability. Perching was shown to be generally impeded given commercially-available chair height options. Limitations in state-of-the-art perching equations are discussed, and two new models are proposed as design alternatives. Further research should focus on testing the criteria presented in this research through discomfort and objective measures.","author":[{"dropping-particle":"","family":"Castellucci","given":"Héctor Ignacio","non-dropping-particle":"","parse-names":false,"suffix":""},{"dropping-particle":"","family":"Viviani","given":"Carlos","non-dropping-particle":"","parse-names":false,"suffix":""},{"dropping-particle":"","family":"Arezes","given":"Pedro","non-dropping-particle":"","parse-names":false,"suffix":""},{"dropping-particle":"","family":"Molenbroek","given":"Johan F.M.","non-dropping-particle":"","parse-names":false,"suffix":""},{"dropping-particle":"","family":"Martínez","given":"Marta","non-dropping-particle":"","parse-names":false,"suffix":""},{"dropping-particle":"","family":"Aparici","given":"Verónica","non-dropping-particle":"","parse-names":false,"suffix":""}],"container-title":"Applied Ergonomics","id":"ITEM-4","issued":{"date-parts":[["2021","1"]]},"page":"103273","title":"Application of mismatch equations in dynamic seating designs","type":"article-journal","volume":"90"},"uris":["http://www.mendeley.com/documents/?uuid=74d84e21-b7d0-4a71-a2f2-77e8bc536860"]},{"id":"ITEM-5","itemData":{"DOI":"10.1080/19411243.2018.1538843","ISSN":"19411251","abstract":"Background: Considering the amount of time children spend sitting in school, concerns about the consequences of an improper sitting position have been raised. Purpose: Evaluate the outcome of an occupational therapy intervention implemented to reduce child-furniture incompatibility. Methods: Repeated-measures design utilizing a within-subject comparison. Teachers’ competence in promoting children’s positioning (N = 14 teachers) and child-furniture incompatibility (N = 171 children) was measured. Findings: A statistically significant increase in teachers’ competence was measured, as well as a decrease in desk-height incompatibility. Seat-height incompatibility remained unchanged. Implications: Evaluating the impact of workshops remains essential to ascertain the effectiveness of our interventions.","author":[{"dropping-particle":"","family":"Cantin","given":"Noémi","non-dropping-particle":"","parse-names":false,"suffix":""},{"dropping-particle":"","family":"Delisle","given":"Isabelle","non-dropping-particle":"","parse-names":false,"suffix":""},{"dropping-particle":"","family":"Baillargeon","given":"Manon","non-dropping-particle":"","parse-names":false,"suffix":""}],"container-title":"Journal of Occupational Therapy, Schools, and Early Intervention","id":"ITEM-5","issue":"2","issued":{"date-parts":[["2019"]]},"page":"200-209","publisher":"Taylor &amp; Francis","title":"Reducing Child-Furniture Incompatibility in Primary Schools","type":"article-journal","volume":"12"},"uris":["http://www.mendeley.com/documents/?uuid=86b81b73-1359-4692-9710-50972e382853"]},{"id":"ITEM-6","itemData":{"DOI":"10.1016/j.apergo.2012.09.008","ISSN":"1872-9126","PMID":"23141959","abstract":"STUDY DESIGN: Descriptive study.\n\nOBJECTIVE: The objective of this study was to present anthropometric data from high school students in Cape Metropole area, Western Cape, South Africa that are relevant for chair design and whether the dimensions of computer laboratory chairs currently used in high schools match linear anthropometrics of high-school students. Summary of Background Data. Learner-chair mismatch is proposed as a cause of poor postural alignment and spinal pain in adolescents. A learner-chair mismatch is defined as the incompatibility between the dimensions of a chair and the anthropometric dimensions of the learner. Currently, there is no published research to ascertain whether the furniture dimensions in school computer laboratories match the anthropometrics of the students. This may contribute to the high prevalence of adolescent spinal pain.\n\nMETHODS: The sample consisted of 689 learners, 13-18 years old. The following body dimensions were measured: stature, popliteal height, buttock-to-popliteal length and hip width. These measurements were matched with the corresponding chair seat dimensions: height, depth and width. Popliteal and seat height mismatch was defined when the seat height is either &gt;95% or &lt;88% of the popliteal height. Buttock-popliteal length and seat depth mismatch was defined when the seat depth is either &gt;95% or &lt;80% of the buttock-popliteal length. Seat width mismatch is defined where the seat width should be at least 10% and at the most 30% larger than hip width.\n\nRESULTS: An 89% of learners did not match the seat. Five percent of learners matched the chair depth, the majority was found to be too big. In contrast, 65% of the learners matched the chair width dimension.\n\nCONCLUSIONS: A substantial mismatch was found. The school chairs failed standard ergonomics recommendations for the design of furniture to fit the user. This study supports the conclusion that there is no one-size-fits-all solution. There is an urgent need for chairs that are of different sizes or that are adjustable.","author":[{"dropping-particle":"","family":"Niekerk","given":"Sjan-Mari","non-dropping-particle":"van","parse-names":false,"suffix":""},{"dropping-particle":"","family":"Louw","given":"Quinette Abigail","non-dropping-particle":"","parse-names":false,"suffix":""},{"dropping-particle":"","family":"Grimmer-Somers","given":"Karen","non-dropping-particle":"","parse-names":false,"suffix":""},{"dropping-particle":"","family":"Harvey","given":"Justin","non-dropping-particle":"","parse-names":false,"suffix":""},{"dropping-particle":"","family":"Hendry","given":"Kevan John","non-dropping-particle":"","parse-names":false,"suffix":""}],"container-title":"Applied ergonomics","id":"ITEM-6","issue":"3","issued":{"date-parts":[["2013","5"]]},"page":"366-71","publisher":"Elsevier Ltd","title":"The anthropometric match between high school learners of the Cape Metropole area, Western Cape, South Africa and their computer workstation at school.","type":"article-journal","volume":"44"},"uris":["http://www.mendeley.com/documents/?uuid=09475dd4-78ac-402f-ac49-afa4405db2f1"]},{"id":"ITEM-7","itemData":{"DOI":"10.1016/j.apergo.2016.06.020","ISSN":"18729126","PMID":"27633234","abstract":"In a primary education classroom of any country, children of the same age have very different statures, reaching variations of 200??mm (Gon??alves, 2012). However, the school furniture provided is not suitable or adaptable to these differences. Designing school furniture able to respond to these variations is, therefore, a challenge for ergonomics and design in a global market. It is clearly not viable for industries to adapt productions for each country. When competitiveness and limitation of resources are essential for the viability of any product it becomes essential to find a universal system adapted to the requisites of any country. Taking as prescription measure the popliteal height obtained from the data of different countries, a universal measurement system for the school chair and desk set is proposed, combining the ellipse methodology used by Molenbroek et??al. (2003) and the (mis)match equations mentioned by Castellucci et??al. (2014b). From the results obtained, it can be concluded that only 5 sizes are needed to implement this new measurement system of evolutionary school furniture for the primary education classroom.","author":[{"dropping-particle":"","family":"Carneiro","given":"Vitor","non-dropping-particle":"","parse-names":false,"suffix":""},{"dropping-particle":"","family":"Gomes","given":"Angela","non-dropping-particle":"","parse-names":false,"suffix":""},{"dropping-particle":"","family":"Rangel","given":"Barbara","non-dropping-particle":"","parse-names":false,"suffix":""}],"container-title":"Applied Ergonomics","id":"ITEM-7","issued":{"date-parts":[["2017"]]},"page":"372-385","title":"Proposal for a universal measurement system for school chairs and desks for children from 6 to 10 years old","type":"article-journal","volume":"58"},"uris":["http://www.mendeley.com/documents/?uuid=e98d9931-dc74-45fe-a64d-0b4e4dcd2ab3"]},{"id":"ITEM-8","itemData":{"DOI":"10.1177/0018720814533991","ISSN":"0018-7208","PMID":"25790570","abstract":"OBJECTIVE: The aim of this study was to investigate mismatch between students and classroom furniture dimensions and evaluate the improvement in implementing the European furniture standard.\\n\\nBACKGROUND: In Portugal, school furniture does not meet any national ergonomic criteria, so it cannot fit students' anthropometric measures.\\n\\nMETHOD: A total of 893 students belonging to third (7th through 9th grades) and secondary (10th through 12th grades) cycles participated in the study. Anthropometric measurements of the students were gathered in several physical education classes. The furniture dimensions were measured for two models of tables and seats. Several two-way equations for match criteria based on published studies were applied to data.\\n\\nRESULTS: The percentage of students who match with classroom furniture dimensions is low (24% and 44% between table and students, 4% and 9% between seat and students at 7th and 12th grades, respectively). Table is high for the third cycle, seat is high for both cycles, and seat depth fits well to students. No significant relationship was found between ergonomic mismatch and prevalence of pain.\\n\\nCONCLUSION: For each cycle, at least two different sizes indicated in the European standard should be available to students, considering the large variability in body dimensions within each cycle. The match criteria used gives a large percentage of students without pain in a mismatch situation.\\n\\nAPPLICATION: Future measures applying to secondary schools should revise the decision of selecting a single size of classroom furniture and improve the implementation of the European standard. New criteria for ergonomic mismatch are needed that more closely model the responses about discomfort/pain.","author":[{"dropping-particle":"","family":"Macedo","given":"Angela C","non-dropping-particle":"","parse-names":false,"suffix":""},{"dropping-particle":"V","family":"Morais","given":"André","non-dropping-particle":"","parse-names":false,"suffix":""},{"dropping-particle":"","family":"Martins","given":"Henriqueta F","non-dropping-particle":"","parse-names":false,"suffix":""},{"dropping-particle":"","family":"Martins","given":"João C","non-dropping-particle":"","parse-names":false,"suffix":""},{"dropping-particle":"","family":"Pais","given":"Silvina M","non-dropping-particle":"","parse-names":false,"suffix":""},{"dropping-particle":"","family":"Mayan","given":"Olga S","non-dropping-particle":"","parse-names":false,"suffix":""}],"container-title":"Human factors","id":"ITEM-8","issue":"1","issued":{"date-parts":[["2015"]]},"page":"48-60","title":"Match between classroom dimensions and students' anthropometry: re-equipment according to European educational furniture standard.","type":"article-journal","volume":"57"},"uris":["http://www.mendeley.com/documents/?uuid=ddf67ed0-e92c-469c-94e7-995f32598c45"]},{"id":"ITEM-9","itemData":{"DOI":"10.1016/j.apergo.2017.03.004","ISSN":"18729126","PMID":"28411727","abstract":"In Indonesia, National Standardization Agency of Indonesia issued the Indonesian National Standard SNI 12-1015-1989 and SNI 12-1016-1989 to define the type of furniture dimensions that should be used by children in the elementary school level. This study aims to examine whether the current national standards for elementary school furniture dimensions issued by National Standardization Agency of Indonesia match the up-to-date Indonesian children's anthropometry. Two types of school furniture, small type (Type I, for grade 1–3) and large type (Type II, for grade 4–6), were evaluated in terms of seat height, seat depth, seat width and backrest height of a chair as well as the height and underneath height of a desk. 1146 students aged between 6 and 12 years old participated in the study. Seven anthropometric measurements were taken including stature, sitting shoulder height, sitting elbow height, popliteal height, buttock-popliteal length, knee height and hip breadth. Based on the standard school furniture dimensions and students' body dimensions, numbers of matches and mismatches between them were computed. Results indicated a substantial degree of mismatch between children's anthropometry and the standard dimensions of school furniture. The standard seat height was not appropriate for students among different grades with the mismatch percentage ranging from 63.4% to 96.7% for Type I and 72.7% to 99.0% for Type II. For desk height, the standard dimensions were not appropriate for students among different grades with the mismatch percentage ranging from 32.3% to 88.9% for Type I and 67.7% to 99.0% for Type II. Apparently, the current standards are out of date and need to be updated. Four different sizes of school furniture were hence proposed to accommodate the variation in students' anthropometry from Grade 1 to Grade 6. The proposed standard dimensions (PrS) of school furniture cover a slightly broader range of age and present a higher cumulative fit than the current standard dimensions (CrS). In addition, a better strategy for sizing can be also developed to fit chairs and desks to a larger number of students.","author":[{"dropping-particle":"","family":"Yanto","given":"","non-dropping-particle":"","parse-names":false,"suffix":""},{"dropping-particle":"","family":"Lu","given":"Chih Wei","non-dropping-particle":"","parse-names":false,"suffix":""},{"dropping-particle":"","family":"Lu","given":"Jun Ming","non-dropping-particle":"","parse-names":false,"suffix":""}],"container-title":"Applied Ergonomics","id":"ITEM-9","issued":{"date-parts":[["2017"]]},"page":"168-181","publisher":"Elsevier Ltd","title":"Evaluation of the Indonesian National Standard for elementary school furniture based on children's anthropometry","type":"article-journal","volume":"62"},"uris":["http://www.mendeley.com/documents/?uuid=8211e29d-4f20-431b-a3d5-4feb1e0d96d9"]}],"mendeley":{"formattedCitation":"(Cantin et al., 2019; Carneiro et al., 2017; Castellucci et al., 2021; Kahya, 2019; Macedo et al., 2015; Obinna et al., 2021; Parvez et al., 2019; van Niekerk et al., 2013; Yanto et al., 2017)","plainTextFormattedCitation":"(Cantin et al., 2019; Carneiro et al., 2017; Castellucci et al., 2021; Kahya, 2019; Macedo et al., 2015; Obinna et al., 2021; Parvez et al., 2019; van Niekerk et al., 2013; Yanto et al., 2017)","previouslyFormattedCitation":"(Cantin et al., 2019; Carneiro et al., 2017; Castellucci et al., 2021; Kahya, 2019; Macedo et al., 2015; Obinna et al., 2021; Parvez et al., 2019; van Niekerk et al., 2013; Yanto et al., 2017)"},"properties":{"noteIndex":0},"schema":"https://github.com/citation-style-language/schema/raw/master/csl-citation.json"}</w:instrText>
      </w:r>
      <w:r w:rsidR="00BE40A8" w:rsidRPr="006D05D9">
        <w:rPr>
          <w:lang w:val="en-GB"/>
        </w:rPr>
        <w:fldChar w:fldCharType="separate"/>
      </w:r>
      <w:r w:rsidR="00354CC5" w:rsidRPr="006D05D9">
        <w:rPr>
          <w:lang w:val="en-GB"/>
        </w:rPr>
        <w:t>(Cantin et al., 2019; Carneiro et al., 2017; Castellucci et al., 2021; Kahya, 2019; Macedo et al., 2015; Obinna et al., 2021; Parvez et al., 2019; van Niekerk et al., 2013; Yanto et al., 2017)</w:t>
      </w:r>
      <w:r w:rsidR="00BE40A8" w:rsidRPr="006D05D9">
        <w:rPr>
          <w:lang w:val="en-GB"/>
        </w:rPr>
        <w:fldChar w:fldCharType="end"/>
      </w:r>
      <w:r w:rsidR="00064DCF" w:rsidRPr="006D05D9">
        <w:rPr>
          <w:lang w:val="en-GB"/>
        </w:rPr>
        <w:t xml:space="preserve">. </w:t>
      </w:r>
      <w:r w:rsidR="00A61E94" w:rsidRPr="006D05D9">
        <w:rPr>
          <w:lang w:val="en-GB"/>
        </w:rPr>
        <w:t>Regarding desk height</w:t>
      </w:r>
      <w:r w:rsidR="00931F55" w:rsidRPr="006D05D9">
        <w:rPr>
          <w:lang w:val="en-GB"/>
        </w:rPr>
        <w:t xml:space="preserve"> or sea</w:t>
      </w:r>
      <w:r w:rsidR="000879B4" w:rsidRPr="006D05D9">
        <w:rPr>
          <w:lang w:val="en-GB"/>
        </w:rPr>
        <w:t>t</w:t>
      </w:r>
      <w:r w:rsidR="00931F55" w:rsidRPr="006D05D9">
        <w:rPr>
          <w:lang w:val="en-GB"/>
        </w:rPr>
        <w:t xml:space="preserve"> to desk height</w:t>
      </w:r>
      <w:r w:rsidR="00A61E94" w:rsidRPr="006D05D9">
        <w:rPr>
          <w:lang w:val="en-GB"/>
        </w:rPr>
        <w:t xml:space="preserve">, there are different equations to define this dimension </w:t>
      </w:r>
      <w:r w:rsidR="00A61E94" w:rsidRPr="006D05D9">
        <w:rPr>
          <w:lang w:val="en-GB"/>
        </w:rPr>
        <w:fldChar w:fldCharType="begin" w:fldLock="1"/>
      </w:r>
      <w:r w:rsidR="00C50998" w:rsidRPr="006D05D9">
        <w:rPr>
          <w:lang w:val="en-GB"/>
        </w:rPr>
        <w:instrText>ADDIN CSL_CITATION {"citationItems":[{"id":"ITEM-1","itemData":{"DOI":"10.1016/j.ergon.2015.05.002","ISSN":"18728219","abstract":"The present study reviews the scientific literature that describes the criteria equations for defining the mismatch between students and school furniture. This mismatch may negatively affect students' performance and comfort. Seventeen studies met the criteria of this review and twenty-one equations to test six furniture dimensions were identified. There was substantial mismatch between the relative heights of chairs and tables. Some systematic errors have been found during the application of the different equations, such as the assumption that students are sitting on chairs with a proper seat height. Only one study considered the cumulative fit. Finally, some equations are based on contradictory criteria and need to develop and evaluate new equations for these cases. Relevance to industry: Ultimately, the present work is a contribution toward improving the evaluation of school furniture and could be used to design ergonomic-oriented classroom furniture.","author":[{"dropping-particle":"","family":"Castellucci","given":"H I","non-dropping-particle":"","parse-names":false,"suffix":""},{"dropping-particle":"","family":"Arezes","given":"P M","non-dropping-particle":"","parse-names":false,"suffix":""},{"dropping-particle":"","family":"Molenbroek","given":"J. F.M.","non-dropping-particle":"","parse-names":false,"suffix":""}],"container-title":"International Journal of Industrial Ergonomics","id":"ITEM-1","issued":{"date-parts":[["2015"]]},"page":"117-126","publisher":"Elsevier Ltd","title":"Equations for defining the mismatch between students and school furniture: A systematic review","type":"article-journal","volume":"48"},"uris":["http://www.mendeley.com/documents/?uuid=a15cfd78-9497-4c66-b031-48155c3e7fd0"]}],"mendeley":{"formattedCitation":"(Castellucci et al., 2015)","plainTextFormattedCitation":"(Castellucci et al., 2015)","previouslyFormattedCitation":"(Castellucci et al., 2015)"},"properties":{"noteIndex":0},"schema":"https://github.com/citation-style-language/schema/raw/master/csl-citation.json"}</w:instrText>
      </w:r>
      <w:r w:rsidR="00A61E94" w:rsidRPr="006D05D9">
        <w:rPr>
          <w:lang w:val="en-GB"/>
        </w:rPr>
        <w:fldChar w:fldCharType="separate"/>
      </w:r>
      <w:r w:rsidR="00A61E94" w:rsidRPr="006D05D9">
        <w:rPr>
          <w:lang w:val="en-GB"/>
        </w:rPr>
        <w:t>(Castellucci et al., 2015)</w:t>
      </w:r>
      <w:r w:rsidR="00A61E94" w:rsidRPr="006D05D9">
        <w:rPr>
          <w:lang w:val="en-GB"/>
        </w:rPr>
        <w:fldChar w:fldCharType="end"/>
      </w:r>
      <w:r w:rsidR="00A61E94" w:rsidRPr="006D05D9">
        <w:rPr>
          <w:lang w:val="en-GB"/>
        </w:rPr>
        <w:t>. The most used equation</w:t>
      </w:r>
      <w:r w:rsidR="002A4FA3" w:rsidRPr="006D05D9">
        <w:rPr>
          <w:lang w:val="en-GB"/>
        </w:rPr>
        <w:t xml:space="preserve"> </w:t>
      </w:r>
      <w:r w:rsidR="00750E2C" w:rsidRPr="006D05D9">
        <w:rPr>
          <w:lang w:val="en-GB"/>
        </w:rPr>
        <w:t xml:space="preserve">is </w:t>
      </w:r>
      <w:r w:rsidR="002A4FA3" w:rsidRPr="006D05D9">
        <w:rPr>
          <w:lang w:val="en-GB"/>
        </w:rPr>
        <w:t xml:space="preserve">based on Chaffin and Anderson’s principles (1991) and </w:t>
      </w:r>
      <w:r w:rsidR="00A9273C" w:rsidRPr="006D05D9">
        <w:rPr>
          <w:lang w:val="en-GB"/>
        </w:rPr>
        <w:t xml:space="preserve">was </w:t>
      </w:r>
      <w:r w:rsidR="002A4FA3" w:rsidRPr="006D05D9">
        <w:rPr>
          <w:lang w:val="en-GB"/>
        </w:rPr>
        <w:t>used for the first time in the context of school furniture by Parcells et al. (1999) and</w:t>
      </w:r>
      <w:r w:rsidR="003B2137" w:rsidRPr="006D05D9">
        <w:rPr>
          <w:lang w:val="en-GB"/>
        </w:rPr>
        <w:t xml:space="preserve"> is continued to be</w:t>
      </w:r>
      <w:r w:rsidR="002A4FA3" w:rsidRPr="006D05D9">
        <w:rPr>
          <w:lang w:val="en-GB"/>
        </w:rPr>
        <w:t xml:space="preserve"> used </w:t>
      </w:r>
      <w:r w:rsidR="003B2137" w:rsidRPr="006D05D9">
        <w:rPr>
          <w:lang w:val="en-GB"/>
        </w:rPr>
        <w:t xml:space="preserve">by </w:t>
      </w:r>
      <w:r w:rsidR="002A4FA3" w:rsidRPr="006D05D9">
        <w:rPr>
          <w:lang w:val="en-GB"/>
        </w:rPr>
        <w:t xml:space="preserve">different authors </w:t>
      </w:r>
      <w:r w:rsidR="002A4FA3" w:rsidRPr="006D05D9">
        <w:rPr>
          <w:lang w:val="en-GB"/>
        </w:rPr>
        <w:fldChar w:fldCharType="begin" w:fldLock="1"/>
      </w:r>
      <w:r w:rsidR="00286DAD" w:rsidRPr="006D05D9">
        <w:rPr>
          <w:lang w:val="en-GB"/>
        </w:rPr>
        <w:instrText>ADDIN CSL_CITATION {"citationItems":[{"id":"ITEM-1","itemData":{"DOI":"10.1371/journal.pone.0239297","ISBN":"1111111111","ISSN":"19326203","PMID":"32941538","abstract":"The mismatch between students' anthropometric measures and school furniture dimensions have been investigated in many countries. In Iran, collegians spend at least a quarter of the day hours at university in the sitting position, so it is essential to evaluate furniture mismatch among university students. In Iranian universities, the use of chairs with an attached table is widespread, while the study of mismatches in these chairs among the collegian community is rare. This study was aimed to compare and rank different classroom furniture types based on the mismatch between collegians' anthropometric measures and the dimensions of classroom furniture among Industrial Engineering students by developing a Multi-Criteria Decision Making approach in an integrated Methodology. The sample consisted of 111 participants (71 males, 40 females). Ten anthropometric measures were gathered, together with eight furniture dimensions for four types of chairs. Mismatch analyses were carried out using mismatch equations, and the Simple Additive Weighting method was used as a base method to solve the decision-making problem. The results indicated that Underneath Desk Height and Seat to Desk Clearance showed the highest levels of the match, while Seat Width presents the highest levels of low mismatch. According to the results, Type 1 and Type 3 were the best current classroom furniture. The Sensitivity Analysis was performed in two ways: changing the weights of criteria in nine scenarios and comparing the results with five other MCDM methods. The proposed MCDM approach can be used widely in furniture procurement processes and educational environments.","author":[{"dropping-particle":"","family":"Khoshabi","given":"Pooya","non-dropping-particle":"","parse-names":false,"suffix":""},{"dropping-particle":"","family":"Nejati","given":"Erfan","non-dropping-particle":"","parse-names":false,"suffix":""},{"dropping-particle":"","family":"Ahmadi","given":"Seyyede Fatemeh","non-dropping-particle":"","parse-names":false,"suffix":""},{"dropping-particle":"","family":"Chegini","given":"Ali","non-dropping-particle":"","parse-names":false,"suffix":""},{"dropping-particle":"","family":"Makui","given":"Ahmad","non-dropping-particle":"","parse-names":false,"suffix":""},{"dropping-particle":"","family":"Ghousi","given":"Rouzbeh","non-dropping-particle":"","parse-names":false,"suffix":""}],"container-title":"PLoS ONE","id":"ITEM-1","issue":"9 September","issued":{"date-parts":[["2020"]]},"page":"1-25","title":"Developing a multi-criteria decision making approach to compare types of classroom furniture considering mismatches for anthropometric measures of university students","type":"article-journal","volume":"15"},"uris":["http://www.mendeley.com/documents/?uuid=8c7a2074-56f0-4fed-abbf-b764c3046ab4"]},{"id":"ITEM-2","itemData":{"DOI":"10.2486/indhealth.2020-0188","ISSN":"00198366","PMID":"33250456","abstract":"Office workers remain in a awkward position for long periods, which can lead to musculoskeletal symptoms. Ergonomic guidelines are recommended to avoid such problems. Evidence of the long-term effectiveness of ergonomic interventions is scarce. The aim of this randomised controlled trial was to compare pain intensity among office workers who received an ergonomic intervention and a control group before as well as 12, 24, and 36 wk after the intervention. Workers were randomly allocated to a control group (CG) and experimental group (EG). The EG received an ergonomic workstation intervention. Furniture measurements were related to individual anthropometric measurements to identify mismatches. The outcome was pain intensity, which was determined using a numerical pain scale and the Nordic Musculoskeletal Questionnaire. A linear mixed model was created with pain intensity as the dependent variable. Group and time were the independent variables. No significant interactions were found between group and time. Significant differences between groups were found for the pain intensity in the neck, shoulder, upper back, and wrist/hand (p&lt;0.05), with lower intensity in the EG. The intervention reduced pain intensity in the neck, shoulder, upper back, and wrist/hand. However, no reduction in pain intensity was found for the lower back or elbow.","author":[{"dropping-particle":"","family":"Lee","given":"Stefany","non-dropping-particle":"","parse-names":false,"suffix":""},{"dropping-particle":"","family":"Barros","given":"Fernanda Cabegi","non-dropping-particle":"De","parse-names":false,"suffix":""},{"dropping-particle":"","family":"Castro","given":"Cristiane Shinohara Moriguchi","non-dropping-particle":"De","parse-names":false,"suffix":""},{"dropping-particle":"","family":"Oliveira Sato","given":"Tatiana","non-dropping-particle":"De","parse-names":false,"suffix":""}],"container-title":"Industrial Health","id":"ITEM-2","issue":"2","issued":{"date-parts":[["2021"]]},"page":"78-85","title":"Effect of an ergonomic intervention involving workstation adjustments on musculoskeletal pain in office workers—a randomized controlled clinical trial","type":"article-journal","volume":"59"},"uris":["http://www.mendeley.com/documents/?uuid=87ae828b-16bd-47f0-82d0-f9d1e3bcb286"]},{"id":"ITEM-3","itemData":{"DOI":"10.3233/WOR-193005","ISSN":"10519815","abstract":"BACKGROUND: The use of school furniture with a height that is anthropometrically mismatched can lead children into taking awkward postures while sitting. In Korea, desks and chairs for primary schools have seven different height levels, and these levels are regulated by the national standard KSG-2010. These levels serve to accommodate children of all heights, but the choice problem remains because of the many alternatives. OBJECTIVE: This study evaluates the anthropometric feasibility of the currently used guidelines for the selection of height level for Korean primary school furniture. In addition, we examine children's ability to select anthropometrically recommendable desk and seat heights. METHODS: In study 1, anthropometric data from 2005 Korean children were acquired and a mismatch analysis was performed under the assumption that children were paired with the height level recommended by the guidelines. In study 2, we conducted a desk and seat height selection experiment that included 36 children. RESULTS: The results of study 1 revealed that about three quarters of children could be matched by following the guidelines. The results of study 2 showed that a quarter of children selected matchable desk and seat heights by themselves. We developed new guidelines using classification algorithms based on the employed data in study 1, and it was confirmed that the new guidelines could significantly increase the degree of match. CONCLUSION: This study confirmed that the currently used guidelines need to be revised and that children had difficulty in selecting the appropriate height of school furniture by themselves. The new guidelines suggested in this study are expected to contribute to the correct usage by Korean primary school children.","author":[{"dropping-particle":"","family":"Lee","given":"Yushin","non-dropping-particle":"","parse-names":false,"suffix":""},{"dropping-particle":"","family":"Yun","given":"Myung Hwan","non-dropping-particle":"","parse-names":false,"suffix":""}],"container-title":"Work","id":"ITEM-3","issue":"3","issued":{"date-parts":[["2019","11","21"]]},"page":"427-438","title":"Evaluation of the guidelines and children’s ability to select the anthropometrically recommendable height of school furniture: A case study of Korean primary school children","type":"article-journal","volume":"64"},"uris":["http://www.mendeley.com/documents/?uuid=51798ee3-96a8-4bfe-bc32-1e3c27cbdfbd"]},{"id":"ITEM-4","itemData":{"DOI":"10.54941/ahfe1003040","abstract":"The objective of this study is to evaluate four types of university classroom furniture. The methods of evaluation included the individual comparisons equations method and the percentile values method; both are anthropometric methods. The third method is a questionnaire-based subjective evaluation method aiming at studying students’ satisfaction. The evaluated furniture dimensions were seat height, seat depth, seat width, backrest height, desk height and underneath desk height. The measured anthropometric dimensions were stature, hip breadth, elbow rest height, shoulder height, knee height, popliteal height and buttock-popliteal length. They were collected from 80 students (half males, aged between 20 to 39 years). The individual comparisons method showed relatively lower percentages of match between the furniture dimensions and student anthropometry. While, the percentile values method showed relatively high percentages of accommodation. Results of the questionn</w:instrText>
      </w:r>
      <w:r w:rsidR="00286DAD" w:rsidRPr="000D7AC6">
        <w:rPr>
          <w:lang w:val="fr-FR"/>
        </w:rPr>
        <w:instrText>aire showed that the majority of students were satisfied with their preferred designs.","author":[{"dropping-particle":"","family":"Altaboli","given":"Ahamed","non-dropping-particle":"","parse-names":false,"suffix":""},{"dropping-particle":"","family":"Aliskandarani","given":"Hana","non-dropping-particle":"","parse-names":false,"suffix":""},{"dropping-particle":"","family":"Alshaikhi","given":"Ala","non-dropping-particle":"","parse-names":false,"suffix":""},{"dropping-particle":"","family":"Alahmar","given":"Hager","non-dropping-particle":"","parse-names":false,"suffix":""},{"dropping-particle":"","family":"Muttardi","given":"Ruwida","non-dropping-particle":"","parse-names":false,"suffix":""}],"container-title":"Physical Ergonomics and Human Factors","id":"ITEM-4","issue":"January","issued":{"date-parts":[["2023"]]},"title":"Anthropometric Evaluation of University Classroom Furniture","type":"paper-conference","volume":"103"},"uris":["http://www.mendeley.com/documents/?uuid=99733850-1ec1-4743-9871-f5e9243a5cb2"]}],"mendeley":{"formattedCitation":"(Altaboli et al., 2023; Khoshabi et al., 2020; Lee et al., 2021; Lee and Yun, 2019)","plainTextFormattedCitation":"(Altaboli et al., 2023; Khoshabi et al., 2020; Lee et al., 2021; Lee and Yun, 2019)","previouslyFormattedCitation":"(Altaboli et al., 2023; Khoshabi et al., 2020; Lee et al., 2021; Lee and Yun, 2019)"},"properties":{"noteIndex":0},"schema":"https://github.com/citation-style-language/schema/raw/master/csl-citation.json"}</w:instrText>
      </w:r>
      <w:r w:rsidR="002A4FA3" w:rsidRPr="006D05D9">
        <w:rPr>
          <w:lang w:val="en-GB"/>
        </w:rPr>
        <w:fldChar w:fldCharType="separate"/>
      </w:r>
      <w:r w:rsidR="00286DAD" w:rsidRPr="000D7AC6">
        <w:rPr>
          <w:lang w:val="fr-FR"/>
        </w:rPr>
        <w:t>(</w:t>
      </w:r>
      <w:r w:rsidR="00632A62" w:rsidRPr="000D7AC6">
        <w:rPr>
          <w:lang w:val="fr-FR"/>
        </w:rPr>
        <w:t xml:space="preserve">e.g. </w:t>
      </w:r>
      <w:r w:rsidR="00286DAD" w:rsidRPr="000D7AC6">
        <w:rPr>
          <w:lang w:val="fr-FR"/>
        </w:rPr>
        <w:t>Altaboli et al., 2023; Khoshabi et al., 2020; L</w:t>
      </w:r>
      <w:r w:rsidR="00286DAD" w:rsidRPr="00BF014F">
        <w:rPr>
          <w:strike/>
          <w:color w:val="FF0000"/>
          <w:highlight w:val="yellow"/>
          <w:lang w:val="fr-FR"/>
        </w:rPr>
        <w:t>ee et al., 2021</w:t>
      </w:r>
      <w:r w:rsidR="00286DAD" w:rsidRPr="000D7AC6">
        <w:rPr>
          <w:lang w:val="fr-FR"/>
        </w:rPr>
        <w:t>; Lee and Yun, 2019)</w:t>
      </w:r>
      <w:r w:rsidR="002A4FA3" w:rsidRPr="006D05D9">
        <w:rPr>
          <w:lang w:val="en-GB"/>
        </w:rPr>
        <w:fldChar w:fldCharType="end"/>
      </w:r>
      <w:r w:rsidR="002A4FA3" w:rsidRPr="000D7AC6">
        <w:rPr>
          <w:lang w:val="fr-FR"/>
        </w:rPr>
        <w:t xml:space="preserve">. </w:t>
      </w:r>
    </w:p>
    <w:p w14:paraId="08CFB3C1" w14:textId="77777777" w:rsidR="008B472E" w:rsidRPr="000D7AC6" w:rsidRDefault="008B472E" w:rsidP="00FB4136">
      <w:pPr>
        <w:rPr>
          <w:lang w:val="fr-FR"/>
        </w:rPr>
      </w:pPr>
    </w:p>
    <w:p w14:paraId="34F58658" w14:textId="128630B6" w:rsidR="00C7287E" w:rsidRPr="006D05D9" w:rsidRDefault="00C7287E" w:rsidP="00083312">
      <w:pPr>
        <w:ind w:firstLine="284"/>
        <w:rPr>
          <w:lang w:val="en-GB"/>
        </w:rPr>
      </w:pPr>
      <w:r w:rsidRPr="006D05D9">
        <w:rPr>
          <w:lang w:val="en-GB"/>
        </w:rPr>
        <w:t xml:space="preserve">This two-way equation, proposed by Parcells et al. </w:t>
      </w:r>
      <w:r w:rsidR="00DA1955" w:rsidRPr="006D05D9">
        <w:rPr>
          <w:lang w:val="en-GB"/>
        </w:rPr>
        <w:fldChar w:fldCharType="begin" w:fldLock="1"/>
      </w:r>
      <w:r w:rsidR="00DA1955" w:rsidRPr="006D05D9">
        <w:rPr>
          <w:lang w:val="en-GB"/>
        </w:rPr>
        <w:instrText>ADDIN CSL_CITATION {"citationItems":[{"id":"ITEM-1","itemData":{"ISSN":"1054-139X","PMID":"10227346","abstract":"To examine possible mismatch between the individual body dimensions of students and the classroom furniture they use.","author":[{"dropping-particle":"","family":"Parcells","given":"C","non-dropping-particle":"","parse-names":false,"suffix":""},{"dropping-particle":"","family":"Stommel","given":"M","non-dropping-particle":"","parse-names":false,"suffix":""},{"dropping-particle":"","family":"Hubbard","given":"R P","non-dropping-particle":"","parse-names":false,"suffix":""}],"container-title":"J. Adolesc. Health","id":"ITEM-1","issue":"4","issued":{"date-parts":[["1999","4"]]},"page":"265-273","title":"Mismatch of classroom furniture and student body dimensions: empirical findings and health implications","type":"article-journal","volume":"24"},"uris":["http://www.mendeley.com/documents/?uuid=5e9542f7-34bb-4d4e-9a75-b962a83f3d54"]}],"mendeley":{"formattedCitation":"(Parcells et al., 1999)","manualFormatting":"(1999)","plainTextFormattedCitation":"(Parcells et al., 1999)","previouslyFormattedCitation":"(Parcells et al., 1999)"},"properties":{"noteIndex":0},"schema":"https://github.com/citation-style-language/schema/raw/master/csl-citation.json"}</w:instrText>
      </w:r>
      <w:r w:rsidR="00DA1955" w:rsidRPr="006D05D9">
        <w:rPr>
          <w:lang w:val="en-GB"/>
        </w:rPr>
        <w:fldChar w:fldCharType="separate"/>
      </w:r>
      <w:r w:rsidR="00DA1955" w:rsidRPr="006D05D9">
        <w:rPr>
          <w:lang w:val="en-GB"/>
        </w:rPr>
        <w:t>(1999)</w:t>
      </w:r>
      <w:r w:rsidR="00DA1955" w:rsidRPr="006D05D9">
        <w:rPr>
          <w:lang w:val="en-GB"/>
        </w:rPr>
        <w:fldChar w:fldCharType="end"/>
      </w:r>
      <w:r w:rsidRPr="006D05D9">
        <w:rPr>
          <w:lang w:val="en-GB"/>
        </w:rPr>
        <w:t xml:space="preserve"> considered that acceptable elbow rest</w:t>
      </w:r>
      <w:r w:rsidR="00DA4754" w:rsidRPr="006D05D9">
        <w:rPr>
          <w:lang w:val="en-GB"/>
        </w:rPr>
        <w:t>ing</w:t>
      </w:r>
      <w:r w:rsidRPr="006D05D9">
        <w:rPr>
          <w:lang w:val="en-GB"/>
        </w:rPr>
        <w:t xml:space="preserve"> height (AERH) depends not only on Elbow Height Sitting (EHS), but also on the shoulder flexion and </w:t>
      </w:r>
      <w:r w:rsidR="004E796B" w:rsidRPr="006D05D9">
        <w:rPr>
          <w:lang w:val="en-GB"/>
        </w:rPr>
        <w:t>abduction</w:t>
      </w:r>
      <w:r w:rsidRPr="006D05D9">
        <w:rPr>
          <w:lang w:val="en-GB"/>
        </w:rPr>
        <w:t xml:space="preserve"> angles. To determine AERH it is necessary to know the </w:t>
      </w:r>
      <w:r w:rsidR="002C677C" w:rsidRPr="006D05D9">
        <w:rPr>
          <w:lang w:val="en-GB"/>
        </w:rPr>
        <w:t>Should</w:t>
      </w:r>
      <w:r w:rsidR="003B4645" w:rsidRPr="006D05D9">
        <w:rPr>
          <w:lang w:val="en-GB"/>
        </w:rPr>
        <w:t>er Height Sitting (</w:t>
      </w:r>
      <w:r w:rsidRPr="006D05D9">
        <w:rPr>
          <w:lang w:val="en-GB"/>
        </w:rPr>
        <w:t>SHS</w:t>
      </w:r>
      <w:r w:rsidR="003B4645" w:rsidRPr="006D05D9">
        <w:rPr>
          <w:lang w:val="en-GB"/>
        </w:rPr>
        <w:t>)</w:t>
      </w:r>
      <w:r w:rsidRPr="006D05D9">
        <w:rPr>
          <w:lang w:val="en-GB"/>
        </w:rPr>
        <w:t xml:space="preserve"> and EHS, since by subtracting these anthropometric measures the Upper Arm Length (U) can be calculated. Shoulder Flexion (</w:t>
      </w:r>
      <w:r w:rsidRPr="006D05D9">
        <w:rPr>
          <w:rFonts w:ascii="Times New Roman" w:hAnsi="Times New Roman"/>
          <w:lang w:val="en-GB"/>
        </w:rPr>
        <w:t>θ</w:t>
      </w:r>
      <w:r w:rsidRPr="006D05D9">
        <w:rPr>
          <w:rFonts w:cs="NewsGotT"/>
          <w:lang w:val="en-GB"/>
        </w:rPr>
        <w:t xml:space="preserve">) and </w:t>
      </w:r>
      <w:r w:rsidRPr="006D05D9">
        <w:rPr>
          <w:lang w:val="en-GB"/>
        </w:rPr>
        <w:t xml:space="preserve">Shoulder </w:t>
      </w:r>
      <w:r w:rsidR="004E796B" w:rsidRPr="006D05D9">
        <w:rPr>
          <w:lang w:val="en-GB"/>
        </w:rPr>
        <w:t>Abduction</w:t>
      </w:r>
      <w:r w:rsidRPr="006D05D9">
        <w:rPr>
          <w:lang w:val="en-GB"/>
        </w:rPr>
        <w:t xml:space="preserve"> (</w:t>
      </w:r>
      <w:r w:rsidRPr="006D05D9">
        <w:rPr>
          <w:rFonts w:ascii="Times New Roman" w:hAnsi="Times New Roman"/>
          <w:lang w:val="en-GB"/>
        </w:rPr>
        <w:t>β</w:t>
      </w:r>
      <w:r w:rsidRPr="006D05D9">
        <w:rPr>
          <w:rFonts w:cs="NewsGotT"/>
          <w:lang w:val="en-GB"/>
        </w:rPr>
        <w:t xml:space="preserve">) need to </w:t>
      </w:r>
      <w:r w:rsidRPr="006D05D9">
        <w:rPr>
          <w:lang w:val="en-GB"/>
        </w:rPr>
        <w:t>also be considered in the following main formula:</w:t>
      </w:r>
    </w:p>
    <w:p w14:paraId="7DFAA1D6" w14:textId="77777777" w:rsidR="00712BE6" w:rsidRPr="006D05D9" w:rsidRDefault="00712BE6" w:rsidP="00FB4136">
      <w:pPr>
        <w:rPr>
          <w:lang w:val="en-GB"/>
        </w:rPr>
      </w:pPr>
    </w:p>
    <w:p w14:paraId="44FC217A" w14:textId="4970E32A" w:rsidR="00C7287E" w:rsidRPr="006D05D9" w:rsidRDefault="00712BE6" w:rsidP="00FB4136">
      <w:pPr>
        <w:jc w:val="center"/>
        <w:rPr>
          <w:rFonts w:eastAsiaTheme="minorEastAsia"/>
          <w:lang w:val="en-GB"/>
        </w:rPr>
      </w:pPr>
      <m:oMath>
        <m:r>
          <w:rPr>
            <w:rFonts w:ascii="Cambria Math" w:hAnsi="Cambria Math"/>
            <w:lang w:val="en-GB"/>
          </w:rPr>
          <m:t>AERH</m:t>
        </m:r>
        <m:r>
          <m:rPr>
            <m:sty m:val="p"/>
          </m:rPr>
          <w:rPr>
            <w:rFonts w:ascii="Cambria Math" w:hAnsi="Cambria Math"/>
            <w:lang w:val="en-GB"/>
          </w:rPr>
          <m:t>=</m:t>
        </m:r>
        <m:r>
          <w:rPr>
            <w:rFonts w:ascii="Cambria Math" w:hAnsi="Cambria Math"/>
            <w:lang w:val="en-GB"/>
          </w:rPr>
          <m:t>EHS</m:t>
        </m:r>
        <m:r>
          <m:rPr>
            <m:sty m:val="p"/>
          </m:rPr>
          <w:rPr>
            <w:rFonts w:ascii="Cambria Math" w:hAnsi="Cambria Math"/>
            <w:lang w:val="en-GB"/>
          </w:rPr>
          <m:t>+</m:t>
        </m:r>
        <m:r>
          <w:rPr>
            <w:rFonts w:ascii="Cambria Math" w:hAnsi="Cambria Math"/>
            <w:lang w:val="en-GB"/>
          </w:rPr>
          <m:t>U</m:t>
        </m:r>
        <m:d>
          <m:dPr>
            <m:begChr m:val="["/>
            <m:endChr m:val="]"/>
            <m:ctrlPr>
              <w:rPr>
                <w:rFonts w:ascii="Cambria Math" w:hAnsi="Cambria Math"/>
                <w:lang w:val="en-GB"/>
              </w:rPr>
            </m:ctrlPr>
          </m:dPr>
          <m:e>
            <m:d>
              <m:dPr>
                <m:ctrlPr>
                  <w:rPr>
                    <w:rFonts w:ascii="Cambria Math" w:hAnsi="Cambria Math"/>
                    <w:lang w:val="en-GB"/>
                  </w:rPr>
                </m:ctrlPr>
              </m:dPr>
              <m:e>
                <m:r>
                  <m:rPr>
                    <m:sty m:val="p"/>
                  </m:rP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cos</m:t>
                    </m:r>
                  </m:fName>
                  <m:e>
                    <m:r>
                      <w:rPr>
                        <w:rFonts w:ascii="Cambria Math" w:hAnsi="Cambria Math"/>
                        <w:lang w:val="en-GB"/>
                      </w:rPr>
                      <m:t>θ</m:t>
                    </m:r>
                  </m:e>
                </m:func>
              </m:e>
            </m:d>
            <m:r>
              <m:rPr>
                <m:sty m:val="p"/>
              </m:rP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cos</m:t>
                </m:r>
              </m:fName>
              <m:e>
                <m:r>
                  <w:rPr>
                    <w:rFonts w:ascii="Cambria Math" w:hAnsi="Cambria Math"/>
                    <w:lang w:val="en-GB"/>
                  </w:rPr>
                  <m:t>θ</m:t>
                </m:r>
              </m:e>
            </m:func>
            <m:d>
              <m:dPr>
                <m:ctrlPr>
                  <w:rPr>
                    <w:rFonts w:ascii="Cambria Math" w:hAnsi="Cambria Math"/>
                    <w:lang w:val="en-GB"/>
                  </w:rPr>
                </m:ctrlPr>
              </m:dPr>
              <m:e>
                <m:r>
                  <m:rPr>
                    <m:sty m:val="p"/>
                  </m:rP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cos</m:t>
                    </m:r>
                  </m:fName>
                  <m:e>
                    <m:r>
                      <w:rPr>
                        <w:rFonts w:ascii="Cambria Math" w:hAnsi="Cambria Math"/>
                        <w:lang w:val="en-GB"/>
                      </w:rPr>
                      <m:t>β</m:t>
                    </m:r>
                  </m:e>
                </m:func>
              </m:e>
            </m:d>
          </m:e>
        </m:d>
      </m:oMath>
      <w:r w:rsidRPr="006D05D9">
        <w:rPr>
          <w:rFonts w:eastAsiaTheme="minorEastAsia"/>
          <w:lang w:val="en-GB"/>
        </w:rPr>
        <w:tab/>
        <w:t>Eq. (1)</w:t>
      </w:r>
    </w:p>
    <w:p w14:paraId="3B123ECD" w14:textId="77777777" w:rsidR="00712BE6" w:rsidRPr="006D05D9" w:rsidRDefault="00712BE6" w:rsidP="00FB4136">
      <w:pPr>
        <w:rPr>
          <w:lang w:val="en-GB"/>
        </w:rPr>
      </w:pPr>
    </w:p>
    <w:p w14:paraId="31CF1872" w14:textId="5667E200" w:rsidR="002A4FA3" w:rsidRPr="006D05D9" w:rsidRDefault="002A4FA3" w:rsidP="00083312">
      <w:pPr>
        <w:ind w:firstLine="284"/>
        <w:rPr>
          <w:lang w:val="en-GB"/>
        </w:rPr>
      </w:pPr>
      <w:r w:rsidRPr="006D05D9">
        <w:rPr>
          <w:lang w:val="en-GB"/>
        </w:rPr>
        <w:t>The equation considering Chaffin and Anderson’s principles (1991) of</w:t>
      </w:r>
      <w:r w:rsidR="0075373A" w:rsidRPr="006D05D9">
        <w:rPr>
          <w:lang w:val="en-GB"/>
        </w:rPr>
        <w:t xml:space="preserve"> </w:t>
      </w:r>
      <w:r w:rsidR="00550750" w:rsidRPr="006D05D9">
        <w:rPr>
          <w:lang w:val="en-GB"/>
        </w:rPr>
        <w:t>both acceptable</w:t>
      </w:r>
      <w:r w:rsidRPr="006D05D9">
        <w:rPr>
          <w:lang w:val="en-GB"/>
        </w:rPr>
        <w:t xml:space="preserve"> shoulder flexion </w:t>
      </w:r>
      <w:r w:rsidR="00CD0EA4" w:rsidRPr="006D05D9">
        <w:rPr>
          <w:lang w:val="en-GB"/>
        </w:rPr>
        <w:t>(</w:t>
      </w:r>
      <w:r w:rsidRPr="006D05D9">
        <w:rPr>
          <w:lang w:val="en-GB"/>
        </w:rPr>
        <w:t>angles from 0° to 25°</w:t>
      </w:r>
      <w:r w:rsidR="00CD0EA4" w:rsidRPr="006D05D9">
        <w:rPr>
          <w:lang w:val="en-GB"/>
        </w:rPr>
        <w:t>)</w:t>
      </w:r>
      <w:r w:rsidRPr="006D05D9">
        <w:rPr>
          <w:lang w:val="en-GB"/>
        </w:rPr>
        <w:t xml:space="preserve"> and shoulder </w:t>
      </w:r>
      <w:r w:rsidR="004E796B" w:rsidRPr="006D05D9">
        <w:rPr>
          <w:lang w:val="en-GB"/>
        </w:rPr>
        <w:t>abduction</w:t>
      </w:r>
      <w:r w:rsidRPr="006D05D9">
        <w:rPr>
          <w:lang w:val="en-GB"/>
        </w:rPr>
        <w:t xml:space="preserve"> </w:t>
      </w:r>
      <w:r w:rsidR="00CD0EA4" w:rsidRPr="006D05D9">
        <w:rPr>
          <w:lang w:val="en-GB"/>
        </w:rPr>
        <w:t>(</w:t>
      </w:r>
      <w:r w:rsidRPr="006D05D9">
        <w:rPr>
          <w:lang w:val="en-GB"/>
        </w:rPr>
        <w:t>from 0° to 20°</w:t>
      </w:r>
      <w:r w:rsidR="00CD0EA4" w:rsidRPr="006D05D9">
        <w:rPr>
          <w:lang w:val="en-GB"/>
        </w:rPr>
        <w:t>)</w:t>
      </w:r>
      <w:r w:rsidR="00093986" w:rsidRPr="006D05D9">
        <w:rPr>
          <w:lang w:val="en-GB"/>
        </w:rPr>
        <w:t xml:space="preserve"> calculates minimum </w:t>
      </w:r>
      <w:r w:rsidR="00FF7C9F" w:rsidRPr="006D05D9">
        <w:rPr>
          <w:lang w:val="en-GB"/>
        </w:rPr>
        <w:t>seat to desk height</w:t>
      </w:r>
      <w:r w:rsidR="00093986" w:rsidRPr="006D05D9">
        <w:rPr>
          <w:lang w:val="en-GB"/>
        </w:rPr>
        <w:t xml:space="preserve"> (DH)</w:t>
      </w:r>
      <w:r w:rsidR="00FF7C9F" w:rsidRPr="006D05D9">
        <w:rPr>
          <w:lang w:val="en-GB"/>
        </w:rPr>
        <w:t xml:space="preserve"> </w:t>
      </w:r>
      <w:r w:rsidR="00515A9C" w:rsidRPr="006D05D9">
        <w:rPr>
          <w:lang w:val="en-GB"/>
        </w:rPr>
        <w:t xml:space="preserve">using a </w:t>
      </w:r>
      <w:r w:rsidRPr="006D05D9">
        <w:rPr>
          <w:lang w:val="en-GB"/>
        </w:rPr>
        <w:t xml:space="preserve">minimum shoulder flexion and </w:t>
      </w:r>
      <w:r w:rsidR="004E796B" w:rsidRPr="006D05D9">
        <w:rPr>
          <w:lang w:val="en-GB"/>
        </w:rPr>
        <w:t>abduction</w:t>
      </w:r>
      <w:r w:rsidRPr="006D05D9">
        <w:rPr>
          <w:lang w:val="en-GB"/>
        </w:rPr>
        <w:t xml:space="preserve"> of 0°</w:t>
      </w:r>
      <w:r w:rsidR="00515A9C" w:rsidRPr="006D05D9">
        <w:rPr>
          <w:lang w:val="en-GB"/>
        </w:rPr>
        <w:t xml:space="preserve">. </w:t>
      </w:r>
      <w:r w:rsidR="00F55C61" w:rsidRPr="006D05D9">
        <w:rPr>
          <w:lang w:val="en-GB"/>
        </w:rPr>
        <w:t xml:space="preserve"> </w:t>
      </w:r>
      <w:r w:rsidR="008B3799" w:rsidRPr="006D05D9">
        <w:rPr>
          <w:lang w:val="en-GB"/>
        </w:rPr>
        <w:t>F</w:t>
      </w:r>
      <w:r w:rsidR="004E367B" w:rsidRPr="006D05D9">
        <w:rPr>
          <w:lang w:val="en-GB"/>
        </w:rPr>
        <w:t xml:space="preserve">or </w:t>
      </w:r>
      <w:r w:rsidR="005A408F" w:rsidRPr="006D05D9">
        <w:rPr>
          <w:lang w:val="en-GB"/>
        </w:rPr>
        <w:t>both</w:t>
      </w:r>
      <w:r w:rsidR="00C43231" w:rsidRPr="006D05D9">
        <w:rPr>
          <w:lang w:val="en-GB"/>
        </w:rPr>
        <w:t>, the</w:t>
      </w:r>
      <w:r w:rsidRPr="006D05D9">
        <w:rPr>
          <w:lang w:val="en-GB"/>
        </w:rPr>
        <w:t xml:space="preserve"> corresponding cosines are 1. Given that the cosines are monotone functions of the angles, the minimum </w:t>
      </w:r>
      <w:r w:rsidR="00DA1955" w:rsidRPr="006D05D9">
        <w:rPr>
          <w:lang w:val="en-GB"/>
        </w:rPr>
        <w:t xml:space="preserve">desk height </w:t>
      </w:r>
      <w:r w:rsidRPr="006D05D9">
        <w:rPr>
          <w:lang w:val="en-GB"/>
        </w:rPr>
        <w:t>is determined by the EHS</w:t>
      </w:r>
      <w:r w:rsidR="00DA1955" w:rsidRPr="006D05D9">
        <w:rPr>
          <w:lang w:val="en-GB"/>
        </w:rPr>
        <w:t xml:space="preserve">. </w:t>
      </w:r>
      <w:r w:rsidRPr="006D05D9">
        <w:rPr>
          <w:lang w:val="en-GB"/>
        </w:rPr>
        <w:t xml:space="preserve">On the other hand, the maximum </w:t>
      </w:r>
      <w:r w:rsidR="00932DAE" w:rsidRPr="006D05D9">
        <w:rPr>
          <w:lang w:val="en-GB"/>
        </w:rPr>
        <w:t xml:space="preserve">seat to </w:t>
      </w:r>
      <w:r w:rsidR="00DA1955" w:rsidRPr="006D05D9">
        <w:rPr>
          <w:lang w:val="en-GB"/>
        </w:rPr>
        <w:t>desk height</w:t>
      </w:r>
      <w:r w:rsidRPr="006D05D9">
        <w:rPr>
          <w:lang w:val="en-GB"/>
        </w:rPr>
        <w:t xml:space="preserve"> is calculated by considering the 25° of shoulder flexion and 20° of shoulder </w:t>
      </w:r>
      <w:r w:rsidR="004E796B" w:rsidRPr="006D05D9">
        <w:rPr>
          <w:lang w:val="en-GB"/>
        </w:rPr>
        <w:t>abduction</w:t>
      </w:r>
      <w:r w:rsidRPr="006D05D9">
        <w:rPr>
          <w:lang w:val="en-GB"/>
        </w:rPr>
        <w:t xml:space="preserve">, where the corresponding cosines are 0.9063 and 0.9397, respectively. </w:t>
      </w:r>
      <w:r w:rsidR="00583DB3" w:rsidRPr="006D05D9">
        <w:rPr>
          <w:lang w:val="en-GB"/>
        </w:rPr>
        <w:t>Replacing these values in Eq.1, the</w:t>
      </w:r>
      <w:r w:rsidRPr="006D05D9">
        <w:rPr>
          <w:lang w:val="en-GB"/>
        </w:rPr>
        <w:t xml:space="preserve"> equation proposed is:</w:t>
      </w:r>
    </w:p>
    <w:p w14:paraId="7236C5D0" w14:textId="77777777" w:rsidR="0029685D" w:rsidRPr="006D05D9" w:rsidRDefault="0029685D" w:rsidP="00FB4136">
      <w:pPr>
        <w:rPr>
          <w:lang w:val="en-GB"/>
        </w:rPr>
      </w:pPr>
    </w:p>
    <w:p w14:paraId="0D162236" w14:textId="355B6C8B" w:rsidR="00712BE6" w:rsidRPr="006D05D9" w:rsidRDefault="00A618E0" w:rsidP="00FB4136">
      <w:pPr>
        <w:rPr>
          <w:rFonts w:eastAsiaTheme="minorEastAsia"/>
          <w:lang w:val="en-GB"/>
        </w:rPr>
      </w:pPr>
      <m:oMath>
        <m:r>
          <w:rPr>
            <w:rFonts w:ascii="Cambria Math" w:hAnsi="Cambria Math"/>
            <w:lang w:val="en-GB"/>
          </w:rPr>
          <m:t>Maximum</m:t>
        </m:r>
        <m:r>
          <m:rPr>
            <m:sty m:val="p"/>
          </m:rPr>
          <w:rPr>
            <w:rFonts w:ascii="Cambria Math" w:hAnsi="Cambria Math"/>
            <w:lang w:val="en-GB"/>
          </w:rPr>
          <m:t xml:space="preserve"> </m:t>
        </m:r>
        <m:r>
          <w:rPr>
            <w:rFonts w:ascii="Cambria Math" w:hAnsi="Cambria Math"/>
            <w:lang w:val="en-GB"/>
          </w:rPr>
          <m:t>desk</m:t>
        </m:r>
        <m:r>
          <m:rPr>
            <m:sty m:val="p"/>
          </m:rPr>
          <w:rPr>
            <w:rFonts w:ascii="Cambria Math" w:hAnsi="Cambria Math"/>
            <w:lang w:val="en-GB"/>
          </w:rPr>
          <m:t xml:space="preserve"> </m:t>
        </m:r>
        <m:r>
          <w:rPr>
            <w:rFonts w:ascii="Cambria Math" w:hAnsi="Cambria Math"/>
            <w:lang w:val="en-GB"/>
          </w:rPr>
          <m:t>height</m:t>
        </m:r>
        <m:r>
          <m:rPr>
            <m:sty m:val="p"/>
          </m:rPr>
          <w:rPr>
            <w:rFonts w:ascii="Cambria Math" w:hAnsi="Cambria Math"/>
            <w:lang w:val="en-GB"/>
          </w:rPr>
          <m:t>=</m:t>
        </m:r>
        <m:r>
          <w:rPr>
            <w:rFonts w:ascii="Cambria Math" w:hAnsi="Cambria Math"/>
            <w:lang w:val="en-GB"/>
          </w:rPr>
          <m:t>EHS</m:t>
        </m:r>
        <m:r>
          <m:rPr>
            <m:sty m:val="p"/>
          </m:rPr>
          <w:rPr>
            <w:rFonts w:ascii="Cambria Math" w:hAnsi="Cambria Math"/>
            <w:lang w:val="en-GB"/>
          </w:rPr>
          <m:t>+</m:t>
        </m:r>
        <m:r>
          <w:rPr>
            <w:rFonts w:ascii="Cambria Math" w:hAnsi="Cambria Math"/>
            <w:lang w:val="en-GB"/>
          </w:rPr>
          <m:t>U</m:t>
        </m:r>
        <m:d>
          <m:dPr>
            <m:begChr m:val="["/>
            <m:endChr m:val="]"/>
            <m:ctrlPr>
              <w:rPr>
                <w:rFonts w:ascii="Cambria Math" w:hAnsi="Cambria Math"/>
                <w:lang w:val="en-GB"/>
              </w:rPr>
            </m:ctrlPr>
          </m:dPr>
          <m:e>
            <m:d>
              <m:dPr>
                <m:ctrlPr>
                  <w:rPr>
                    <w:rFonts w:ascii="Cambria Math" w:hAnsi="Cambria Math"/>
                    <w:lang w:val="en-GB"/>
                  </w:rPr>
                </m:ctrlPr>
              </m:dPr>
              <m:e>
                <m:r>
                  <m:rPr>
                    <m:sty m:val="p"/>
                  </m:rPr>
                  <w:rPr>
                    <w:rFonts w:ascii="Cambria Math" w:hAnsi="Cambria Math"/>
                    <w:lang w:val="en-GB"/>
                  </w:rPr>
                  <m:t>1-0.9063</m:t>
                </m:r>
              </m:e>
            </m:d>
            <m:r>
              <m:rPr>
                <m:sty m:val="p"/>
              </m:rPr>
              <w:rPr>
                <w:rFonts w:ascii="Cambria Math" w:hAnsi="Cambria Math"/>
                <w:lang w:val="en-GB"/>
              </w:rPr>
              <m:t>+0.9063</m:t>
            </m:r>
            <m:d>
              <m:dPr>
                <m:ctrlPr>
                  <w:rPr>
                    <w:rFonts w:ascii="Cambria Math" w:hAnsi="Cambria Math"/>
                    <w:lang w:val="en-GB"/>
                  </w:rPr>
                </m:ctrlPr>
              </m:dPr>
              <m:e>
                <m:r>
                  <m:rPr>
                    <m:sty m:val="p"/>
                  </m:rPr>
                  <w:rPr>
                    <w:rFonts w:ascii="Cambria Math" w:hAnsi="Cambria Math"/>
                    <w:lang w:val="en-GB"/>
                  </w:rPr>
                  <m:t>1-0.9397</m:t>
                </m:r>
              </m:e>
            </m:d>
          </m:e>
        </m:d>
      </m:oMath>
      <w:r w:rsidR="002437E2" w:rsidRPr="006D05D9">
        <w:rPr>
          <w:rFonts w:eastAsiaTheme="minorEastAsia"/>
          <w:lang w:val="en-GB"/>
        </w:rPr>
        <w:t xml:space="preserve"> Eq. (2)</w:t>
      </w:r>
    </w:p>
    <w:p w14:paraId="61D5949F" w14:textId="57A24DA7" w:rsidR="002437E2" w:rsidRPr="006D05D9" w:rsidRDefault="00A152CF" w:rsidP="00FB4136">
      <w:pPr>
        <w:ind w:left="2250"/>
        <w:rPr>
          <w:rFonts w:eastAsiaTheme="minorEastAsia"/>
          <w:lang w:val="en-GB"/>
        </w:rPr>
      </w:pPr>
      <m:oMathPara>
        <m:oMathParaPr>
          <m:jc m:val="left"/>
        </m:oMathParaPr>
        <m:oMath>
          <m:r>
            <m:rPr>
              <m:sty m:val="p"/>
            </m:rPr>
            <w:rPr>
              <w:rFonts w:ascii="Cambria Math" w:hAnsi="Cambria Math"/>
              <w:lang w:val="en-GB"/>
            </w:rPr>
            <m:t>=</m:t>
          </m:r>
          <m:r>
            <w:rPr>
              <w:rFonts w:ascii="Cambria Math" w:hAnsi="Cambria Math"/>
              <w:lang w:val="en-GB"/>
            </w:rPr>
            <m:t>EHS</m:t>
          </m:r>
          <m:r>
            <m:rPr>
              <m:sty m:val="p"/>
            </m:rPr>
            <w:rPr>
              <w:rFonts w:ascii="Cambria Math" w:hAnsi="Cambria Math"/>
              <w:lang w:val="en-GB"/>
            </w:rPr>
            <m:t>+</m:t>
          </m:r>
          <m:r>
            <w:rPr>
              <w:rFonts w:ascii="Cambria Math" w:hAnsi="Cambria Math"/>
              <w:lang w:val="en-GB"/>
            </w:rPr>
            <m:t>U</m:t>
          </m:r>
          <m:d>
            <m:dPr>
              <m:ctrlPr>
                <w:rPr>
                  <w:rFonts w:ascii="Cambria Math" w:hAnsi="Cambria Math"/>
                  <w:lang w:val="en-GB"/>
                </w:rPr>
              </m:ctrlPr>
            </m:dPr>
            <m:e>
              <m:r>
                <m:rPr>
                  <m:sty m:val="p"/>
                </m:rPr>
                <w:rPr>
                  <w:rFonts w:ascii="Cambria Math" w:hAnsi="Cambria Math"/>
                  <w:lang w:val="en-GB"/>
                </w:rPr>
                <m:t>0.1483</m:t>
              </m:r>
            </m:e>
          </m:d>
        </m:oMath>
      </m:oMathPara>
    </w:p>
    <w:p w14:paraId="5C084809" w14:textId="58663AF3" w:rsidR="00A152CF" w:rsidRPr="006D05D9" w:rsidRDefault="00A152CF" w:rsidP="00FB4136">
      <w:pPr>
        <w:ind w:left="2250"/>
        <w:rPr>
          <w:lang w:val="en-GB"/>
        </w:rPr>
      </w:pPr>
      <m:oMathPara>
        <m:oMathParaPr>
          <m:jc m:val="left"/>
        </m:oMathParaPr>
        <m:oMath>
          <m:r>
            <m:rPr>
              <m:sty m:val="p"/>
            </m:rPr>
            <w:rPr>
              <w:rFonts w:ascii="Cambria Math" w:hAnsi="Cambria Math"/>
              <w:lang w:val="en-GB"/>
            </w:rPr>
            <m:t>=</m:t>
          </m:r>
          <m:r>
            <w:rPr>
              <w:rFonts w:ascii="Cambria Math" w:hAnsi="Cambria Math"/>
              <w:lang w:val="en-GB"/>
            </w:rPr>
            <m:t>EHS</m:t>
          </m:r>
          <m:r>
            <m:rPr>
              <m:sty m:val="p"/>
            </m:rPr>
            <w:rPr>
              <w:rFonts w:ascii="Cambria Math" w:hAnsi="Cambria Math"/>
              <w:lang w:val="en-GB"/>
            </w:rPr>
            <m:t xml:space="preserve">+0.1483 </m:t>
          </m:r>
          <m:r>
            <w:rPr>
              <w:rFonts w:ascii="Cambria Math" w:hAnsi="Cambria Math"/>
              <w:lang w:val="en-GB"/>
            </w:rPr>
            <m:t>SHS</m:t>
          </m:r>
          <m:r>
            <m:rPr>
              <m:sty m:val="p"/>
            </m:rPr>
            <w:rPr>
              <w:rFonts w:ascii="Cambria Math" w:hAnsi="Cambria Math"/>
              <w:lang w:val="en-GB"/>
            </w:rPr>
            <m:t xml:space="preserve">-0.1483 </m:t>
          </m:r>
          <m:r>
            <w:rPr>
              <w:rFonts w:ascii="Cambria Math" w:hAnsi="Cambria Math"/>
              <w:lang w:val="en-GB"/>
            </w:rPr>
            <m:t>EHS</m:t>
          </m:r>
          <m:r>
            <m:rPr>
              <m:sty m:val="p"/>
            </m:rPr>
            <w:rPr>
              <w:rFonts w:ascii="Cambria Math" w:hAnsi="Cambria Math"/>
              <w:lang w:val="en-GB"/>
            </w:rPr>
            <m:t xml:space="preserve">, </m:t>
          </m:r>
          <m:r>
            <w:rPr>
              <w:rFonts w:ascii="Cambria Math" w:hAnsi="Cambria Math"/>
              <w:lang w:val="en-GB"/>
            </w:rPr>
            <m:t>since</m:t>
          </m:r>
          <m:r>
            <m:rPr>
              <m:sty m:val="p"/>
            </m:rPr>
            <w:rPr>
              <w:rFonts w:ascii="Cambria Math" w:hAnsi="Cambria Math"/>
              <w:lang w:val="en-GB"/>
            </w:rPr>
            <m:t xml:space="preserve"> </m:t>
          </m:r>
          <m:r>
            <w:rPr>
              <w:rFonts w:ascii="Cambria Math" w:hAnsi="Cambria Math"/>
              <w:lang w:val="en-GB"/>
            </w:rPr>
            <m:t>U</m:t>
          </m:r>
          <m:r>
            <m:rPr>
              <m:sty m:val="p"/>
            </m:rPr>
            <w:rPr>
              <w:rFonts w:ascii="Cambria Math" w:hAnsi="Cambria Math"/>
              <w:lang w:val="en-GB"/>
            </w:rPr>
            <m:t>=</m:t>
          </m:r>
          <m:r>
            <w:rPr>
              <w:rFonts w:ascii="Cambria Math" w:hAnsi="Cambria Math"/>
              <w:lang w:val="en-GB"/>
            </w:rPr>
            <m:t>SHS</m:t>
          </m:r>
          <m:r>
            <m:rPr>
              <m:sty m:val="p"/>
            </m:rPr>
            <w:rPr>
              <w:rFonts w:ascii="Cambria Math" w:hAnsi="Cambria Math"/>
              <w:lang w:val="en-GB"/>
            </w:rPr>
            <m:t>-</m:t>
          </m:r>
          <m:r>
            <w:rPr>
              <w:rFonts w:ascii="Cambria Math" w:hAnsi="Cambria Math"/>
              <w:lang w:val="en-GB"/>
            </w:rPr>
            <m:t>EHS</m:t>
          </m:r>
        </m:oMath>
      </m:oMathPara>
    </w:p>
    <w:p w14:paraId="74CE42A9" w14:textId="6FD09B16" w:rsidR="00A152CF" w:rsidRPr="006D05D9" w:rsidRDefault="00A152CF" w:rsidP="00FB4136">
      <w:pPr>
        <w:ind w:left="2250"/>
        <w:rPr>
          <w:lang w:val="en-GB"/>
        </w:rPr>
      </w:pPr>
      <m:oMathPara>
        <m:oMathParaPr>
          <m:jc m:val="left"/>
        </m:oMathParaPr>
        <m:oMath>
          <m:r>
            <m:rPr>
              <m:sty m:val="p"/>
            </m:rPr>
            <w:rPr>
              <w:rFonts w:ascii="Cambria Math" w:hAnsi="Cambria Math"/>
              <w:lang w:val="en-GB"/>
            </w:rPr>
            <m:t xml:space="preserve">=0.8517 </m:t>
          </m:r>
          <m:r>
            <w:rPr>
              <w:rFonts w:ascii="Cambria Math" w:hAnsi="Cambria Math"/>
              <w:lang w:val="en-GB"/>
            </w:rPr>
            <m:t>EHS</m:t>
          </m:r>
          <m:r>
            <m:rPr>
              <m:sty m:val="p"/>
            </m:rPr>
            <w:rPr>
              <w:rFonts w:ascii="Cambria Math" w:hAnsi="Cambria Math"/>
              <w:lang w:val="en-GB"/>
            </w:rPr>
            <m:t xml:space="preserve">+0.1483 </m:t>
          </m:r>
          <m:r>
            <w:rPr>
              <w:rFonts w:ascii="Cambria Math" w:hAnsi="Cambria Math"/>
              <w:lang w:val="en-GB"/>
            </w:rPr>
            <m:t>SHS</m:t>
          </m:r>
        </m:oMath>
      </m:oMathPara>
    </w:p>
    <w:p w14:paraId="7F8DFC83" w14:textId="77777777" w:rsidR="00FB4136" w:rsidRPr="006D05D9" w:rsidRDefault="00FB4136" w:rsidP="00FB4136">
      <w:pPr>
        <w:rPr>
          <w:lang w:val="en-GB"/>
        </w:rPr>
      </w:pPr>
    </w:p>
    <w:p w14:paraId="70440A80" w14:textId="69BDE6B5" w:rsidR="00064DCF" w:rsidRPr="006D05D9" w:rsidRDefault="00064DCF" w:rsidP="00083312">
      <w:pPr>
        <w:ind w:firstLine="284"/>
        <w:rPr>
          <w:lang w:val="en-GB"/>
        </w:rPr>
      </w:pPr>
      <w:r w:rsidRPr="006D05D9">
        <w:rPr>
          <w:lang w:val="en-GB"/>
        </w:rPr>
        <w:t xml:space="preserve">However, it </w:t>
      </w:r>
      <w:r w:rsidR="006D3E67" w:rsidRPr="006D05D9">
        <w:rPr>
          <w:lang w:val="en-GB"/>
        </w:rPr>
        <w:t xml:space="preserve">can be very difficult </w:t>
      </w:r>
      <w:r w:rsidRPr="006D05D9">
        <w:rPr>
          <w:lang w:val="en-GB"/>
        </w:rPr>
        <w:t xml:space="preserve">to define a convincing equation or special criteria for </w:t>
      </w:r>
      <w:r w:rsidR="00750E2C" w:rsidRPr="006D05D9">
        <w:rPr>
          <w:lang w:val="en-GB"/>
        </w:rPr>
        <w:t>d</w:t>
      </w:r>
      <w:r w:rsidRPr="006D05D9">
        <w:rPr>
          <w:lang w:val="en-GB"/>
        </w:rPr>
        <w:t xml:space="preserve">esk </w:t>
      </w:r>
      <w:r w:rsidR="00750E2C" w:rsidRPr="006D05D9">
        <w:rPr>
          <w:lang w:val="en-GB"/>
        </w:rPr>
        <w:t>h</w:t>
      </w:r>
      <w:r w:rsidRPr="006D05D9">
        <w:rPr>
          <w:lang w:val="en-GB"/>
        </w:rPr>
        <w:t xml:space="preserve">eight. </w:t>
      </w:r>
      <w:r w:rsidR="00BA4A87" w:rsidRPr="006D05D9">
        <w:rPr>
          <w:lang w:val="en-GB"/>
        </w:rPr>
        <w:t xml:space="preserve">In that regard, </w:t>
      </w:r>
      <w:r w:rsidRPr="006D05D9">
        <w:rPr>
          <w:lang w:val="en-GB"/>
        </w:rPr>
        <w:t xml:space="preserve">Castellucci et al. </w:t>
      </w:r>
      <w:r w:rsidR="00A61E94" w:rsidRPr="006D05D9">
        <w:rPr>
          <w:lang w:val="en-GB"/>
        </w:rPr>
        <w:fldChar w:fldCharType="begin" w:fldLock="1"/>
      </w:r>
      <w:r w:rsidR="00FC57D2" w:rsidRPr="006D05D9">
        <w:rPr>
          <w:lang w:val="en-GB"/>
        </w:rPr>
        <w:instrText>ADDIN CSL_CITATION {"citationItems":[{"id":"ITEM-1","itemData":{"DOI":"10.1016/j.apergo.2014.01.012","ISSN":"1872-9126","PMID":"24560414","abstract":"The mismatch between students and school furniture is likely to result in a number of negative effects, such as uncomfortable body posture, pain, and ultimately, it may also affect the learning process. This study's main aim is to review the literature describing the criteria equations for defining the mismatch between students and school furniture, to apply these equations to a specific sample and, based on the results, to propose a methodology to evaluate school furniture suitability. The literature review comprises one publications database, which was used to identify the studies carried out in the field of the abovementioned mismatch. The sample used for testing the different equations was composed of 2261 volunteer subjects from 14 schools. Fifteen studies were found to meet the criteria of this review and 21 equations to test 6 furniture dimensions were identified. Regarding seat height, there are considerable differences between the two most frequently used equations. Although seat to desk clearance was evaluated by knee height, this condition seems to be based on the false assumption that students are sitting on a chair with a proper seat height. Finally, the proposed methodology for suitability evaluation of school furniture should allow for a more reliable analysis of school furniture.","author":[{"dropping-particle":"","family":"Castellucci","given":"H I","non-dropping-particle":"","parse-names":false,"suffix":""},{"dropping-particle":"","family":"Arezes","given":"P M","non-dropping-particle":"","parse-names":false,"suffix":""},{"dropping-particle":"","family":"Molenbroek","given":"J F M","non-dropping-particle":"","parse-names":false,"suffix":""}],"container-title":"Applied ergonomics","id":"ITEM-1","issue":"4","issued":{"date-parts":[["2014","7"]]},"page":"1123-32","publisher":"Elsevier Ltd","title":"Applying different equations to evaluate the level of mismatch between students and school furniture.","type":"article-journal","volume":"45"},"uris":["http://www.mendeley.com/documents/?uuid=5253ff3f-02c9-40cb-9af4-0cf3f59c2a36"]}],"mendeley":{"formattedCitation":"(Castellucci et al., 2014)","manualFormatting":"(2014)","plainTextFormattedCitation":"(Castellucci et al., 2014)","previouslyFormattedCitation":"(Castellucci et al., 2014)"},"properties":{"noteIndex":0},"schema":"https://github.com/citation-style-language/schema/raw/master/csl-citation.json"}</w:instrText>
      </w:r>
      <w:r w:rsidR="00A61E94" w:rsidRPr="006D05D9">
        <w:rPr>
          <w:lang w:val="en-GB"/>
        </w:rPr>
        <w:fldChar w:fldCharType="separate"/>
      </w:r>
      <w:r w:rsidR="00A61E94" w:rsidRPr="006D05D9">
        <w:rPr>
          <w:lang w:val="en-GB"/>
        </w:rPr>
        <w:t>(2014)</w:t>
      </w:r>
      <w:r w:rsidR="00A61E94" w:rsidRPr="006D05D9">
        <w:rPr>
          <w:lang w:val="en-GB"/>
        </w:rPr>
        <w:fldChar w:fldCharType="end"/>
      </w:r>
      <w:r w:rsidRPr="006D05D9">
        <w:rPr>
          <w:lang w:val="en-GB"/>
        </w:rPr>
        <w:t xml:space="preserve">  showed that the interrelation between </w:t>
      </w:r>
      <w:r w:rsidR="009B6B36" w:rsidRPr="006D05D9">
        <w:rPr>
          <w:lang w:val="en-GB"/>
        </w:rPr>
        <w:t xml:space="preserve">seat to </w:t>
      </w:r>
      <w:r w:rsidR="00750E2C" w:rsidRPr="006D05D9">
        <w:rPr>
          <w:lang w:val="en-GB"/>
        </w:rPr>
        <w:t>d</w:t>
      </w:r>
      <w:r w:rsidRPr="006D05D9">
        <w:rPr>
          <w:lang w:val="en-GB"/>
        </w:rPr>
        <w:t xml:space="preserve">esk </w:t>
      </w:r>
      <w:r w:rsidR="00750E2C" w:rsidRPr="006D05D9">
        <w:rPr>
          <w:lang w:val="en-GB"/>
        </w:rPr>
        <w:t>h</w:t>
      </w:r>
      <w:r w:rsidRPr="006D05D9">
        <w:rPr>
          <w:lang w:val="en-GB"/>
        </w:rPr>
        <w:t xml:space="preserve">eight </w:t>
      </w:r>
      <w:r w:rsidRPr="006D05D9">
        <w:rPr>
          <w:lang w:val="en-GB"/>
        </w:rPr>
        <w:lastRenderedPageBreak/>
        <w:t xml:space="preserve">and </w:t>
      </w:r>
      <w:r w:rsidR="00750E2C" w:rsidRPr="006D05D9">
        <w:rPr>
          <w:lang w:val="en-GB"/>
        </w:rPr>
        <w:t>s</w:t>
      </w:r>
      <w:r w:rsidRPr="006D05D9">
        <w:rPr>
          <w:lang w:val="en-GB"/>
        </w:rPr>
        <w:t xml:space="preserve">eat to </w:t>
      </w:r>
      <w:r w:rsidR="00750E2C" w:rsidRPr="006D05D9">
        <w:rPr>
          <w:lang w:val="en-GB"/>
        </w:rPr>
        <w:t>d</w:t>
      </w:r>
      <w:r w:rsidRPr="006D05D9">
        <w:rPr>
          <w:lang w:val="en-GB"/>
        </w:rPr>
        <w:t xml:space="preserve">esk </w:t>
      </w:r>
      <w:r w:rsidR="00750E2C" w:rsidRPr="006D05D9">
        <w:rPr>
          <w:lang w:val="en-GB"/>
        </w:rPr>
        <w:t>c</w:t>
      </w:r>
      <w:r w:rsidRPr="006D05D9">
        <w:rPr>
          <w:lang w:val="en-GB"/>
        </w:rPr>
        <w:t>learance can be contradictory, even in ideal conditions. From the data of 2,261 students, the results showed that 37% of the students will use a higher</w:t>
      </w:r>
      <w:r w:rsidR="009B6B36" w:rsidRPr="006D05D9">
        <w:rPr>
          <w:lang w:val="en-GB"/>
        </w:rPr>
        <w:t xml:space="preserve"> seat to</w:t>
      </w:r>
      <w:r w:rsidR="000B6289" w:rsidRPr="006D05D9">
        <w:rPr>
          <w:lang w:val="en-GB"/>
        </w:rPr>
        <w:t xml:space="preserve"> desk height</w:t>
      </w:r>
      <w:r w:rsidR="00161CBF" w:rsidRPr="006D05D9">
        <w:rPr>
          <w:lang w:val="en-GB"/>
        </w:rPr>
        <w:t xml:space="preserve"> (high mismatch)</w:t>
      </w:r>
      <w:r w:rsidR="000B6289" w:rsidRPr="006D05D9">
        <w:rPr>
          <w:lang w:val="en-GB"/>
        </w:rPr>
        <w:t>, rather</w:t>
      </w:r>
      <w:r w:rsidRPr="006D05D9">
        <w:rPr>
          <w:lang w:val="en-GB"/>
        </w:rPr>
        <w:t xml:space="preserve"> than safely recommended </w:t>
      </w:r>
      <w:r w:rsidR="0022504D" w:rsidRPr="006D05D9">
        <w:rPr>
          <w:lang w:val="en-GB"/>
        </w:rPr>
        <w:t xml:space="preserve">seat to </w:t>
      </w:r>
      <w:r w:rsidR="00750E2C" w:rsidRPr="006D05D9">
        <w:rPr>
          <w:lang w:val="en-GB"/>
        </w:rPr>
        <w:t>d</w:t>
      </w:r>
      <w:r w:rsidRPr="006D05D9">
        <w:rPr>
          <w:lang w:val="en-GB"/>
        </w:rPr>
        <w:t xml:space="preserve">esk </w:t>
      </w:r>
      <w:r w:rsidR="00750E2C" w:rsidRPr="006D05D9">
        <w:rPr>
          <w:lang w:val="en-GB"/>
        </w:rPr>
        <w:t>h</w:t>
      </w:r>
      <w:r w:rsidRPr="006D05D9">
        <w:rPr>
          <w:lang w:val="en-GB"/>
        </w:rPr>
        <w:t xml:space="preserve">eight </w:t>
      </w:r>
      <w:r w:rsidR="000B6289" w:rsidRPr="006D05D9">
        <w:rPr>
          <w:lang w:val="en-GB"/>
        </w:rPr>
        <w:t>given by the</w:t>
      </w:r>
      <w:r w:rsidRPr="006D05D9">
        <w:rPr>
          <w:lang w:val="en-GB"/>
        </w:rPr>
        <w:t xml:space="preserve"> Chaffin and Anderson’s principles </w:t>
      </w:r>
      <w:r w:rsidR="00DA1955" w:rsidRPr="006D05D9">
        <w:rPr>
          <w:lang w:val="en-GB"/>
        </w:rPr>
        <w:fldChar w:fldCharType="begin" w:fldLock="1"/>
      </w:r>
      <w:r w:rsidR="00286DAD" w:rsidRPr="006D05D9">
        <w:rPr>
          <w:lang w:val="en-GB"/>
        </w:rPr>
        <w:instrText>ADDIN CSL_CITATION {"citationItems":[{"id":"ITEM-1","itemData":{"author":[{"dropping-particle":"","family":"Chaffin","given":"D.","non-dropping-particle":"","parse-names":false,"suffix":""},{"dropping-particle":"","family":"Anderson","given":"G.","non-dropping-particle":"","parse-names":false,"suffix":""}],"edition":"2nd","id":"ITEM-1","issued":{"date-parts":[["1991"]]},"publisher":"John Wiley","publisher-place":"New York","title":"Occupational Biomechanics","type":"book"},"uris":["http://www.mendeley.com/documents/?uuid=2191a9f7-758a-4c2c-867e-f8ac74183476"]}],"mendeley":{"formattedCitation":"(Chaffin and Anderson, 1991)","plainTextFormattedCitation":"(Chaffin and Anderson, 1991)","previouslyFormattedCitation":"(Chaffin and Anderson, 1991)"},"properties":{"noteIndex":0},"schema":"https://github.com/citation-style-language/schema/raw/master/csl-citation.json"}</w:instrText>
      </w:r>
      <w:r w:rsidR="00DA1955" w:rsidRPr="006D05D9">
        <w:rPr>
          <w:lang w:val="en-GB"/>
        </w:rPr>
        <w:fldChar w:fldCharType="separate"/>
      </w:r>
      <w:r w:rsidR="00286DAD" w:rsidRPr="006D05D9">
        <w:rPr>
          <w:lang w:val="en-GB"/>
        </w:rPr>
        <w:t>(Chaffin and Anderson, 1991)</w:t>
      </w:r>
      <w:r w:rsidR="00DA1955" w:rsidRPr="006D05D9">
        <w:rPr>
          <w:lang w:val="en-GB"/>
        </w:rPr>
        <w:fldChar w:fldCharType="end"/>
      </w:r>
      <w:r w:rsidRPr="006D05D9">
        <w:rPr>
          <w:lang w:val="en-GB"/>
        </w:rPr>
        <w:t xml:space="preserve">. This situation can also be explained by the different values of Elbow height sitting and Tight </w:t>
      </w:r>
      <w:r w:rsidR="000B6289" w:rsidRPr="006D05D9">
        <w:rPr>
          <w:lang w:val="en-GB"/>
        </w:rPr>
        <w:t>thickness</w:t>
      </w:r>
      <w:r w:rsidRPr="006D05D9">
        <w:rPr>
          <w:lang w:val="en-GB"/>
        </w:rPr>
        <w:t>, where the latter is highly dependent on obesity and its increase in the population</w:t>
      </w:r>
      <w:r w:rsidR="00736070" w:rsidRPr="006D05D9">
        <w:rPr>
          <w:lang w:val="en-GB"/>
        </w:rPr>
        <w:t xml:space="preserve"> </w:t>
      </w:r>
      <w:r w:rsidR="00736070" w:rsidRPr="006D05D9">
        <w:rPr>
          <w:lang w:val="en-GB"/>
        </w:rPr>
        <w:fldChar w:fldCharType="begin" w:fldLock="1"/>
      </w:r>
      <w:r w:rsidR="001A4C71" w:rsidRPr="006D05D9">
        <w:rPr>
          <w:lang w:val="en-GB"/>
        </w:rPr>
        <w:instrText>ADDIN CSL_CITATION {"citationItems":[{"id":"ITEM-1","itemData":{"DOI":"10.4067/S0717-75182018000100006","ISSN":"0717-7518","author":[{"dropping-particle":"","family":"Vio del Rio","given":"F.","non-dropping-particle":"","parse-names":false,"suffix":""}],"container-title":"Revista chilena de nutrición","id":"ITEM-1","issue":"1","issued":{"date-parts":[["2018"]]},"page":"6-6","title":"Aumento de la obesidad en chile y en el mundo","type":"article-journal","volume":"45"},"uris":["http://www.mendeley.com/documents/?uuid=4a893dd6-99bc-43af-ad3b-1848350744aa"]}],"mendeley":{"formattedCitation":"(Vio del Rio, 2018)","plainTextFormattedCitation":"(Vio del Rio, 2018)","previouslyFormattedCitation":"(Vio del Rio, 2018)"},"properties":{"noteIndex":0},"schema":"https://github.com/citation-style-language/schema/raw/master/csl-citation.json"}</w:instrText>
      </w:r>
      <w:r w:rsidR="00736070" w:rsidRPr="006D05D9">
        <w:rPr>
          <w:lang w:val="en-GB"/>
        </w:rPr>
        <w:fldChar w:fldCharType="separate"/>
      </w:r>
      <w:r w:rsidR="00736070" w:rsidRPr="006D05D9">
        <w:rPr>
          <w:lang w:val="en-GB"/>
        </w:rPr>
        <w:t>(Vio del Rio, 2018)</w:t>
      </w:r>
      <w:r w:rsidR="00736070" w:rsidRPr="006D05D9">
        <w:rPr>
          <w:lang w:val="en-GB"/>
        </w:rPr>
        <w:fldChar w:fldCharType="end"/>
      </w:r>
      <w:r w:rsidR="00736070" w:rsidRPr="006D05D9">
        <w:rPr>
          <w:lang w:val="en-GB"/>
        </w:rPr>
        <w:t>.</w:t>
      </w:r>
      <w:r w:rsidRPr="006D05D9">
        <w:rPr>
          <w:lang w:val="en-GB"/>
        </w:rPr>
        <w:t xml:space="preserve"> </w:t>
      </w:r>
    </w:p>
    <w:p w14:paraId="45E73C66" w14:textId="7D53B7D3" w:rsidR="00BE40A8" w:rsidRPr="006D05D9" w:rsidRDefault="00BE40A8" w:rsidP="00FB4136">
      <w:pPr>
        <w:rPr>
          <w:lang w:val="en-GB"/>
        </w:rPr>
      </w:pPr>
    </w:p>
    <w:p w14:paraId="3D8B3FC2" w14:textId="1FA5D848" w:rsidR="004E796B" w:rsidRPr="006D05D9" w:rsidRDefault="000E4E04" w:rsidP="004E796B">
      <w:pPr>
        <w:ind w:firstLine="284"/>
        <w:rPr>
          <w:lang w:val="en-GB"/>
        </w:rPr>
      </w:pPr>
      <w:r w:rsidRPr="006D05D9">
        <w:rPr>
          <w:lang w:val="en-GB"/>
        </w:rPr>
        <w:t>Considering the bottom to top approach</w:t>
      </w:r>
      <w:r w:rsidR="00533AEF" w:rsidRPr="006D05D9">
        <w:rPr>
          <w:lang w:val="en-GB"/>
        </w:rPr>
        <w:t xml:space="preserve"> </w:t>
      </w:r>
      <w:r w:rsidR="005604A4" w:rsidRPr="006D05D9">
        <w:rPr>
          <w:lang w:val="en-GB"/>
        </w:rPr>
        <w:t xml:space="preserve">design and evaluation of school furniture should always start with </w:t>
      </w:r>
      <w:r w:rsidR="00750E2C" w:rsidRPr="006D05D9">
        <w:rPr>
          <w:lang w:val="en-GB"/>
        </w:rPr>
        <w:t>s</w:t>
      </w:r>
      <w:r w:rsidR="005604A4" w:rsidRPr="006D05D9">
        <w:rPr>
          <w:lang w:val="en-GB"/>
        </w:rPr>
        <w:t xml:space="preserve">eat </w:t>
      </w:r>
      <w:r w:rsidR="00750E2C" w:rsidRPr="006D05D9">
        <w:rPr>
          <w:lang w:val="en-GB"/>
        </w:rPr>
        <w:t>h</w:t>
      </w:r>
      <w:r w:rsidR="005604A4" w:rsidRPr="006D05D9">
        <w:rPr>
          <w:lang w:val="en-GB"/>
        </w:rPr>
        <w:t>eight</w:t>
      </w:r>
      <w:r w:rsidR="000A68D5" w:rsidRPr="006D05D9">
        <w:rPr>
          <w:lang w:val="en-GB"/>
        </w:rPr>
        <w:t xml:space="preserve"> </w:t>
      </w:r>
      <w:r w:rsidR="000A68D5" w:rsidRPr="006D05D9">
        <w:rPr>
          <w:lang w:val="en-GB"/>
        </w:rPr>
        <w:fldChar w:fldCharType="begin" w:fldLock="1"/>
      </w:r>
      <w:r w:rsidR="000A68D5" w:rsidRPr="006D05D9">
        <w:rPr>
          <w:lang w:val="en-GB"/>
        </w:rPr>
        <w:instrText>ADDIN CSL_CITATION {"citationItems":[{"id":"ITEM-1","itemData":{"DOI":"10.1016/j.ergon.2015.05.002","ISSN":"18728219","abstract":"The present study reviews the scientific literature that describes the criteria equations for defining the mismatch between students and school furniture. This mismatch may negatively affect students' performance and comfort. Seventeen studies met the criteria of this review and twenty-one equations to test six furniture dimensions were identified. There was substantial mismatch between the relative heights of chairs and tables. Some systematic errors have been found during the application of the different equations, such as the assumption that students are sitting on chairs with a proper seat height. Only one study considered the cumulative fit. Finally, some equations are based on contradictory criteria and need to develop and evaluate new equations for these cases. Relevance to industry: Ultimately, the present work is a contribution toward improving the evaluation of school furniture and could be used to design ergonomic-oriented classroom furniture.","author":[{"dropping-particle":"","family":"Castellucci","given":"H I","non-dropping-particle":"","parse-names":false,"suffix":""},{"dropping-particle":"","family":"Arezes","given":"P M","non-dropping-particle":"","parse-names":false,"suffix":""},{"dropping-particle":"","family":"Molenbroek","given":"J. F.M.","non-dropping-particle":"","parse-names":false,"suffix":""}],"container-title":"International Journal of Industrial Ergonomics","id":"ITEM-1","issued":{"date-parts":[["2015"]]},"page":"117-126","publisher":"Elsevier Ltd","title":"Equations for defining the mismatch between students and school furniture: A systematic review","type":"article-journal","volume":"48"},"uris":["http://www.mendeley.com/documents/?uuid=a15cfd78-9497-4c66-b031-48155c3e7fd0"]}],"mendeley":{"formattedCitation":"(Castellucci et al., 2015)","plainTextFormattedCitation":"(Castellucci et al., 2015)","previouslyFormattedCitation":"(Castellucci et al., 2015)"},"properties":{"noteIndex":0},"schema":"https://github.com/citation-style-language/schema/raw/master/csl-citation.json"}</w:instrText>
      </w:r>
      <w:r w:rsidR="000A68D5" w:rsidRPr="006D05D9">
        <w:rPr>
          <w:lang w:val="en-GB"/>
        </w:rPr>
        <w:fldChar w:fldCharType="separate"/>
      </w:r>
      <w:r w:rsidR="000A68D5" w:rsidRPr="006D05D9">
        <w:rPr>
          <w:lang w:val="en-GB"/>
        </w:rPr>
        <w:t>(Castellucci et al., 2015)</w:t>
      </w:r>
      <w:r w:rsidR="000A68D5" w:rsidRPr="006D05D9">
        <w:rPr>
          <w:lang w:val="en-GB"/>
        </w:rPr>
        <w:fldChar w:fldCharType="end"/>
      </w:r>
      <w:r w:rsidR="005604A4" w:rsidRPr="006D05D9">
        <w:rPr>
          <w:lang w:val="en-GB"/>
        </w:rPr>
        <w:t>. Secondly, the students need an under-table space that large enough to push the chair under</w:t>
      </w:r>
      <w:r w:rsidR="009D035D" w:rsidRPr="006D05D9">
        <w:rPr>
          <w:lang w:val="en-GB"/>
        </w:rPr>
        <w:t xml:space="preserve">neath it, thus </w:t>
      </w:r>
      <w:r w:rsidR="00E05ECD" w:rsidRPr="006D05D9">
        <w:rPr>
          <w:lang w:val="en-GB"/>
        </w:rPr>
        <w:t>allow</w:t>
      </w:r>
      <w:r w:rsidR="009D035D" w:rsidRPr="006D05D9">
        <w:rPr>
          <w:lang w:val="en-GB"/>
        </w:rPr>
        <w:t>ing</w:t>
      </w:r>
      <w:r w:rsidR="005604A4" w:rsidRPr="006D05D9">
        <w:rPr>
          <w:lang w:val="en-GB"/>
        </w:rPr>
        <w:t xml:space="preserve"> free movement of their legs. </w:t>
      </w:r>
      <w:r w:rsidRPr="006D05D9">
        <w:rPr>
          <w:lang w:val="en-GB"/>
        </w:rPr>
        <w:t xml:space="preserve">There are not many changes that can be made to the </w:t>
      </w:r>
      <w:r w:rsidR="00750E2C" w:rsidRPr="006D05D9">
        <w:rPr>
          <w:lang w:val="en-GB"/>
        </w:rPr>
        <w:t>s</w:t>
      </w:r>
      <w:r w:rsidR="00C50998" w:rsidRPr="006D05D9">
        <w:rPr>
          <w:lang w:val="en-GB"/>
        </w:rPr>
        <w:t>eat</w:t>
      </w:r>
      <w:r w:rsidR="003B2A67" w:rsidRPr="006D05D9">
        <w:rPr>
          <w:lang w:val="en-GB"/>
        </w:rPr>
        <w:t xml:space="preserve"> to </w:t>
      </w:r>
      <w:r w:rsidR="00750E2C" w:rsidRPr="006D05D9">
        <w:rPr>
          <w:lang w:val="en-GB"/>
        </w:rPr>
        <w:t>d</w:t>
      </w:r>
      <w:r w:rsidR="00C50998" w:rsidRPr="006D05D9">
        <w:rPr>
          <w:lang w:val="en-GB"/>
        </w:rPr>
        <w:t xml:space="preserve">esk </w:t>
      </w:r>
      <w:r w:rsidR="00750E2C" w:rsidRPr="006D05D9">
        <w:rPr>
          <w:lang w:val="en-GB"/>
        </w:rPr>
        <w:t>clearance</w:t>
      </w:r>
      <w:r w:rsidRPr="006D05D9">
        <w:rPr>
          <w:lang w:val="en-GB"/>
        </w:rPr>
        <w:t xml:space="preserve"> equation</w:t>
      </w:r>
      <w:r w:rsidR="00C50998" w:rsidRPr="006D05D9">
        <w:rPr>
          <w:lang w:val="en-GB"/>
        </w:rPr>
        <w:t>s</w:t>
      </w:r>
      <w:r w:rsidRPr="006D05D9">
        <w:rPr>
          <w:lang w:val="en-GB"/>
        </w:rPr>
        <w:t xml:space="preserve"> since it is a convenient equation for the determination of space and can be easily applied if the researchers use </w:t>
      </w:r>
      <w:r w:rsidR="00750E2C" w:rsidRPr="006D05D9">
        <w:rPr>
          <w:lang w:val="en-GB"/>
        </w:rPr>
        <w:t>t</w:t>
      </w:r>
      <w:r w:rsidR="00C50998" w:rsidRPr="006D05D9">
        <w:rPr>
          <w:lang w:val="en-GB"/>
        </w:rPr>
        <w:t xml:space="preserve">ight </w:t>
      </w:r>
      <w:r w:rsidR="00750E2C" w:rsidRPr="006D05D9">
        <w:rPr>
          <w:lang w:val="en-GB"/>
        </w:rPr>
        <w:t>t</w:t>
      </w:r>
      <w:r w:rsidR="00C50998" w:rsidRPr="006D05D9">
        <w:rPr>
          <w:lang w:val="en-GB"/>
        </w:rPr>
        <w:t>hickness</w:t>
      </w:r>
      <w:r w:rsidRPr="006D05D9">
        <w:rPr>
          <w:lang w:val="en-GB"/>
        </w:rPr>
        <w:t xml:space="preserve">. </w:t>
      </w:r>
      <w:r w:rsidR="002A7261" w:rsidRPr="006D05D9">
        <w:rPr>
          <w:lang w:val="en-GB"/>
        </w:rPr>
        <w:t>Moreover</w:t>
      </w:r>
      <w:r w:rsidRPr="006D05D9">
        <w:rPr>
          <w:lang w:val="en-GB"/>
        </w:rPr>
        <w:t xml:space="preserve">, there is not sufficient data available to justify </w:t>
      </w:r>
      <w:r w:rsidR="00FC57D2" w:rsidRPr="006D05D9">
        <w:rPr>
          <w:lang w:val="en-GB"/>
        </w:rPr>
        <w:t>continuing</w:t>
      </w:r>
      <w:r w:rsidRPr="006D05D9">
        <w:rPr>
          <w:lang w:val="en-GB"/>
        </w:rPr>
        <w:t xml:space="preserve"> </w:t>
      </w:r>
      <w:r w:rsidR="007C2B25" w:rsidRPr="006D05D9">
        <w:rPr>
          <w:lang w:val="en-GB"/>
        </w:rPr>
        <w:t xml:space="preserve">to use </w:t>
      </w:r>
      <w:r w:rsidR="00750E2C" w:rsidRPr="006D05D9">
        <w:rPr>
          <w:lang w:val="en-GB"/>
        </w:rPr>
        <w:t xml:space="preserve">the </w:t>
      </w:r>
      <w:r w:rsidR="00DA1955" w:rsidRPr="006D05D9">
        <w:rPr>
          <w:lang w:val="en-GB"/>
        </w:rPr>
        <w:t xml:space="preserve">maximum </w:t>
      </w:r>
      <w:r w:rsidR="00750E2C" w:rsidRPr="006D05D9">
        <w:rPr>
          <w:lang w:val="en-GB"/>
        </w:rPr>
        <w:t>desk height</w:t>
      </w:r>
      <w:r w:rsidR="00DA1955" w:rsidRPr="006D05D9">
        <w:rPr>
          <w:lang w:val="en-GB"/>
        </w:rPr>
        <w:t xml:space="preserve"> proposed by Parcells et al. (1999)</w:t>
      </w:r>
      <w:r w:rsidRPr="006D05D9">
        <w:rPr>
          <w:lang w:val="en-GB"/>
        </w:rPr>
        <w:t xml:space="preserve">. </w:t>
      </w:r>
      <w:r w:rsidR="00893955" w:rsidRPr="006D05D9">
        <w:rPr>
          <w:lang w:val="en-GB"/>
        </w:rPr>
        <w:t>Furthermore,</w:t>
      </w:r>
      <w:r w:rsidRPr="006D05D9">
        <w:rPr>
          <w:lang w:val="en-GB"/>
        </w:rPr>
        <w:t xml:space="preserve"> the criteria presented by Chaffin and Anderson (1991) do not take elbow or forearm support into consideration, which could reduce the strain on the shoulder</w:t>
      </w:r>
      <w:r w:rsidR="00DA1955" w:rsidRPr="006D05D9">
        <w:rPr>
          <w:lang w:val="en-GB"/>
        </w:rPr>
        <w:t xml:space="preserve"> </w:t>
      </w:r>
      <w:r w:rsidRPr="006D05D9">
        <w:rPr>
          <w:lang w:val="en-GB"/>
        </w:rPr>
        <w:fldChar w:fldCharType="begin" w:fldLock="1"/>
      </w:r>
      <w:r w:rsidRPr="006D05D9">
        <w:rPr>
          <w:lang w:val="en-GB"/>
        </w:rPr>
        <w:instrText>ADDIN CSL_CITATION {"citationItems":[{"id":"ITEM-1","itemData":{"DOI":"10.3233/WOR-2009-0903","author":[{"dropping-particle":"","family":"Slot","given":"Tegan","non-dropping-particle":"","parse-names":false,"suffix":""},{"dropping-particle":"","family":"Charpentier","given":"Karine","non-dropping-particle":"","parse-names":false,"suffix":""}],"container-title":"WORK A Journal of Prevention, Assessment &amp; Rehabilitation","id":"ITEM-1","issued":{"date-parts":[["2009"]]},"page":"67-77","title":"Evaluation of forearm support provided by the Workplace Board on perceived tension , comfort and productivity in pregnant and non-pregnant computer users","type":"article-journal","volume":"34"},"uris":["http://www.mendeley.com/documents/?uuid=7f50f5e4-7382-42c3-bcdd-4143628a8f7b"]}],"mendeley":{"formattedCitation":"(Slot and Charpentier, 2009)","plainTextFormattedCitation":"(Slot and Charpentier, 2009)","previouslyFormattedCitation":"(Slot and Charpentier, 2009)"},"properties":{"noteIndex":0},"schema":"https://github.com/citation-style-language/schema/raw/master/csl-citation.json"}</w:instrText>
      </w:r>
      <w:r w:rsidRPr="006D05D9">
        <w:rPr>
          <w:lang w:val="en-GB"/>
        </w:rPr>
        <w:fldChar w:fldCharType="separate"/>
      </w:r>
      <w:r w:rsidR="00286DAD" w:rsidRPr="006D05D9">
        <w:rPr>
          <w:lang w:val="en-GB"/>
        </w:rPr>
        <w:t>(Slot and Charpentier, 2009)</w:t>
      </w:r>
      <w:r w:rsidRPr="006D05D9">
        <w:rPr>
          <w:lang w:val="en-GB"/>
        </w:rPr>
        <w:fldChar w:fldCharType="end"/>
      </w:r>
      <w:r w:rsidRPr="006D05D9">
        <w:rPr>
          <w:lang w:val="en-GB"/>
        </w:rPr>
        <w:t xml:space="preserve">. </w:t>
      </w:r>
      <w:r w:rsidR="00547AB2" w:rsidRPr="006D05D9">
        <w:rPr>
          <w:lang w:val="en-GB"/>
        </w:rPr>
        <w:t>Additionally</w:t>
      </w:r>
      <w:r w:rsidRPr="006D05D9">
        <w:rPr>
          <w:lang w:val="en-GB"/>
        </w:rPr>
        <w:t xml:space="preserve">, </w:t>
      </w:r>
      <w:r w:rsidR="00EE436F" w:rsidRPr="006D05D9">
        <w:rPr>
          <w:lang w:val="en-GB"/>
        </w:rPr>
        <w:t>some authors</w:t>
      </w:r>
      <w:r w:rsidRPr="006D05D9">
        <w:rPr>
          <w:lang w:val="en-GB"/>
        </w:rPr>
        <w:t xml:space="preserve"> suggest that for writing and drawing with forearm or elbow support, the table should be positioned 10</w:t>
      </w:r>
      <w:r w:rsidR="004E796B" w:rsidRPr="006D05D9">
        <w:rPr>
          <w:lang w:val="en-GB"/>
        </w:rPr>
        <w:t xml:space="preserve"> </w:t>
      </w:r>
      <w:r w:rsidRPr="006D05D9">
        <w:rPr>
          <w:lang w:val="en-GB"/>
        </w:rPr>
        <w:t xml:space="preserve">cm above EHS </w:t>
      </w:r>
      <w:r w:rsidRPr="006D05D9">
        <w:rPr>
          <w:lang w:val="en-GB"/>
        </w:rPr>
        <w:fldChar w:fldCharType="begin" w:fldLock="1"/>
      </w:r>
      <w:r w:rsidRPr="006D05D9">
        <w:rPr>
          <w:lang w:val="en-GB"/>
        </w:rPr>
        <w:instrText>ADDIN CSL_CITATION {"citationItems":[{"id":"ITEM-1","itemData":{"author":[{"dropping-particle":"","family":"Pheasant","given":"S","non-dropping-particle":"","parse-names":false,"suffix":""}],"edition":"Second","id":"ITEM-1","issued":{"date-parts":[["2003"]]},"note":"From Duplicate 5 ( Bodyspace - Pheasant, S )\n\nFrom Duplicate 2 ( Bodyspace - Pheasant, S )\n\nFrom Duplicate 2 ( Bodyspace - Pheasant, S )\n\nFrom Duplicate 2 ( Bodyspace - Pheasant, S )\n\n\n\n\n\n\n\n\n\nFrom Duplicate 10 ( Bodyspace - Pheasant, S )\n\nFrom Duplicate 2 ( Bodyspace - Pheasant, S )\n","publisher":"Taylor &amp; Francis","publisher-place":"London","title":"Bodyspace","type":"book"},"uris":["http://www.mendeley.com/documents/?uuid=e7003155-ccb2-47bd-9fa2-65adf21a2a03"]},{"id":"ITEM-2","itemData":{"author":[{"dropping-particle":"","family":"Kroemer","given":"K H E","non-dropping-particle":"","parse-names":false,"suffix":""},{"dropping-particle":"","family":"Grandjean","given":"E","non-dropping-particle":"","parse-names":false,"suffix":""}],"id":"ITEM-2","issued":{"date-parts":[["1997"]]},"publisher":"Taylor &amp; Francis","publisher-place":"London","title":"Fitting the task to the human. A textbook of occupational Ergonomics","type":"article"},"uris":["http://www.mendeley.com/documents/?uuid=91229116-2ae4-4f0d-ad17-ffcd3d814383"]}],"mendeley":{"formattedCitation":"(Kroemer and Grandjean, 1997; Pheasant, 2003)","plainTextFormattedCitation":"(Kroemer and Grandjean, 1997; Pheasant, 2003)","previouslyFormattedCitation":"(Kroemer and Grandjean, 1997; Pheasant, 2003)"},"properties":{"noteIndex":0},"schema":"https://github.com/citation-style-language/schema/raw/master/csl-citation.json"}</w:instrText>
      </w:r>
      <w:r w:rsidRPr="006D05D9">
        <w:rPr>
          <w:lang w:val="en-GB"/>
        </w:rPr>
        <w:fldChar w:fldCharType="separate"/>
      </w:r>
      <w:r w:rsidR="00286DAD" w:rsidRPr="006D05D9">
        <w:rPr>
          <w:lang w:val="en-GB"/>
        </w:rPr>
        <w:t>(Kroemer and Grandjean, 1997; Pheasant, 2003)</w:t>
      </w:r>
      <w:r w:rsidRPr="006D05D9">
        <w:rPr>
          <w:lang w:val="en-GB"/>
        </w:rPr>
        <w:fldChar w:fldCharType="end"/>
      </w:r>
      <w:r w:rsidRPr="006D05D9">
        <w:rPr>
          <w:lang w:val="en-GB"/>
        </w:rPr>
        <w:t>.</w:t>
      </w:r>
      <w:r w:rsidR="004E796B" w:rsidRPr="006D05D9">
        <w:rPr>
          <w:lang w:val="en-GB"/>
        </w:rPr>
        <w:t xml:space="preserve"> Finally, 30° abduction can be considered a safe posture for the shoulder </w:t>
      </w:r>
      <w:r w:rsidR="00D923C7" w:rsidRPr="006D05D9">
        <w:rPr>
          <w:lang w:val="en-GB"/>
        </w:rPr>
        <w:t xml:space="preserve">as </w:t>
      </w:r>
      <w:r w:rsidR="004E796B" w:rsidRPr="006D05D9">
        <w:rPr>
          <w:lang w:val="en-GB"/>
        </w:rPr>
        <w:t xml:space="preserve">elbow/forearm support modifies the shoulder`s biomechanics, shifting the pivot from the shoulder to the elbow, thus reducing the strain on the first </w:t>
      </w:r>
      <w:r w:rsidR="004E796B" w:rsidRPr="006D05D9">
        <w:rPr>
          <w:lang w:val="en-GB"/>
        </w:rPr>
        <w:fldChar w:fldCharType="begin" w:fldLock="1"/>
      </w:r>
      <w:r w:rsidR="004E796B" w:rsidRPr="006D05D9">
        <w:rPr>
          <w:lang w:val="en-GB"/>
        </w:rPr>
        <w:instrText>ADDIN CSL_CITATION {"citationItems":[{"id":"ITEM-1","itemData":{"DOI":"10.1002/9781118131350.ch12","author":[{"dropping-particle":"","family":"Marras","given":"William S.","non-dropping-particle":"","parse-names":false,"suffix":""}],"container-title":"Handbook of Human Factors and Ergonomics","id":"ITEM-1","issued":{"date-parts":[["2012","3","7"]]},"page":"347-381","publisher":"Wiley","title":"Basic Biomechanics and Workstation Design","type":"chapter"},"uris":["http://www.mendeley.com/documents/?uuid=8fcd2008-4d39-458e-952c-3b83224dca69"]}],"mendeley":{"formattedCitation":"(Marras, 2012)","plainTextFormattedCitation":"(Marras, 2012)","previouslyFormattedCitation":"(Marras, 2012)"},"properties":{"noteIndex":0},"schema":"https://github.com/citation-style-language/schema/raw/master/csl-citation.json"}</w:instrText>
      </w:r>
      <w:r w:rsidR="004E796B" w:rsidRPr="006D05D9">
        <w:rPr>
          <w:lang w:val="en-GB"/>
        </w:rPr>
        <w:fldChar w:fldCharType="separate"/>
      </w:r>
      <w:r w:rsidR="004E796B" w:rsidRPr="006D05D9">
        <w:rPr>
          <w:lang w:val="en-GB"/>
        </w:rPr>
        <w:t>(Marras, 2012)</w:t>
      </w:r>
      <w:r w:rsidR="004E796B" w:rsidRPr="006D05D9">
        <w:rPr>
          <w:lang w:val="en-GB"/>
        </w:rPr>
        <w:fldChar w:fldCharType="end"/>
      </w:r>
      <w:r w:rsidR="004E796B" w:rsidRPr="006D05D9">
        <w:rPr>
          <w:lang w:val="en-GB"/>
        </w:rPr>
        <w:t xml:space="preserve">. </w:t>
      </w:r>
    </w:p>
    <w:p w14:paraId="59B508FA" w14:textId="2219BF95" w:rsidR="00427513" w:rsidRPr="006D05D9" w:rsidRDefault="00427513" w:rsidP="004E796B">
      <w:pPr>
        <w:ind w:firstLine="284"/>
        <w:rPr>
          <w:lang w:val="en-GB"/>
        </w:rPr>
      </w:pPr>
    </w:p>
    <w:p w14:paraId="523E8326" w14:textId="17D79B6F" w:rsidR="00427513" w:rsidRPr="006D05D9" w:rsidRDefault="00750E2C" w:rsidP="00083312">
      <w:pPr>
        <w:ind w:firstLine="284"/>
        <w:rPr>
          <w:lang w:val="en-GB"/>
        </w:rPr>
      </w:pPr>
      <w:r w:rsidRPr="006D05D9">
        <w:rPr>
          <w:lang w:val="en-GB"/>
        </w:rPr>
        <w:t xml:space="preserve">The aim of the current paper is thus to </w:t>
      </w:r>
      <w:r w:rsidR="00427513" w:rsidRPr="006D05D9">
        <w:rPr>
          <w:lang w:val="en-GB"/>
        </w:rPr>
        <w:t xml:space="preserve">determine </w:t>
      </w:r>
      <w:r w:rsidR="00EA4B2E" w:rsidRPr="006D05D9">
        <w:rPr>
          <w:lang w:val="en-GB"/>
        </w:rPr>
        <w:t>the</w:t>
      </w:r>
      <w:r w:rsidR="00427513" w:rsidRPr="006D05D9">
        <w:rPr>
          <w:lang w:val="en-GB"/>
        </w:rPr>
        <w:t xml:space="preserve"> differences in the </w:t>
      </w:r>
      <w:r w:rsidR="00D13E4C" w:rsidRPr="006D05D9">
        <w:rPr>
          <w:lang w:val="en-GB"/>
        </w:rPr>
        <w:t xml:space="preserve">kinematics, </w:t>
      </w:r>
      <w:r w:rsidR="00632A62">
        <w:rPr>
          <w:lang w:val="en-GB"/>
        </w:rPr>
        <w:t>EMG</w:t>
      </w:r>
      <w:r w:rsidR="00D13E4C" w:rsidRPr="006D05D9">
        <w:rPr>
          <w:lang w:val="en-GB"/>
        </w:rPr>
        <w:t xml:space="preserve">, performance, </w:t>
      </w:r>
      <w:r w:rsidR="00AA74EF" w:rsidRPr="006D05D9">
        <w:rPr>
          <w:lang w:val="en-GB"/>
        </w:rPr>
        <w:t>preference,</w:t>
      </w:r>
      <w:r w:rsidR="00D13E4C" w:rsidRPr="006D05D9">
        <w:rPr>
          <w:lang w:val="en-GB"/>
        </w:rPr>
        <w:t xml:space="preserve"> and discomfort</w:t>
      </w:r>
      <w:r w:rsidR="00427513" w:rsidRPr="006D05D9">
        <w:rPr>
          <w:lang w:val="en-GB"/>
        </w:rPr>
        <w:t xml:space="preserve"> variables during the use of</w:t>
      </w:r>
      <w:r w:rsidR="00F201C4" w:rsidRPr="006D05D9">
        <w:rPr>
          <w:lang w:val="en-GB"/>
        </w:rPr>
        <w:t xml:space="preserve"> maximum</w:t>
      </w:r>
      <w:r w:rsidR="00427513" w:rsidRPr="006D05D9">
        <w:rPr>
          <w:lang w:val="en-GB"/>
        </w:rPr>
        <w:t xml:space="preserve"> desk</w:t>
      </w:r>
      <w:r w:rsidR="00F201C4" w:rsidRPr="006D05D9">
        <w:rPr>
          <w:lang w:val="en-GB"/>
        </w:rPr>
        <w:t xml:space="preserve"> height </w:t>
      </w:r>
      <w:r w:rsidR="00D55713" w:rsidRPr="006D05D9">
        <w:rPr>
          <w:lang w:val="en-GB"/>
        </w:rPr>
        <w:t xml:space="preserve">of the </w:t>
      </w:r>
      <w:r w:rsidR="00F201C4" w:rsidRPr="006D05D9">
        <w:rPr>
          <w:lang w:val="en-GB"/>
        </w:rPr>
        <w:t>equation</w:t>
      </w:r>
      <w:r w:rsidR="00FC57D2" w:rsidRPr="006D05D9">
        <w:rPr>
          <w:lang w:val="en-GB"/>
        </w:rPr>
        <w:t xml:space="preserve"> considering</w:t>
      </w:r>
      <w:r w:rsidR="00427513" w:rsidRPr="006D05D9">
        <w:rPr>
          <w:lang w:val="en-GB"/>
        </w:rPr>
        <w:t xml:space="preserve"> the principles of Chaffin and Anderson</w:t>
      </w:r>
      <w:r w:rsidR="00121D9E" w:rsidRPr="006D05D9">
        <w:rPr>
          <w:lang w:val="en-GB"/>
        </w:rPr>
        <w:t xml:space="preserve"> </w:t>
      </w:r>
      <w:r w:rsidR="00BC070E" w:rsidRPr="006D05D9">
        <w:rPr>
          <w:lang w:val="en-GB"/>
        </w:rPr>
        <w:t>(original</w:t>
      </w:r>
      <w:r w:rsidR="00632A62">
        <w:rPr>
          <w:lang w:val="en-GB"/>
        </w:rPr>
        <w:t xml:space="preserve"> from 1991</w:t>
      </w:r>
      <w:r w:rsidR="00BC070E" w:rsidRPr="006D05D9">
        <w:rPr>
          <w:lang w:val="en-GB"/>
        </w:rPr>
        <w:t>)</w:t>
      </w:r>
      <w:r w:rsidR="00427513" w:rsidRPr="006D05D9">
        <w:rPr>
          <w:lang w:val="en-GB"/>
        </w:rPr>
        <w:t xml:space="preserve"> and the </w:t>
      </w:r>
      <w:r w:rsidR="00F201C4" w:rsidRPr="006D05D9">
        <w:rPr>
          <w:lang w:val="en-GB"/>
        </w:rPr>
        <w:t>new equation</w:t>
      </w:r>
      <w:r w:rsidR="00427513" w:rsidRPr="006D05D9">
        <w:rPr>
          <w:lang w:val="en-GB"/>
        </w:rPr>
        <w:t xml:space="preserve"> based on </w:t>
      </w:r>
      <w:r w:rsidR="00805E8D" w:rsidRPr="006D05D9">
        <w:rPr>
          <w:lang w:val="en-GB"/>
        </w:rPr>
        <w:t>3</w:t>
      </w:r>
      <w:r w:rsidR="00427513" w:rsidRPr="006D05D9">
        <w:rPr>
          <w:lang w:val="en-GB"/>
        </w:rPr>
        <w:t xml:space="preserve">0° of </w:t>
      </w:r>
      <w:r w:rsidR="00921FD5" w:rsidRPr="006D05D9">
        <w:rPr>
          <w:lang w:val="en-GB"/>
        </w:rPr>
        <w:t>a</w:t>
      </w:r>
      <w:r w:rsidR="004E796B" w:rsidRPr="006D05D9">
        <w:rPr>
          <w:lang w:val="en-GB"/>
        </w:rPr>
        <w:t>b</w:t>
      </w:r>
      <w:r w:rsidR="00921FD5" w:rsidRPr="006D05D9">
        <w:rPr>
          <w:lang w:val="en-GB"/>
        </w:rPr>
        <w:t>duction</w:t>
      </w:r>
      <w:r w:rsidR="00427513" w:rsidRPr="006D05D9">
        <w:rPr>
          <w:lang w:val="en-GB"/>
        </w:rPr>
        <w:t xml:space="preserve"> and </w:t>
      </w:r>
      <w:r w:rsidR="00805E8D" w:rsidRPr="006D05D9">
        <w:rPr>
          <w:lang w:val="en-GB"/>
        </w:rPr>
        <w:t>3</w:t>
      </w:r>
      <w:r w:rsidR="00427513" w:rsidRPr="006D05D9">
        <w:rPr>
          <w:lang w:val="en-GB"/>
        </w:rPr>
        <w:t>5° flexion</w:t>
      </w:r>
      <w:r w:rsidR="00121D9E" w:rsidRPr="006D05D9">
        <w:rPr>
          <w:lang w:val="en-GB"/>
        </w:rPr>
        <w:t xml:space="preserve"> </w:t>
      </w:r>
      <w:r w:rsidR="008F4E17" w:rsidRPr="006D05D9">
        <w:rPr>
          <w:lang w:val="en-GB"/>
        </w:rPr>
        <w:t>(proposal)</w:t>
      </w:r>
      <w:r w:rsidR="00427513" w:rsidRPr="006D05D9">
        <w:rPr>
          <w:lang w:val="en-GB"/>
        </w:rPr>
        <w:t>.</w:t>
      </w:r>
    </w:p>
    <w:p w14:paraId="28E83EC3" w14:textId="77777777" w:rsidR="00427513" w:rsidRPr="006D05D9" w:rsidRDefault="00427513" w:rsidP="00FB4136">
      <w:pPr>
        <w:rPr>
          <w:lang w:val="en-GB"/>
        </w:rPr>
      </w:pPr>
    </w:p>
    <w:p w14:paraId="7BA7D0D0" w14:textId="793256A7" w:rsidR="008A0730" w:rsidRPr="006D05D9" w:rsidRDefault="008A0730" w:rsidP="00FB4136">
      <w:pPr>
        <w:rPr>
          <w:b/>
          <w:bCs/>
          <w:sz w:val="26"/>
          <w:szCs w:val="26"/>
          <w:lang w:val="en-GB"/>
        </w:rPr>
      </w:pPr>
      <w:r w:rsidRPr="006D05D9">
        <w:rPr>
          <w:b/>
          <w:bCs/>
          <w:sz w:val="26"/>
          <w:szCs w:val="26"/>
          <w:lang w:val="en-GB"/>
        </w:rPr>
        <w:t>2. Methods</w:t>
      </w:r>
    </w:p>
    <w:p w14:paraId="1F49E7E2" w14:textId="77777777" w:rsidR="00083312" w:rsidRPr="006D05D9" w:rsidRDefault="00083312" w:rsidP="00092B04">
      <w:pPr>
        <w:ind w:firstLine="708"/>
        <w:rPr>
          <w:lang w:val="en-GB"/>
        </w:rPr>
      </w:pPr>
    </w:p>
    <w:p w14:paraId="28A876D2" w14:textId="71064FBF" w:rsidR="002117BC" w:rsidRPr="006D05D9" w:rsidRDefault="007E3EE0" w:rsidP="00083312">
      <w:pPr>
        <w:ind w:firstLine="284"/>
        <w:rPr>
          <w:lang w:val="en-GB"/>
        </w:rPr>
      </w:pPr>
      <w:r w:rsidRPr="006D05D9">
        <w:rPr>
          <w:lang w:val="en-GB"/>
        </w:rPr>
        <w:t>The following quasi-experimental repeated measures study</w:t>
      </w:r>
      <w:r w:rsidR="00145C92" w:rsidRPr="006D05D9">
        <w:rPr>
          <w:lang w:val="en-GB"/>
        </w:rPr>
        <w:t xml:space="preserve"> was</w:t>
      </w:r>
      <w:r w:rsidR="002117BC" w:rsidRPr="006D05D9">
        <w:rPr>
          <w:lang w:val="en-GB"/>
        </w:rPr>
        <w:t xml:space="preserve"> conducted at the Ergonomics and Biomechanics Laboratory in the Faculty of Medicine at Universidad de Valparaíso, Chile. The</w:t>
      </w:r>
      <w:r w:rsidR="00C51486" w:rsidRPr="006D05D9">
        <w:rPr>
          <w:lang w:val="en-GB"/>
        </w:rPr>
        <w:t xml:space="preserve"> </w:t>
      </w:r>
      <w:r w:rsidR="00602D7E" w:rsidRPr="006D05D9">
        <w:rPr>
          <w:lang w:val="en-GB"/>
        </w:rPr>
        <w:t>34</w:t>
      </w:r>
      <w:r w:rsidR="00C51486" w:rsidRPr="006D05D9">
        <w:rPr>
          <w:lang w:val="en-GB"/>
        </w:rPr>
        <w:t xml:space="preserve"> </w:t>
      </w:r>
      <w:r w:rsidR="0003612D" w:rsidRPr="006D05D9">
        <w:rPr>
          <w:lang w:val="en-GB"/>
        </w:rPr>
        <w:t>participants</w:t>
      </w:r>
      <w:r w:rsidR="00C51486" w:rsidRPr="006D05D9">
        <w:rPr>
          <w:lang w:val="en-GB"/>
        </w:rPr>
        <w:t xml:space="preserve"> </w:t>
      </w:r>
      <w:r w:rsidR="002117BC" w:rsidRPr="006D05D9">
        <w:rPr>
          <w:lang w:val="en-GB"/>
        </w:rPr>
        <w:t xml:space="preserve">who accomplished the inclusion criteria </w:t>
      </w:r>
      <w:r w:rsidR="00C51486" w:rsidRPr="006D05D9">
        <w:rPr>
          <w:lang w:val="en-GB"/>
        </w:rPr>
        <w:t xml:space="preserve">performed </w:t>
      </w:r>
      <w:r w:rsidR="006B4946">
        <w:rPr>
          <w:lang w:val="en-GB"/>
        </w:rPr>
        <w:t>6</w:t>
      </w:r>
      <w:r w:rsidR="006B4946" w:rsidRPr="006D05D9">
        <w:rPr>
          <w:lang w:val="en-GB"/>
        </w:rPr>
        <w:t xml:space="preserve"> </w:t>
      </w:r>
      <w:r w:rsidR="00050CCC" w:rsidRPr="006D05D9">
        <w:rPr>
          <w:lang w:val="en-GB"/>
        </w:rPr>
        <w:t>different</w:t>
      </w:r>
      <w:r w:rsidR="00602D7E" w:rsidRPr="006D05D9">
        <w:rPr>
          <w:lang w:val="en-GB"/>
        </w:rPr>
        <w:t xml:space="preserve"> </w:t>
      </w:r>
      <w:r w:rsidR="00D8293B" w:rsidRPr="006D05D9">
        <w:rPr>
          <w:lang w:val="en-GB"/>
        </w:rPr>
        <w:t>tasks</w:t>
      </w:r>
      <w:r w:rsidR="00C51486" w:rsidRPr="006D05D9">
        <w:rPr>
          <w:lang w:val="en-GB"/>
        </w:rPr>
        <w:t xml:space="preserve"> on </w:t>
      </w:r>
      <w:r w:rsidR="006B4946">
        <w:rPr>
          <w:lang w:val="en-GB"/>
        </w:rPr>
        <w:t>2</w:t>
      </w:r>
      <w:r w:rsidR="006B4946" w:rsidRPr="006D05D9">
        <w:rPr>
          <w:lang w:val="en-GB"/>
        </w:rPr>
        <w:t xml:space="preserve"> </w:t>
      </w:r>
      <w:r w:rsidR="00602D7E" w:rsidRPr="006D05D9">
        <w:rPr>
          <w:lang w:val="en-GB"/>
        </w:rPr>
        <w:t>desk height</w:t>
      </w:r>
      <w:r w:rsidR="00C51486" w:rsidRPr="006D05D9">
        <w:rPr>
          <w:lang w:val="en-GB"/>
        </w:rPr>
        <w:t xml:space="preserve"> condition</w:t>
      </w:r>
      <w:r w:rsidR="00602D7E" w:rsidRPr="006D05D9">
        <w:rPr>
          <w:lang w:val="en-GB"/>
        </w:rPr>
        <w:t>s</w:t>
      </w:r>
      <w:r w:rsidR="00C51486" w:rsidRPr="006D05D9">
        <w:rPr>
          <w:lang w:val="en-GB"/>
        </w:rPr>
        <w:t xml:space="preserve">. </w:t>
      </w:r>
      <w:r w:rsidR="002117BC" w:rsidRPr="006D05D9">
        <w:rPr>
          <w:lang w:val="en-GB"/>
        </w:rPr>
        <w:t xml:space="preserve">All procedures were conducted </w:t>
      </w:r>
      <w:r w:rsidR="00EE436F" w:rsidRPr="006D05D9">
        <w:rPr>
          <w:lang w:val="en-GB"/>
        </w:rPr>
        <w:t>following</w:t>
      </w:r>
      <w:r w:rsidR="002117BC" w:rsidRPr="006D05D9">
        <w:rPr>
          <w:lang w:val="en-GB"/>
        </w:rPr>
        <w:t xml:space="preserve"> the Declaration of Helsinki and approved by the Bioethics for the Research Board of the Faculty of Medicine at Universidad de Valparaiso – Chile (approval </w:t>
      </w:r>
      <w:r w:rsidR="006B4946">
        <w:rPr>
          <w:lang w:val="en-GB"/>
        </w:rPr>
        <w:t>no.</w:t>
      </w:r>
      <w:r w:rsidR="006B4946" w:rsidRPr="006D05D9">
        <w:rPr>
          <w:lang w:val="en-GB"/>
        </w:rPr>
        <w:t xml:space="preserve"> </w:t>
      </w:r>
      <w:r w:rsidR="002117BC" w:rsidRPr="006D05D9">
        <w:rPr>
          <w:lang w:val="en-GB"/>
        </w:rPr>
        <w:t>20/2022).</w:t>
      </w:r>
    </w:p>
    <w:p w14:paraId="6A147669" w14:textId="77777777" w:rsidR="00C51486" w:rsidRPr="006D05D9" w:rsidRDefault="00C51486" w:rsidP="00FB4136">
      <w:pPr>
        <w:rPr>
          <w:lang w:val="en-GB"/>
        </w:rPr>
      </w:pPr>
    </w:p>
    <w:p w14:paraId="0850EF99" w14:textId="201A3F68" w:rsidR="008A0730" w:rsidRPr="006D05D9" w:rsidRDefault="00C51486" w:rsidP="00FB4136">
      <w:pPr>
        <w:rPr>
          <w:b/>
          <w:bCs/>
          <w:sz w:val="24"/>
          <w:szCs w:val="24"/>
          <w:lang w:val="en-GB"/>
        </w:rPr>
      </w:pPr>
      <w:r w:rsidRPr="006D05D9">
        <w:rPr>
          <w:b/>
          <w:bCs/>
          <w:sz w:val="24"/>
          <w:szCs w:val="24"/>
          <w:lang w:val="en-GB"/>
        </w:rPr>
        <w:t>2.1. Sample</w:t>
      </w:r>
    </w:p>
    <w:p w14:paraId="05524384" w14:textId="0E226AD0" w:rsidR="00B545BE" w:rsidRPr="006D05D9" w:rsidRDefault="000F48BD" w:rsidP="00C9248E">
      <w:pPr>
        <w:ind w:firstLine="284"/>
        <w:rPr>
          <w:lang w:val="en-GB"/>
        </w:rPr>
      </w:pPr>
      <w:r w:rsidRPr="006D05D9">
        <w:rPr>
          <w:lang w:val="en-GB"/>
        </w:rPr>
        <w:t xml:space="preserve">A sample size calculation was conducted using G*power for a </w:t>
      </w:r>
      <w:r w:rsidR="000931A3" w:rsidRPr="006D05D9">
        <w:rPr>
          <w:lang w:val="en-GB"/>
        </w:rPr>
        <w:t>Two-way ANOVA for repeated measured</w:t>
      </w:r>
      <w:r w:rsidRPr="006D05D9">
        <w:rPr>
          <w:lang w:val="en-GB"/>
        </w:rPr>
        <w:t>, 80% power, α 0.05, giving a total sample size of 34 participants. A</w:t>
      </w:r>
      <w:r w:rsidR="00A45B34" w:rsidRPr="006D05D9">
        <w:rPr>
          <w:lang w:val="en-GB"/>
        </w:rPr>
        <w:t xml:space="preserve"> convenience sample of 34</w:t>
      </w:r>
      <w:r w:rsidR="00602D7E" w:rsidRPr="006D05D9">
        <w:rPr>
          <w:lang w:val="en-GB"/>
        </w:rPr>
        <w:t xml:space="preserve"> healthy right-handed participants (</w:t>
      </w:r>
      <w:r w:rsidR="006D7062" w:rsidRPr="006D05D9">
        <w:rPr>
          <w:lang w:val="en-GB"/>
        </w:rPr>
        <w:t>16</w:t>
      </w:r>
      <w:r w:rsidR="00602D7E" w:rsidRPr="006D05D9">
        <w:rPr>
          <w:lang w:val="en-GB"/>
        </w:rPr>
        <w:t xml:space="preserve"> males and </w:t>
      </w:r>
      <w:r w:rsidR="006D7062" w:rsidRPr="006D05D9">
        <w:rPr>
          <w:lang w:val="en-GB"/>
        </w:rPr>
        <w:t>16</w:t>
      </w:r>
      <w:r w:rsidR="00602D7E" w:rsidRPr="006D05D9">
        <w:rPr>
          <w:lang w:val="en-GB"/>
        </w:rPr>
        <w:t xml:space="preserve"> females, aged from </w:t>
      </w:r>
      <w:r w:rsidR="006D7062" w:rsidRPr="006D05D9">
        <w:rPr>
          <w:lang w:val="en-GB"/>
        </w:rPr>
        <w:t>18</w:t>
      </w:r>
      <w:r w:rsidR="00602D7E" w:rsidRPr="006D05D9">
        <w:rPr>
          <w:lang w:val="en-GB"/>
        </w:rPr>
        <w:t xml:space="preserve"> to </w:t>
      </w:r>
      <w:r w:rsidR="006D7062" w:rsidRPr="006D05D9">
        <w:rPr>
          <w:lang w:val="en-GB"/>
        </w:rPr>
        <w:t>25</w:t>
      </w:r>
      <w:r w:rsidR="00602D7E" w:rsidRPr="006D05D9">
        <w:rPr>
          <w:lang w:val="en-GB"/>
        </w:rPr>
        <w:t xml:space="preserve"> years old) with no history of upper-extremity </w:t>
      </w:r>
      <w:r w:rsidR="009458AA" w:rsidRPr="006D05D9">
        <w:rPr>
          <w:lang w:val="en-GB"/>
        </w:rPr>
        <w:t>m</w:t>
      </w:r>
      <w:r w:rsidR="00DD45F8" w:rsidRPr="006D05D9">
        <w:rPr>
          <w:lang w:val="en-GB"/>
        </w:rPr>
        <w:t>usculoskeletal disorders</w:t>
      </w:r>
      <w:r w:rsidR="00602D7E" w:rsidRPr="006D05D9">
        <w:rPr>
          <w:lang w:val="en-GB"/>
        </w:rPr>
        <w:t xml:space="preserve"> were recruited for the study (Table 1).</w:t>
      </w:r>
    </w:p>
    <w:p w14:paraId="69E76AC9" w14:textId="77777777" w:rsidR="00761B2A" w:rsidRPr="006D05D9" w:rsidRDefault="00761B2A" w:rsidP="00FB4136">
      <w:pPr>
        <w:rPr>
          <w:lang w:val="en-GB"/>
        </w:rPr>
      </w:pPr>
    </w:p>
    <w:tbl>
      <w:tblPr>
        <w:tblpPr w:leftFromText="141" w:rightFromText="141" w:vertAnchor="text" w:horzAnchor="margin" w:tblpXSpec="center" w:tblpY="266"/>
        <w:tblW w:w="5600" w:type="dxa"/>
        <w:tblCellMar>
          <w:left w:w="70" w:type="dxa"/>
          <w:right w:w="70" w:type="dxa"/>
        </w:tblCellMar>
        <w:tblLook w:val="04A0" w:firstRow="1" w:lastRow="0" w:firstColumn="1" w:lastColumn="0" w:noHBand="0" w:noVBand="1"/>
      </w:tblPr>
      <w:tblGrid>
        <w:gridCol w:w="1380"/>
        <w:gridCol w:w="1282"/>
        <w:gridCol w:w="838"/>
        <w:gridCol w:w="1150"/>
        <w:gridCol w:w="950"/>
      </w:tblGrid>
      <w:tr w:rsidR="004E796B" w:rsidRPr="006D05D9" w14:paraId="69BFC0E2" w14:textId="77777777" w:rsidTr="004E796B">
        <w:trPr>
          <w:trHeight w:val="300"/>
        </w:trPr>
        <w:tc>
          <w:tcPr>
            <w:tcW w:w="1380" w:type="dxa"/>
            <w:tcBorders>
              <w:top w:val="single" w:sz="4" w:space="0" w:color="auto"/>
              <w:left w:val="nil"/>
              <w:bottom w:val="nil"/>
              <w:right w:val="nil"/>
            </w:tcBorders>
            <w:shd w:val="clear" w:color="auto" w:fill="auto"/>
            <w:noWrap/>
            <w:vAlign w:val="center"/>
            <w:hideMark/>
          </w:tcPr>
          <w:p w14:paraId="25781E69" w14:textId="77777777" w:rsidR="004E796B" w:rsidRPr="006D05D9" w:rsidRDefault="004E796B" w:rsidP="004E796B">
            <w:pPr>
              <w:jc w:val="center"/>
              <w:rPr>
                <w:rFonts w:ascii="Times New Roman" w:eastAsia="Times New Roman" w:hAnsi="Times New Roman" w:cs="Times New Roman"/>
                <w:kern w:val="0"/>
                <w:sz w:val="18"/>
                <w:szCs w:val="18"/>
                <w:lang w:val="en-GB" w:eastAsia="es-ES"/>
                <w14:ligatures w14:val="none"/>
              </w:rPr>
            </w:pPr>
          </w:p>
        </w:tc>
        <w:tc>
          <w:tcPr>
            <w:tcW w:w="2120" w:type="dxa"/>
            <w:gridSpan w:val="2"/>
            <w:tcBorders>
              <w:top w:val="single" w:sz="4" w:space="0" w:color="auto"/>
              <w:left w:val="nil"/>
              <w:bottom w:val="single" w:sz="4" w:space="0" w:color="auto"/>
              <w:right w:val="nil"/>
            </w:tcBorders>
            <w:shd w:val="clear" w:color="auto" w:fill="auto"/>
            <w:noWrap/>
            <w:vAlign w:val="center"/>
            <w:hideMark/>
          </w:tcPr>
          <w:p w14:paraId="0C337458"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Women</w:t>
            </w:r>
          </w:p>
        </w:tc>
        <w:tc>
          <w:tcPr>
            <w:tcW w:w="2100" w:type="dxa"/>
            <w:gridSpan w:val="2"/>
            <w:tcBorders>
              <w:top w:val="single" w:sz="4" w:space="0" w:color="auto"/>
              <w:left w:val="nil"/>
              <w:bottom w:val="single" w:sz="4" w:space="0" w:color="auto"/>
              <w:right w:val="nil"/>
            </w:tcBorders>
            <w:shd w:val="clear" w:color="auto" w:fill="auto"/>
            <w:noWrap/>
            <w:vAlign w:val="center"/>
            <w:hideMark/>
          </w:tcPr>
          <w:p w14:paraId="2D031169"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Men</w:t>
            </w:r>
          </w:p>
        </w:tc>
      </w:tr>
      <w:tr w:rsidR="004E796B" w:rsidRPr="006D05D9" w14:paraId="77ED1EBB" w14:textId="77777777" w:rsidTr="004E796B">
        <w:trPr>
          <w:trHeight w:val="300"/>
        </w:trPr>
        <w:tc>
          <w:tcPr>
            <w:tcW w:w="1380" w:type="dxa"/>
            <w:tcBorders>
              <w:top w:val="nil"/>
              <w:left w:val="nil"/>
              <w:bottom w:val="single" w:sz="4" w:space="0" w:color="auto"/>
              <w:right w:val="nil"/>
            </w:tcBorders>
            <w:shd w:val="clear" w:color="auto" w:fill="auto"/>
            <w:noWrap/>
            <w:vAlign w:val="center"/>
            <w:hideMark/>
          </w:tcPr>
          <w:p w14:paraId="7C5792D6"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p>
        </w:tc>
        <w:tc>
          <w:tcPr>
            <w:tcW w:w="1282" w:type="dxa"/>
            <w:tcBorders>
              <w:top w:val="single" w:sz="4" w:space="0" w:color="auto"/>
              <w:left w:val="nil"/>
              <w:bottom w:val="single" w:sz="4" w:space="0" w:color="auto"/>
              <w:right w:val="nil"/>
            </w:tcBorders>
            <w:shd w:val="clear" w:color="auto" w:fill="auto"/>
            <w:noWrap/>
            <w:vAlign w:val="center"/>
            <w:hideMark/>
          </w:tcPr>
          <w:p w14:paraId="46A91BCB"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mean</w:t>
            </w:r>
          </w:p>
        </w:tc>
        <w:tc>
          <w:tcPr>
            <w:tcW w:w="838" w:type="dxa"/>
            <w:tcBorders>
              <w:top w:val="single" w:sz="4" w:space="0" w:color="auto"/>
              <w:left w:val="nil"/>
              <w:bottom w:val="single" w:sz="4" w:space="0" w:color="auto"/>
              <w:right w:val="nil"/>
            </w:tcBorders>
            <w:shd w:val="clear" w:color="auto" w:fill="auto"/>
            <w:noWrap/>
            <w:vAlign w:val="center"/>
            <w:hideMark/>
          </w:tcPr>
          <w:p w14:paraId="609C24EB"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SD</w:t>
            </w:r>
          </w:p>
        </w:tc>
        <w:tc>
          <w:tcPr>
            <w:tcW w:w="1150" w:type="dxa"/>
            <w:tcBorders>
              <w:top w:val="single" w:sz="4" w:space="0" w:color="auto"/>
              <w:left w:val="nil"/>
              <w:bottom w:val="single" w:sz="4" w:space="0" w:color="auto"/>
              <w:right w:val="nil"/>
            </w:tcBorders>
            <w:shd w:val="clear" w:color="auto" w:fill="auto"/>
            <w:noWrap/>
            <w:vAlign w:val="center"/>
            <w:hideMark/>
          </w:tcPr>
          <w:p w14:paraId="614133F8"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mean</w:t>
            </w:r>
          </w:p>
        </w:tc>
        <w:tc>
          <w:tcPr>
            <w:tcW w:w="950" w:type="dxa"/>
            <w:tcBorders>
              <w:top w:val="single" w:sz="4" w:space="0" w:color="auto"/>
              <w:left w:val="nil"/>
              <w:bottom w:val="single" w:sz="4" w:space="0" w:color="auto"/>
              <w:right w:val="nil"/>
            </w:tcBorders>
            <w:shd w:val="clear" w:color="auto" w:fill="auto"/>
            <w:noWrap/>
            <w:vAlign w:val="center"/>
            <w:hideMark/>
          </w:tcPr>
          <w:p w14:paraId="1D73A0D0"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SD</w:t>
            </w:r>
          </w:p>
        </w:tc>
      </w:tr>
      <w:tr w:rsidR="004E796B" w:rsidRPr="006D05D9" w14:paraId="4F4F48CC" w14:textId="77777777" w:rsidTr="004E796B">
        <w:trPr>
          <w:trHeight w:val="300"/>
        </w:trPr>
        <w:tc>
          <w:tcPr>
            <w:tcW w:w="1380" w:type="dxa"/>
            <w:tcBorders>
              <w:top w:val="single" w:sz="4" w:space="0" w:color="auto"/>
              <w:left w:val="nil"/>
              <w:bottom w:val="nil"/>
              <w:right w:val="nil"/>
            </w:tcBorders>
            <w:shd w:val="clear" w:color="auto" w:fill="auto"/>
            <w:noWrap/>
            <w:vAlign w:val="center"/>
            <w:hideMark/>
          </w:tcPr>
          <w:p w14:paraId="5EC0DD99"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Age (years)</w:t>
            </w:r>
          </w:p>
        </w:tc>
        <w:tc>
          <w:tcPr>
            <w:tcW w:w="1282" w:type="dxa"/>
            <w:tcBorders>
              <w:top w:val="single" w:sz="4" w:space="0" w:color="auto"/>
              <w:left w:val="nil"/>
              <w:bottom w:val="nil"/>
              <w:right w:val="nil"/>
            </w:tcBorders>
            <w:shd w:val="clear" w:color="auto" w:fill="auto"/>
            <w:noWrap/>
            <w:vAlign w:val="center"/>
            <w:hideMark/>
          </w:tcPr>
          <w:p w14:paraId="2802258D"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22.00</w:t>
            </w:r>
          </w:p>
        </w:tc>
        <w:tc>
          <w:tcPr>
            <w:tcW w:w="838" w:type="dxa"/>
            <w:tcBorders>
              <w:top w:val="single" w:sz="4" w:space="0" w:color="auto"/>
              <w:left w:val="nil"/>
              <w:bottom w:val="nil"/>
              <w:right w:val="nil"/>
            </w:tcBorders>
            <w:shd w:val="clear" w:color="auto" w:fill="auto"/>
            <w:noWrap/>
            <w:vAlign w:val="center"/>
            <w:hideMark/>
          </w:tcPr>
          <w:p w14:paraId="75676C6F"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1.62</w:t>
            </w:r>
          </w:p>
        </w:tc>
        <w:tc>
          <w:tcPr>
            <w:tcW w:w="1150" w:type="dxa"/>
            <w:tcBorders>
              <w:top w:val="single" w:sz="4" w:space="0" w:color="auto"/>
              <w:left w:val="nil"/>
              <w:bottom w:val="nil"/>
              <w:right w:val="nil"/>
            </w:tcBorders>
            <w:shd w:val="clear" w:color="auto" w:fill="auto"/>
            <w:noWrap/>
            <w:vAlign w:val="center"/>
            <w:hideMark/>
          </w:tcPr>
          <w:p w14:paraId="1BB7D2D7"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21.82</w:t>
            </w:r>
          </w:p>
        </w:tc>
        <w:tc>
          <w:tcPr>
            <w:tcW w:w="950" w:type="dxa"/>
            <w:tcBorders>
              <w:top w:val="single" w:sz="4" w:space="0" w:color="auto"/>
              <w:left w:val="nil"/>
              <w:bottom w:val="nil"/>
              <w:right w:val="nil"/>
            </w:tcBorders>
            <w:shd w:val="clear" w:color="auto" w:fill="auto"/>
            <w:noWrap/>
            <w:vAlign w:val="center"/>
            <w:hideMark/>
          </w:tcPr>
          <w:p w14:paraId="762046F6"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2.19</w:t>
            </w:r>
          </w:p>
        </w:tc>
      </w:tr>
      <w:tr w:rsidR="004E796B" w:rsidRPr="006D05D9" w14:paraId="27E5337E" w14:textId="77777777" w:rsidTr="004E796B">
        <w:trPr>
          <w:trHeight w:val="300"/>
        </w:trPr>
        <w:tc>
          <w:tcPr>
            <w:tcW w:w="1380" w:type="dxa"/>
            <w:tcBorders>
              <w:top w:val="nil"/>
              <w:left w:val="nil"/>
              <w:bottom w:val="nil"/>
              <w:right w:val="nil"/>
            </w:tcBorders>
            <w:shd w:val="clear" w:color="auto" w:fill="auto"/>
            <w:noWrap/>
            <w:vAlign w:val="center"/>
            <w:hideMark/>
          </w:tcPr>
          <w:p w14:paraId="2FA896A6"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Height (cm)</w:t>
            </w:r>
          </w:p>
        </w:tc>
        <w:tc>
          <w:tcPr>
            <w:tcW w:w="1282" w:type="dxa"/>
            <w:tcBorders>
              <w:top w:val="nil"/>
              <w:left w:val="nil"/>
              <w:bottom w:val="nil"/>
              <w:right w:val="nil"/>
            </w:tcBorders>
            <w:shd w:val="clear" w:color="auto" w:fill="auto"/>
            <w:noWrap/>
            <w:vAlign w:val="center"/>
            <w:hideMark/>
          </w:tcPr>
          <w:p w14:paraId="71A81E4A"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159.82</w:t>
            </w:r>
          </w:p>
        </w:tc>
        <w:tc>
          <w:tcPr>
            <w:tcW w:w="838" w:type="dxa"/>
            <w:tcBorders>
              <w:top w:val="nil"/>
              <w:left w:val="nil"/>
              <w:bottom w:val="nil"/>
              <w:right w:val="nil"/>
            </w:tcBorders>
            <w:shd w:val="clear" w:color="auto" w:fill="auto"/>
            <w:noWrap/>
            <w:vAlign w:val="center"/>
            <w:hideMark/>
          </w:tcPr>
          <w:p w14:paraId="599F01BB"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5.69</w:t>
            </w:r>
          </w:p>
        </w:tc>
        <w:tc>
          <w:tcPr>
            <w:tcW w:w="1150" w:type="dxa"/>
            <w:tcBorders>
              <w:top w:val="nil"/>
              <w:left w:val="nil"/>
              <w:bottom w:val="nil"/>
              <w:right w:val="nil"/>
            </w:tcBorders>
            <w:shd w:val="clear" w:color="auto" w:fill="auto"/>
            <w:noWrap/>
            <w:vAlign w:val="center"/>
            <w:hideMark/>
          </w:tcPr>
          <w:p w14:paraId="44123EB9"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173.53</w:t>
            </w:r>
          </w:p>
        </w:tc>
        <w:tc>
          <w:tcPr>
            <w:tcW w:w="950" w:type="dxa"/>
            <w:tcBorders>
              <w:top w:val="nil"/>
              <w:left w:val="nil"/>
              <w:bottom w:val="nil"/>
              <w:right w:val="nil"/>
            </w:tcBorders>
            <w:shd w:val="clear" w:color="auto" w:fill="auto"/>
            <w:noWrap/>
            <w:vAlign w:val="center"/>
            <w:hideMark/>
          </w:tcPr>
          <w:p w14:paraId="0AFD063E"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7.16</w:t>
            </w:r>
          </w:p>
        </w:tc>
      </w:tr>
      <w:tr w:rsidR="004E796B" w:rsidRPr="006D05D9" w14:paraId="350F63D8" w14:textId="77777777" w:rsidTr="004E796B">
        <w:trPr>
          <w:trHeight w:val="300"/>
        </w:trPr>
        <w:tc>
          <w:tcPr>
            <w:tcW w:w="1380" w:type="dxa"/>
            <w:tcBorders>
              <w:top w:val="nil"/>
              <w:left w:val="nil"/>
              <w:bottom w:val="single" w:sz="4" w:space="0" w:color="auto"/>
              <w:right w:val="nil"/>
            </w:tcBorders>
            <w:shd w:val="clear" w:color="auto" w:fill="auto"/>
            <w:noWrap/>
            <w:vAlign w:val="center"/>
            <w:hideMark/>
          </w:tcPr>
          <w:p w14:paraId="1EF540BE"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Weight (Kg)</w:t>
            </w:r>
          </w:p>
        </w:tc>
        <w:tc>
          <w:tcPr>
            <w:tcW w:w="1282" w:type="dxa"/>
            <w:tcBorders>
              <w:top w:val="nil"/>
              <w:left w:val="nil"/>
              <w:bottom w:val="single" w:sz="4" w:space="0" w:color="auto"/>
              <w:right w:val="nil"/>
            </w:tcBorders>
            <w:shd w:val="clear" w:color="auto" w:fill="auto"/>
            <w:noWrap/>
            <w:vAlign w:val="center"/>
            <w:hideMark/>
          </w:tcPr>
          <w:p w14:paraId="41C175F1"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61.75</w:t>
            </w:r>
          </w:p>
        </w:tc>
        <w:tc>
          <w:tcPr>
            <w:tcW w:w="838" w:type="dxa"/>
            <w:tcBorders>
              <w:top w:val="nil"/>
              <w:left w:val="nil"/>
              <w:bottom w:val="single" w:sz="4" w:space="0" w:color="auto"/>
              <w:right w:val="nil"/>
            </w:tcBorders>
            <w:shd w:val="clear" w:color="auto" w:fill="auto"/>
            <w:noWrap/>
            <w:vAlign w:val="center"/>
            <w:hideMark/>
          </w:tcPr>
          <w:p w14:paraId="35D66BE1"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9.36</w:t>
            </w:r>
          </w:p>
        </w:tc>
        <w:tc>
          <w:tcPr>
            <w:tcW w:w="1150" w:type="dxa"/>
            <w:tcBorders>
              <w:top w:val="nil"/>
              <w:left w:val="nil"/>
              <w:bottom w:val="single" w:sz="4" w:space="0" w:color="auto"/>
              <w:right w:val="nil"/>
            </w:tcBorders>
            <w:shd w:val="clear" w:color="auto" w:fill="auto"/>
            <w:noWrap/>
            <w:vAlign w:val="center"/>
            <w:hideMark/>
          </w:tcPr>
          <w:p w14:paraId="7DF55B98" w14:textId="77777777" w:rsidR="004E796B" w:rsidRPr="006D05D9" w:rsidRDefault="004E796B" w:rsidP="004E796B">
            <w:pPr>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74.69</w:t>
            </w:r>
          </w:p>
        </w:tc>
        <w:tc>
          <w:tcPr>
            <w:tcW w:w="950" w:type="dxa"/>
            <w:tcBorders>
              <w:top w:val="nil"/>
              <w:left w:val="nil"/>
              <w:bottom w:val="single" w:sz="4" w:space="0" w:color="auto"/>
              <w:right w:val="nil"/>
            </w:tcBorders>
            <w:shd w:val="clear" w:color="auto" w:fill="auto"/>
            <w:noWrap/>
            <w:vAlign w:val="center"/>
            <w:hideMark/>
          </w:tcPr>
          <w:p w14:paraId="48C7D3A6" w14:textId="77777777" w:rsidR="004E796B" w:rsidRPr="006D05D9" w:rsidRDefault="004E796B" w:rsidP="004E796B">
            <w:pPr>
              <w:keepNext/>
              <w:jc w:val="center"/>
              <w:rPr>
                <w:rFonts w:ascii="Calibri" w:eastAsia="Times New Roman" w:hAnsi="Calibri" w:cs="Calibri"/>
                <w:color w:val="000000"/>
                <w:kern w:val="0"/>
                <w:sz w:val="18"/>
                <w:szCs w:val="18"/>
                <w:lang w:val="en-GB" w:eastAsia="es-ES"/>
                <w14:ligatures w14:val="none"/>
              </w:rPr>
            </w:pPr>
            <w:r w:rsidRPr="006D05D9">
              <w:rPr>
                <w:rFonts w:ascii="Calibri" w:eastAsia="Times New Roman" w:hAnsi="Calibri" w:cs="Calibri"/>
                <w:color w:val="000000"/>
                <w:kern w:val="0"/>
                <w:sz w:val="18"/>
                <w:szCs w:val="18"/>
                <w:lang w:val="en-GB" w:eastAsia="es-ES"/>
                <w14:ligatures w14:val="none"/>
              </w:rPr>
              <w:t>12.85</w:t>
            </w:r>
          </w:p>
        </w:tc>
      </w:tr>
    </w:tbl>
    <w:p w14:paraId="24508139" w14:textId="2B016199" w:rsidR="00CA462B" w:rsidRPr="006D05D9" w:rsidRDefault="00CA462B" w:rsidP="00CA462B">
      <w:pPr>
        <w:pStyle w:val="Descripcin"/>
        <w:jc w:val="center"/>
        <w:rPr>
          <w:i w:val="0"/>
          <w:iCs w:val="0"/>
          <w:color w:val="auto"/>
          <w:sz w:val="20"/>
          <w:szCs w:val="20"/>
          <w:lang w:val="en-GB"/>
        </w:rPr>
      </w:pPr>
      <w:r w:rsidRPr="006D05D9">
        <w:rPr>
          <w:i w:val="0"/>
          <w:iCs w:val="0"/>
          <w:color w:val="auto"/>
          <w:sz w:val="20"/>
          <w:szCs w:val="20"/>
          <w:lang w:val="en-GB"/>
        </w:rPr>
        <w:t xml:space="preserve">Table </w:t>
      </w:r>
      <w:r w:rsidR="00AD006C" w:rsidRPr="006D05D9">
        <w:rPr>
          <w:i w:val="0"/>
          <w:iCs w:val="0"/>
          <w:color w:val="auto"/>
          <w:sz w:val="20"/>
          <w:szCs w:val="20"/>
          <w:lang w:val="en-GB"/>
        </w:rPr>
        <w:fldChar w:fldCharType="begin"/>
      </w:r>
      <w:r w:rsidR="00AD006C" w:rsidRPr="006D05D9">
        <w:rPr>
          <w:i w:val="0"/>
          <w:iCs w:val="0"/>
          <w:color w:val="auto"/>
          <w:sz w:val="20"/>
          <w:szCs w:val="20"/>
          <w:lang w:val="en-GB"/>
        </w:rPr>
        <w:instrText xml:space="preserve"> SEQ Table \* ARABIC </w:instrText>
      </w:r>
      <w:r w:rsidR="00AD006C" w:rsidRPr="006D05D9">
        <w:rPr>
          <w:i w:val="0"/>
          <w:iCs w:val="0"/>
          <w:color w:val="auto"/>
          <w:sz w:val="20"/>
          <w:szCs w:val="20"/>
          <w:lang w:val="en-GB"/>
        </w:rPr>
        <w:fldChar w:fldCharType="separate"/>
      </w:r>
      <w:r w:rsidR="00AD006C" w:rsidRPr="006D05D9">
        <w:rPr>
          <w:i w:val="0"/>
          <w:iCs w:val="0"/>
          <w:color w:val="auto"/>
          <w:sz w:val="20"/>
          <w:szCs w:val="20"/>
          <w:lang w:val="en-GB"/>
        </w:rPr>
        <w:t>1</w:t>
      </w:r>
      <w:r w:rsidR="00AD006C" w:rsidRPr="006D05D9">
        <w:rPr>
          <w:i w:val="0"/>
          <w:iCs w:val="0"/>
          <w:color w:val="auto"/>
          <w:sz w:val="20"/>
          <w:szCs w:val="20"/>
          <w:lang w:val="en-GB"/>
        </w:rPr>
        <w:fldChar w:fldCharType="end"/>
      </w:r>
      <w:r w:rsidRPr="006D05D9">
        <w:rPr>
          <w:i w:val="0"/>
          <w:iCs w:val="0"/>
          <w:color w:val="auto"/>
          <w:sz w:val="20"/>
          <w:szCs w:val="20"/>
          <w:lang w:val="en-GB"/>
        </w:rPr>
        <w:t>.</w:t>
      </w:r>
      <w:r w:rsidR="002506FF" w:rsidRPr="006D05D9">
        <w:rPr>
          <w:i w:val="0"/>
          <w:iCs w:val="0"/>
          <w:color w:val="auto"/>
          <w:sz w:val="20"/>
          <w:szCs w:val="20"/>
          <w:lang w:val="en-GB"/>
        </w:rPr>
        <w:t xml:space="preserve"> Sample characteristics.</w:t>
      </w:r>
    </w:p>
    <w:p w14:paraId="30E898BA" w14:textId="77777777" w:rsidR="00B545BE" w:rsidRPr="006D05D9" w:rsidRDefault="00B545BE" w:rsidP="00FB4136">
      <w:pPr>
        <w:rPr>
          <w:lang w:val="en-GB"/>
        </w:rPr>
      </w:pPr>
    </w:p>
    <w:p w14:paraId="3C9BDE0A" w14:textId="77777777" w:rsidR="006D6A66" w:rsidRPr="006D05D9" w:rsidRDefault="006D6A66" w:rsidP="00FB4136">
      <w:pPr>
        <w:rPr>
          <w:b/>
          <w:bCs/>
          <w:sz w:val="24"/>
          <w:szCs w:val="24"/>
          <w:lang w:val="en-GB"/>
        </w:rPr>
      </w:pPr>
    </w:p>
    <w:p w14:paraId="0F2207FE" w14:textId="77777777" w:rsidR="004E796B" w:rsidRPr="006D05D9" w:rsidRDefault="004E796B" w:rsidP="00FB4136">
      <w:pPr>
        <w:rPr>
          <w:b/>
          <w:bCs/>
          <w:sz w:val="24"/>
          <w:szCs w:val="24"/>
          <w:lang w:val="en-GB"/>
        </w:rPr>
      </w:pPr>
    </w:p>
    <w:p w14:paraId="3FB6CA30" w14:textId="77777777" w:rsidR="004E796B" w:rsidRPr="006D05D9" w:rsidRDefault="004E796B" w:rsidP="00FB4136">
      <w:pPr>
        <w:rPr>
          <w:b/>
          <w:bCs/>
          <w:sz w:val="24"/>
          <w:szCs w:val="24"/>
          <w:lang w:val="en-GB"/>
        </w:rPr>
      </w:pPr>
    </w:p>
    <w:p w14:paraId="7E8CFDFA" w14:textId="5561EF59" w:rsidR="00C51486" w:rsidRPr="006D05D9" w:rsidRDefault="00C51486" w:rsidP="00FB4136">
      <w:pPr>
        <w:rPr>
          <w:b/>
          <w:bCs/>
          <w:sz w:val="24"/>
          <w:szCs w:val="24"/>
          <w:lang w:val="en-GB"/>
        </w:rPr>
      </w:pPr>
      <w:r w:rsidRPr="006D05D9">
        <w:rPr>
          <w:b/>
          <w:bCs/>
          <w:sz w:val="24"/>
          <w:szCs w:val="24"/>
          <w:lang w:val="en-GB"/>
        </w:rPr>
        <w:lastRenderedPageBreak/>
        <w:t>2.2. Independent variable</w:t>
      </w:r>
    </w:p>
    <w:p w14:paraId="26680253" w14:textId="77777777" w:rsidR="00C9248E" w:rsidRPr="006D05D9" w:rsidRDefault="00C9248E" w:rsidP="00FB4136">
      <w:pPr>
        <w:rPr>
          <w:b/>
          <w:bCs/>
          <w:sz w:val="24"/>
          <w:szCs w:val="24"/>
          <w:lang w:val="en-GB"/>
        </w:rPr>
      </w:pPr>
    </w:p>
    <w:p w14:paraId="380AF376" w14:textId="493DDE1F" w:rsidR="003E1BD5" w:rsidRPr="006D05D9" w:rsidRDefault="003E1BD5" w:rsidP="00C9248E">
      <w:pPr>
        <w:ind w:firstLine="284"/>
        <w:rPr>
          <w:lang w:val="en-GB"/>
        </w:rPr>
      </w:pPr>
      <w:r w:rsidRPr="006D05D9">
        <w:rPr>
          <w:bCs/>
          <w:lang w:val="en-GB"/>
        </w:rPr>
        <w:t xml:space="preserve">The </w:t>
      </w:r>
      <w:r w:rsidR="00FC57D2" w:rsidRPr="006D05D9">
        <w:rPr>
          <w:bCs/>
          <w:lang w:val="en-GB"/>
        </w:rPr>
        <w:t xml:space="preserve">desk height used as </w:t>
      </w:r>
      <w:r w:rsidR="00EE436F" w:rsidRPr="006D05D9">
        <w:rPr>
          <w:bCs/>
          <w:lang w:val="en-GB"/>
        </w:rPr>
        <w:t xml:space="preserve">the </w:t>
      </w:r>
      <w:r w:rsidRPr="006D05D9">
        <w:rPr>
          <w:lang w:val="en-GB"/>
        </w:rPr>
        <w:t xml:space="preserve">independent variable (original </w:t>
      </w:r>
      <w:r w:rsidR="00CE75CF">
        <w:rPr>
          <w:lang w:val="en-GB"/>
        </w:rPr>
        <w:t>versus</w:t>
      </w:r>
      <w:r w:rsidRPr="006D05D9">
        <w:rPr>
          <w:lang w:val="en-GB"/>
        </w:rPr>
        <w:t xml:space="preserve"> proposal) only considered the higher level of </w:t>
      </w:r>
      <w:r w:rsidR="00FC57D2" w:rsidRPr="006D05D9">
        <w:rPr>
          <w:lang w:val="en-GB"/>
        </w:rPr>
        <w:t>desk height</w:t>
      </w:r>
      <w:r w:rsidRPr="006D05D9">
        <w:rPr>
          <w:lang w:val="en-GB"/>
        </w:rPr>
        <w:t xml:space="preserve"> and considered the Popliteal height to define seat height.</w:t>
      </w:r>
    </w:p>
    <w:p w14:paraId="0B617128" w14:textId="77777777" w:rsidR="0029685D" w:rsidRPr="006D05D9" w:rsidRDefault="0029685D" w:rsidP="00FB4136">
      <w:pPr>
        <w:rPr>
          <w:lang w:val="en-GB"/>
        </w:rPr>
      </w:pPr>
    </w:p>
    <w:p w14:paraId="47781BBD" w14:textId="08EC404E" w:rsidR="002B2E9C" w:rsidRPr="006D05D9" w:rsidRDefault="00BB5087" w:rsidP="002B2E9C">
      <w:pPr>
        <w:jc w:val="center"/>
        <w:rPr>
          <w:rFonts w:eastAsiaTheme="minorEastAsia"/>
          <w:lang w:val="en-GB"/>
        </w:rPr>
      </w:pPr>
      <w:r w:rsidRPr="006D05D9">
        <w:rPr>
          <w:b/>
          <w:lang w:val="en-GB"/>
        </w:rPr>
        <w:t xml:space="preserve">Original </w:t>
      </w:r>
      <w:r w:rsidR="003E1BD5" w:rsidRPr="006D05D9">
        <w:rPr>
          <w:b/>
          <w:lang w:val="en-GB"/>
        </w:rPr>
        <w:t>Desk height</w:t>
      </w:r>
      <w:r w:rsidR="00F83E85" w:rsidRPr="006D05D9">
        <w:rPr>
          <w:b/>
          <w:lang w:val="en-GB"/>
        </w:rPr>
        <w:t>:</w:t>
      </w:r>
      <w:r w:rsidR="00F6621F" w:rsidRPr="006D05D9">
        <w:rPr>
          <w:b/>
          <w:lang w:val="en-GB"/>
        </w:rPr>
        <w:t xml:space="preserve"> </w:t>
      </w:r>
      <m:oMath>
        <m:r>
          <w:rPr>
            <w:rFonts w:ascii="Cambria Math" w:hAnsi="Cambria Math"/>
            <w:lang w:val="en-GB"/>
          </w:rPr>
          <m:t>DH≤</m:t>
        </m:r>
        <m:d>
          <m:dPr>
            <m:ctrlPr>
              <w:rPr>
                <w:rFonts w:ascii="Cambria Math" w:hAnsi="Cambria Math"/>
                <w:bCs/>
                <w:i/>
                <w:lang w:val="en-GB"/>
              </w:rPr>
            </m:ctrlPr>
          </m:dPr>
          <m:e>
            <m:r>
              <w:rPr>
                <w:rFonts w:ascii="Cambria Math" w:hAnsi="Cambria Math"/>
                <w:lang w:val="en-GB"/>
              </w:rPr>
              <m:t>PH+SC</m:t>
            </m:r>
          </m:e>
        </m:d>
        <m:func>
          <m:funcPr>
            <m:ctrlPr>
              <w:rPr>
                <w:rFonts w:ascii="Cambria Math" w:hAnsi="Cambria Math"/>
                <w:bCs/>
                <w:i/>
                <w:lang w:val="en-GB"/>
              </w:rPr>
            </m:ctrlPr>
          </m:funcPr>
          <m:fName>
            <m:r>
              <m:rPr>
                <m:sty m:val="p"/>
              </m:rPr>
              <w:rPr>
                <w:rFonts w:ascii="Cambria Math" w:hAnsi="Cambria Math"/>
                <w:lang w:val="en-GB"/>
              </w:rPr>
              <m:t>cos</m:t>
            </m:r>
          </m:fName>
          <m:e>
            <m:r>
              <w:rPr>
                <w:rFonts w:ascii="Cambria Math" w:hAnsi="Cambria Math"/>
                <w:lang w:val="en-GB"/>
              </w:rPr>
              <m:t>5°</m:t>
            </m:r>
          </m:e>
        </m:func>
        <m:r>
          <w:rPr>
            <w:rFonts w:ascii="Cambria Math" w:hAnsi="Cambria Math"/>
            <w:lang w:val="en-GB"/>
          </w:rPr>
          <m:t>+EHS*0.8517+SHS*0.1483</m:t>
        </m:r>
      </m:oMath>
      <w:bookmarkStart w:id="1" w:name="OLE_LINK2"/>
    </w:p>
    <w:p w14:paraId="64F81C0D" w14:textId="66371DF9" w:rsidR="00481310" w:rsidRPr="006D05D9" w:rsidRDefault="00BB5087" w:rsidP="002B2E9C">
      <w:pPr>
        <w:jc w:val="center"/>
        <w:rPr>
          <w:rFonts w:eastAsiaTheme="minorEastAsia"/>
          <w:lang w:val="en-GB"/>
        </w:rPr>
      </w:pPr>
      <w:r w:rsidRPr="006D05D9">
        <w:rPr>
          <w:b/>
          <w:lang w:val="en-GB"/>
        </w:rPr>
        <w:t xml:space="preserve">Proposal </w:t>
      </w:r>
      <w:r w:rsidR="003E1BD5" w:rsidRPr="006D05D9">
        <w:rPr>
          <w:b/>
          <w:lang w:val="en-GB"/>
        </w:rPr>
        <w:t>Desk height</w:t>
      </w:r>
      <w:bookmarkEnd w:id="1"/>
      <w:r w:rsidR="00481310" w:rsidRPr="006D05D9">
        <w:rPr>
          <w:b/>
          <w:lang w:val="en-GB"/>
        </w:rPr>
        <w:t>:</w:t>
      </w:r>
      <w:r w:rsidR="00481310" w:rsidRPr="006D05D9">
        <w:rPr>
          <w:rFonts w:ascii="NewsGotT" w:hAnsi="NewsGotT"/>
          <w:sz w:val="20"/>
          <w:szCs w:val="18"/>
          <w:lang w:val="en-GB"/>
        </w:rPr>
        <w:t xml:space="preserve"> </w:t>
      </w:r>
      <m:oMath>
        <m:r>
          <w:rPr>
            <w:rFonts w:ascii="Cambria Math" w:hAnsi="Cambria Math"/>
            <w:szCs w:val="20"/>
            <w:lang w:val="en-GB"/>
          </w:rPr>
          <m:t>DH≤</m:t>
        </m:r>
        <m:d>
          <m:dPr>
            <m:ctrlPr>
              <w:rPr>
                <w:rFonts w:ascii="Cambria Math" w:hAnsi="Cambria Math"/>
                <w:i/>
                <w:szCs w:val="20"/>
                <w:lang w:val="en-GB"/>
              </w:rPr>
            </m:ctrlPr>
          </m:dPr>
          <m:e>
            <m:r>
              <w:rPr>
                <w:rFonts w:ascii="Cambria Math" w:hAnsi="Cambria Math"/>
                <w:szCs w:val="20"/>
                <w:lang w:val="en-GB"/>
              </w:rPr>
              <m:t>PH+SC</m:t>
            </m:r>
          </m:e>
        </m:d>
        <m:func>
          <m:funcPr>
            <m:ctrlPr>
              <w:rPr>
                <w:rFonts w:ascii="Cambria Math" w:hAnsi="Cambria Math"/>
                <w:i/>
                <w:szCs w:val="20"/>
                <w:lang w:val="en-GB"/>
              </w:rPr>
            </m:ctrlPr>
          </m:funcPr>
          <m:fName>
            <m:r>
              <m:rPr>
                <m:sty m:val="p"/>
              </m:rPr>
              <w:rPr>
                <w:rFonts w:ascii="Cambria Math" w:hAnsi="Cambria Math"/>
                <w:szCs w:val="20"/>
                <w:lang w:val="en-GB"/>
              </w:rPr>
              <m:t>cos</m:t>
            </m:r>
          </m:fName>
          <m:e>
            <m:r>
              <w:rPr>
                <w:rFonts w:ascii="Cambria Math" w:hAnsi="Cambria Math"/>
                <w:szCs w:val="20"/>
                <w:lang w:val="en-GB"/>
              </w:rPr>
              <m:t>5°</m:t>
            </m:r>
          </m:e>
        </m:func>
        <m:r>
          <w:rPr>
            <w:rFonts w:ascii="Cambria Math" w:hAnsi="Cambria Math"/>
            <w:szCs w:val="20"/>
            <w:lang w:val="en-GB"/>
          </w:rPr>
          <m:t>+EHS*0.709+SHS*0.2907</m:t>
        </m:r>
      </m:oMath>
    </w:p>
    <w:p w14:paraId="1DE7B781" w14:textId="77777777" w:rsidR="00643137" w:rsidRPr="006D05D9" w:rsidRDefault="00643137" w:rsidP="00FB4136">
      <w:pPr>
        <w:rPr>
          <w:lang w:val="en-GB"/>
        </w:rPr>
      </w:pPr>
    </w:p>
    <w:p w14:paraId="353AB21C" w14:textId="77777777" w:rsidR="00B545BE" w:rsidRPr="006D05D9" w:rsidRDefault="00F83E85" w:rsidP="5E442AD5">
      <w:pPr>
        <w:rPr>
          <w:b/>
          <w:bCs/>
          <w:sz w:val="20"/>
          <w:szCs w:val="20"/>
          <w:lang w:val="en-GB"/>
        </w:rPr>
      </w:pPr>
      <w:r w:rsidRPr="006D05D9">
        <w:rPr>
          <w:sz w:val="20"/>
          <w:szCs w:val="20"/>
          <w:lang w:val="en-GB"/>
        </w:rPr>
        <w:t>Where PH is popliteal height; SC is shoe correction</w:t>
      </w:r>
      <w:r w:rsidR="003E1BD5" w:rsidRPr="006D05D9">
        <w:rPr>
          <w:sz w:val="20"/>
          <w:szCs w:val="20"/>
          <w:lang w:val="en-GB"/>
        </w:rPr>
        <w:t xml:space="preserve"> (2cm</w:t>
      </w:r>
      <w:r w:rsidR="002B566D" w:rsidRPr="006D05D9">
        <w:rPr>
          <w:sz w:val="20"/>
          <w:szCs w:val="20"/>
          <w:lang w:val="en-GB"/>
        </w:rPr>
        <w:t xml:space="preserve"> was considered</w:t>
      </w:r>
      <w:r w:rsidR="003E1BD5" w:rsidRPr="006D05D9">
        <w:rPr>
          <w:sz w:val="20"/>
          <w:szCs w:val="20"/>
          <w:lang w:val="en-GB"/>
        </w:rPr>
        <w:t>)</w:t>
      </w:r>
      <w:r w:rsidRPr="006D05D9">
        <w:rPr>
          <w:sz w:val="20"/>
          <w:szCs w:val="20"/>
          <w:lang w:val="en-GB"/>
        </w:rPr>
        <w:t>; EHS, elbow height sitting; DH, desk height; and SH</w:t>
      </w:r>
      <w:r w:rsidR="00DA1955" w:rsidRPr="006D05D9">
        <w:rPr>
          <w:sz w:val="20"/>
          <w:szCs w:val="20"/>
          <w:lang w:val="en-GB"/>
        </w:rPr>
        <w:t>S</w:t>
      </w:r>
      <w:r w:rsidRPr="006D05D9">
        <w:rPr>
          <w:sz w:val="20"/>
          <w:szCs w:val="20"/>
          <w:lang w:val="en-GB"/>
        </w:rPr>
        <w:t>, shoulder height sitting.</w:t>
      </w:r>
    </w:p>
    <w:p w14:paraId="65C5CB6D" w14:textId="77777777" w:rsidR="00B545BE" w:rsidRPr="006D05D9" w:rsidRDefault="00B545BE" w:rsidP="00FB4136">
      <w:pPr>
        <w:rPr>
          <w:lang w:val="en-GB"/>
        </w:rPr>
      </w:pPr>
    </w:p>
    <w:p w14:paraId="264DDBDE" w14:textId="27CFB0FE" w:rsidR="00C51486" w:rsidRPr="006D05D9" w:rsidRDefault="00C51486" w:rsidP="00FB4136">
      <w:pPr>
        <w:rPr>
          <w:b/>
          <w:bCs/>
          <w:sz w:val="24"/>
          <w:szCs w:val="24"/>
          <w:lang w:val="en-GB"/>
        </w:rPr>
      </w:pPr>
      <w:r w:rsidRPr="006D05D9">
        <w:rPr>
          <w:b/>
          <w:bCs/>
          <w:sz w:val="24"/>
          <w:szCs w:val="24"/>
          <w:lang w:val="en-GB"/>
        </w:rPr>
        <w:t>2.3. Dependent variable</w:t>
      </w:r>
    </w:p>
    <w:p w14:paraId="218D2DC5" w14:textId="77777777" w:rsidR="00C9248E" w:rsidRPr="006D05D9" w:rsidRDefault="00C9248E" w:rsidP="00FB4136">
      <w:pPr>
        <w:rPr>
          <w:b/>
          <w:bCs/>
          <w:sz w:val="24"/>
          <w:szCs w:val="24"/>
          <w:lang w:val="en-GB"/>
        </w:rPr>
      </w:pPr>
    </w:p>
    <w:p w14:paraId="6055F417" w14:textId="227B1063" w:rsidR="006D7062" w:rsidRPr="006D05D9" w:rsidRDefault="00E42C56" w:rsidP="00C9248E">
      <w:pPr>
        <w:ind w:firstLine="284"/>
        <w:rPr>
          <w:lang w:val="en-GB"/>
        </w:rPr>
      </w:pPr>
      <w:r w:rsidRPr="006D05D9">
        <w:rPr>
          <w:lang w:val="en-GB"/>
        </w:rPr>
        <w:t xml:space="preserve">Dependent variables can be grouped into </w:t>
      </w:r>
      <w:r w:rsidR="00D30469" w:rsidRPr="006D05D9">
        <w:rPr>
          <w:lang w:val="en-GB"/>
        </w:rPr>
        <w:t>five</w:t>
      </w:r>
      <w:r w:rsidR="00707C6E" w:rsidRPr="006D05D9">
        <w:rPr>
          <w:lang w:val="en-GB"/>
        </w:rPr>
        <w:t xml:space="preserve"> </w:t>
      </w:r>
      <w:r w:rsidRPr="006D05D9">
        <w:rPr>
          <w:lang w:val="en-GB"/>
        </w:rPr>
        <w:t xml:space="preserve">categories: </w:t>
      </w:r>
      <w:r w:rsidR="00185270" w:rsidRPr="006D05D9">
        <w:rPr>
          <w:lang w:val="en-GB"/>
        </w:rPr>
        <w:t>k</w:t>
      </w:r>
      <w:r w:rsidRPr="006D05D9">
        <w:rPr>
          <w:lang w:val="en-GB"/>
        </w:rPr>
        <w:t xml:space="preserve">inematics, </w:t>
      </w:r>
      <w:r w:rsidR="008C3CAF">
        <w:rPr>
          <w:lang w:val="en-GB"/>
        </w:rPr>
        <w:t>EMG</w:t>
      </w:r>
      <w:r w:rsidRPr="006D05D9">
        <w:rPr>
          <w:lang w:val="en-GB"/>
        </w:rPr>
        <w:t xml:space="preserve">, </w:t>
      </w:r>
      <w:r w:rsidR="005436E0" w:rsidRPr="006D05D9">
        <w:rPr>
          <w:lang w:val="en-GB"/>
        </w:rPr>
        <w:t>p</w:t>
      </w:r>
      <w:r w:rsidRPr="006D05D9">
        <w:rPr>
          <w:lang w:val="en-GB"/>
        </w:rPr>
        <w:t>erformance</w:t>
      </w:r>
      <w:r w:rsidR="003B0D34" w:rsidRPr="006D05D9">
        <w:rPr>
          <w:lang w:val="en-GB"/>
        </w:rPr>
        <w:t>,</w:t>
      </w:r>
      <w:r w:rsidR="000630BB" w:rsidRPr="006D05D9">
        <w:rPr>
          <w:lang w:val="en-GB"/>
        </w:rPr>
        <w:t xml:space="preserve"> </w:t>
      </w:r>
      <w:r w:rsidR="007E3EE0" w:rsidRPr="006D05D9">
        <w:rPr>
          <w:lang w:val="en-GB"/>
        </w:rPr>
        <w:t>preference,</w:t>
      </w:r>
      <w:r w:rsidR="005436E0" w:rsidRPr="006D05D9">
        <w:rPr>
          <w:lang w:val="en-GB"/>
        </w:rPr>
        <w:t xml:space="preserve"> and discomfort</w:t>
      </w:r>
      <w:r w:rsidR="00B73D22" w:rsidRPr="006D05D9">
        <w:rPr>
          <w:lang w:val="en-GB"/>
        </w:rPr>
        <w:t>.</w:t>
      </w:r>
      <w:r w:rsidR="00F64AE6" w:rsidRPr="006D05D9">
        <w:rPr>
          <w:lang w:val="en-GB"/>
        </w:rPr>
        <w:t xml:space="preserve"> </w:t>
      </w:r>
      <w:r w:rsidR="00B73D22" w:rsidRPr="006D05D9">
        <w:rPr>
          <w:lang w:val="en-GB"/>
        </w:rPr>
        <w:t>E</w:t>
      </w:r>
      <w:r w:rsidR="00F64AE6" w:rsidRPr="006D05D9">
        <w:rPr>
          <w:lang w:val="en-GB"/>
        </w:rPr>
        <w:t>ach variable is listed within its category.</w:t>
      </w:r>
    </w:p>
    <w:p w14:paraId="69DCEA20" w14:textId="77777777" w:rsidR="007249CD" w:rsidRPr="006D05D9" w:rsidRDefault="007249CD" w:rsidP="00FB4136">
      <w:pPr>
        <w:rPr>
          <w:lang w:val="en-GB"/>
        </w:rPr>
      </w:pPr>
    </w:p>
    <w:p w14:paraId="5D21478E" w14:textId="77777777" w:rsidR="007249CD" w:rsidRPr="006D05D9" w:rsidRDefault="00E42C56" w:rsidP="00FB4136">
      <w:pPr>
        <w:rPr>
          <w:b/>
          <w:bCs/>
          <w:i/>
          <w:iCs/>
          <w:lang w:val="en-GB"/>
        </w:rPr>
      </w:pPr>
      <w:r w:rsidRPr="006D05D9">
        <w:rPr>
          <w:b/>
          <w:bCs/>
          <w:i/>
          <w:iCs/>
          <w:lang w:val="en-GB"/>
        </w:rPr>
        <w:t>2.3.1. Kinematics.</w:t>
      </w:r>
      <w:r w:rsidR="00671A0B" w:rsidRPr="006D05D9">
        <w:rPr>
          <w:b/>
          <w:bCs/>
          <w:i/>
          <w:iCs/>
          <w:lang w:val="en-GB"/>
        </w:rPr>
        <w:t xml:space="preserve"> </w:t>
      </w:r>
    </w:p>
    <w:p w14:paraId="64902EC9" w14:textId="77777777" w:rsidR="00C9248E" w:rsidRPr="006D05D9" w:rsidRDefault="00C9248E" w:rsidP="00FB4136">
      <w:pPr>
        <w:rPr>
          <w:b/>
          <w:bCs/>
          <w:i/>
          <w:iCs/>
          <w:lang w:val="en-GB"/>
        </w:rPr>
      </w:pPr>
    </w:p>
    <w:p w14:paraId="402D0EE7" w14:textId="484CF8E5" w:rsidR="004E3DA2" w:rsidRPr="006D05D9" w:rsidRDefault="00931E62" w:rsidP="00C9248E">
      <w:pPr>
        <w:ind w:firstLine="284"/>
        <w:rPr>
          <w:lang w:val="en-GB"/>
        </w:rPr>
      </w:pPr>
      <w:r w:rsidRPr="006D05D9">
        <w:rPr>
          <w:lang w:val="en-GB"/>
        </w:rPr>
        <w:t>Shoulder kinematics were recorded using a motion capture system (Vicon Motion Systems Ltd., Oxford, UK) which can detect the spatial displacement of markers attached to participants’ body landmarks</w:t>
      </w:r>
      <w:r w:rsidR="00AD6777" w:rsidRPr="006D05D9">
        <w:rPr>
          <w:lang w:val="en-GB"/>
        </w:rPr>
        <w:t xml:space="preserve"> and reconstruct </w:t>
      </w:r>
      <w:r w:rsidR="00787A87" w:rsidRPr="006D05D9">
        <w:rPr>
          <w:lang w:val="en-GB"/>
        </w:rPr>
        <w:t>their trajectories</w:t>
      </w:r>
      <w:r w:rsidRPr="006D05D9">
        <w:rPr>
          <w:lang w:val="en-GB"/>
        </w:rPr>
        <w:t xml:space="preserve"> </w:t>
      </w:r>
      <w:r w:rsidR="00662BEA" w:rsidRPr="006D05D9">
        <w:rPr>
          <w:lang w:val="en-GB"/>
        </w:rPr>
        <w:fldChar w:fldCharType="begin" w:fldLock="1"/>
      </w:r>
      <w:r w:rsidR="00662BEA" w:rsidRPr="006D05D9">
        <w:rPr>
          <w:lang w:val="en-GB"/>
        </w:rPr>
        <w:instrText>ADDIN CSL_CITATION {"citationItems":[{"id":"ITEM-1","itemData":{"DOI":"10.15665/rp.v16i2.1587","ISSN":"22161368","abstract":"El movimiento humano ha sido sujeto de numerosas investigaciones, principalmente en las ciencias biomédicas, ciencias del deporte y animación 3D. Dada la gran cantidad de tecnologías disponibles en el mercado, surge la necesidad de realizar una vigilancia tecnológica que determine sus principales ventajas y limitaciones, aplicaciones y situación actual de Colombia en cuanto a estudios que involucren este tipo de tecnologías. Para lograrlo, se realizó una revisión sistemática de literatura científica a nivel global, siguiendo los parámetros de las metodologías PRISMA y PRISMA P-2015. Se encontró que las tecnologías cinemáticas de análisis de movimiento se dividen en ópticos, inerciales y magnéticos, dónde los sistemas ópticos reportan el mayor número de publicaciones, siendo la tecnología Vicon la más utilizada, debido al gran abanico de aplicaciones que presenta. En cuanto a Colombia, se evidencia poca participación en estos estudios, por lo que se debe fortalecer esta competencia tanto a nivel académico como empresarial.","author":[{"dropping-particle":"","family":"Gómez Echeverry","given":"Lesly Lisbeth","non-dropping-particle":"","parse-names":false,"suffix":""},{"dropping-particle":"","family":"Jaramillo Henao","given":"Anyi Melissa","non-dropping-particle":"","parse-names":false,"suffix":""},{"dropping-particle":"","family":"Ruiz Molina","given":"Madeleine Angélica","non-dropping-particle":"","parse-names":false,"suffix":""},{"dropping-particle":"","family":"Velásquez Restrepo","given":"Sandra Milena","non-dropping-particle":"","parse-names":false,"suffix":""},{"dropping-particle":"","family":"Páramo Velásquez","given":"Camilo Andrés","non-dropping-particle":"","parse-names":false,"suffix":""},{"dropping-particle":"","family":"Silva Bolívar","given":"Gabriel Jaime","non-dropping-particle":"","parse-names":false,"suffix":""}],"container-title":"Prospectiva","id":"ITEM-1","issue":"2","issued":{"date-parts":[["2018","7","29"]]},"page":"24-34","title":"Human motion capture and analysis systems: a systematic review/Sistemas de captura y análisis de movimiento cinemático humano: una revisión sistemática","type":"article-journal","volume":"16"},"uris":["http://www.mendeley.com/documents/?uuid=0db09906-2828-4880-ae2e-ad1cf7c0ba1b"]}],"mendeley":{"formattedCitation":"(Gómez Echeverry et al., 2018)","plainTextFormattedCitation":"(Gómez Echeverry et al., 2018)","previouslyFormattedCitation":"(Gómez Echeverry et al., 2018)"},"properties":{"noteIndex":0},"schema":"https://github.com/citation-style-language/schema/raw/master/csl-citation.json"}</w:instrText>
      </w:r>
      <w:r w:rsidR="00662BEA" w:rsidRPr="006D05D9">
        <w:rPr>
          <w:lang w:val="en-GB"/>
        </w:rPr>
        <w:fldChar w:fldCharType="separate"/>
      </w:r>
      <w:r w:rsidR="00662BEA" w:rsidRPr="006D05D9">
        <w:rPr>
          <w:lang w:val="en-GB"/>
        </w:rPr>
        <w:t>(Gómez Echeverry et al., 2018)</w:t>
      </w:r>
      <w:r w:rsidR="00662BEA" w:rsidRPr="006D05D9">
        <w:rPr>
          <w:lang w:val="en-GB"/>
        </w:rPr>
        <w:fldChar w:fldCharType="end"/>
      </w:r>
      <w:r w:rsidR="00B2609F" w:rsidRPr="006D05D9">
        <w:rPr>
          <w:lang w:val="en-GB"/>
        </w:rPr>
        <w:t>.</w:t>
      </w:r>
      <w:r w:rsidR="00526FBD" w:rsidRPr="006D05D9">
        <w:rPr>
          <w:lang w:val="en-GB"/>
        </w:rPr>
        <w:t xml:space="preserve"> </w:t>
      </w:r>
      <w:r w:rsidR="00B2609F" w:rsidRPr="006D05D9">
        <w:rPr>
          <w:lang w:val="en-GB"/>
        </w:rPr>
        <w:t>D</w:t>
      </w:r>
      <w:r w:rsidR="00526FBD" w:rsidRPr="006D05D9">
        <w:rPr>
          <w:lang w:val="en-GB"/>
        </w:rPr>
        <w:t xml:space="preserve">ata was sampled and captured at 100hz. </w:t>
      </w:r>
      <w:r w:rsidR="00742527" w:rsidRPr="006D05D9">
        <w:rPr>
          <w:lang w:val="en-GB"/>
        </w:rPr>
        <w:t>Nineteen</w:t>
      </w:r>
      <w:r w:rsidRPr="006D05D9">
        <w:rPr>
          <w:lang w:val="en-GB"/>
        </w:rPr>
        <w:t xml:space="preserve"> retroreflective markers</w:t>
      </w:r>
      <w:r w:rsidR="00B2609F" w:rsidRPr="006D05D9">
        <w:rPr>
          <w:lang w:val="en-GB"/>
        </w:rPr>
        <w:t xml:space="preserve"> were placed</w:t>
      </w:r>
      <w:r w:rsidRPr="006D05D9">
        <w:rPr>
          <w:lang w:val="en-GB"/>
        </w:rPr>
        <w:t xml:space="preserve"> on anatomical landmarks to determine the shoulder movement </w:t>
      </w:r>
      <w:r w:rsidR="008929E7" w:rsidRPr="006D05D9">
        <w:rPr>
          <w:lang w:val="en-GB"/>
        </w:rPr>
        <w:t xml:space="preserve">following </w:t>
      </w:r>
      <w:r w:rsidR="00811864" w:rsidRPr="006D05D9">
        <w:rPr>
          <w:lang w:val="en-GB"/>
        </w:rPr>
        <w:t>Vicon’s Upper Limb Model</w:t>
      </w:r>
      <w:r w:rsidR="00EF632E" w:rsidRPr="006D05D9">
        <w:rPr>
          <w:lang w:val="en-GB"/>
        </w:rPr>
        <w:t xml:space="preserve"> </w:t>
      </w:r>
      <w:r w:rsidR="002B65B0" w:rsidRPr="006D05D9">
        <w:rPr>
          <w:lang w:val="en-GB"/>
        </w:rPr>
        <w:t>(</w:t>
      </w:r>
      <w:r w:rsidR="00662BEA" w:rsidRPr="006D05D9">
        <w:rPr>
          <w:lang w:val="en-GB"/>
        </w:rPr>
        <w:t>Vicon Motion Systems</w:t>
      </w:r>
      <w:r w:rsidR="00662BEA" w:rsidRPr="006D05D9">
        <w:rPr>
          <w:rFonts w:cstheme="minorHAnsi"/>
          <w:lang w:val="en-GB"/>
        </w:rPr>
        <w:t>®,</w:t>
      </w:r>
      <w:r w:rsidR="00662BEA" w:rsidRPr="006D05D9">
        <w:rPr>
          <w:lang w:val="en-GB"/>
        </w:rPr>
        <w:t xml:space="preserve"> UK</w:t>
      </w:r>
      <w:r w:rsidR="002B65B0" w:rsidRPr="006D05D9">
        <w:rPr>
          <w:lang w:val="en-GB"/>
        </w:rPr>
        <w:t>)</w:t>
      </w:r>
      <w:r w:rsidR="00814B62" w:rsidRPr="006D05D9">
        <w:rPr>
          <w:lang w:val="en-GB"/>
        </w:rPr>
        <w:t xml:space="preserve">. </w:t>
      </w:r>
      <w:r w:rsidR="005341A2" w:rsidRPr="006D05D9">
        <w:rPr>
          <w:lang w:val="en-GB"/>
        </w:rPr>
        <w:t>The model</w:t>
      </w:r>
      <w:r w:rsidR="00814B62" w:rsidRPr="006D05D9">
        <w:rPr>
          <w:lang w:val="en-GB"/>
        </w:rPr>
        <w:t xml:space="preserve"> calculates </w:t>
      </w:r>
      <w:r w:rsidR="00440277" w:rsidRPr="006D05D9">
        <w:rPr>
          <w:lang w:val="en-GB"/>
        </w:rPr>
        <w:t>t</w:t>
      </w:r>
      <w:r w:rsidR="00F726B1" w:rsidRPr="006D05D9">
        <w:rPr>
          <w:lang w:val="en-GB"/>
        </w:rPr>
        <w:t>he desired output angle using the Euler angles technique.</w:t>
      </w:r>
      <w:r w:rsidR="000369A5" w:rsidRPr="006D05D9">
        <w:rPr>
          <w:lang w:val="en-GB"/>
        </w:rPr>
        <w:t xml:space="preserve"> </w:t>
      </w:r>
      <w:r w:rsidR="00026445" w:rsidRPr="006D05D9">
        <w:rPr>
          <w:lang w:val="en-GB"/>
        </w:rPr>
        <w:t xml:space="preserve">Shoulder </w:t>
      </w:r>
      <w:r w:rsidR="000369A5" w:rsidRPr="006D05D9">
        <w:rPr>
          <w:lang w:val="en-GB"/>
        </w:rPr>
        <w:t>f</w:t>
      </w:r>
      <w:r w:rsidR="00026445" w:rsidRPr="006D05D9">
        <w:rPr>
          <w:lang w:val="en-GB"/>
        </w:rPr>
        <w:t>lexion</w:t>
      </w:r>
      <w:r w:rsidR="000369A5" w:rsidRPr="006D05D9">
        <w:rPr>
          <w:lang w:val="en-GB"/>
        </w:rPr>
        <w:t xml:space="preserve"> and</w:t>
      </w:r>
      <w:r w:rsidR="007249CD" w:rsidRPr="006D05D9">
        <w:rPr>
          <w:lang w:val="en-GB"/>
        </w:rPr>
        <w:t xml:space="preserve"> </w:t>
      </w:r>
      <w:r w:rsidR="000369A5" w:rsidRPr="006D05D9">
        <w:rPr>
          <w:lang w:val="en-GB"/>
        </w:rPr>
        <w:t>s</w:t>
      </w:r>
      <w:r w:rsidR="005455FE" w:rsidRPr="006D05D9">
        <w:rPr>
          <w:lang w:val="en-GB"/>
        </w:rPr>
        <w:t xml:space="preserve">houlder </w:t>
      </w:r>
      <w:r w:rsidR="004E796B" w:rsidRPr="006D05D9">
        <w:rPr>
          <w:lang w:val="en-GB"/>
        </w:rPr>
        <w:t>abduction</w:t>
      </w:r>
      <w:r w:rsidR="000369A5" w:rsidRPr="006D05D9">
        <w:rPr>
          <w:lang w:val="en-GB"/>
        </w:rPr>
        <w:t xml:space="preserve"> were considered measured</w:t>
      </w:r>
      <w:r w:rsidR="004E3DA2" w:rsidRPr="006D05D9">
        <w:rPr>
          <w:lang w:val="en-GB"/>
        </w:rPr>
        <w:t xml:space="preserve"> in </w:t>
      </w:r>
      <w:r w:rsidR="0061309D" w:rsidRPr="006D05D9">
        <w:rPr>
          <w:lang w:val="en-GB"/>
        </w:rPr>
        <w:t xml:space="preserve">sexagesimal </w:t>
      </w:r>
      <w:r w:rsidR="004E3DA2" w:rsidRPr="006D05D9">
        <w:rPr>
          <w:lang w:val="en-GB"/>
        </w:rPr>
        <w:t>degrees</w:t>
      </w:r>
      <w:r w:rsidR="00971266" w:rsidRPr="006D05D9">
        <w:rPr>
          <w:lang w:val="en-GB"/>
        </w:rPr>
        <w:t xml:space="preserve"> (°)</w:t>
      </w:r>
      <w:r w:rsidR="004E3DA2" w:rsidRPr="006D05D9">
        <w:rPr>
          <w:lang w:val="en-GB"/>
        </w:rPr>
        <w:t>.</w:t>
      </w:r>
    </w:p>
    <w:p w14:paraId="7E750F45" w14:textId="77777777" w:rsidR="001603A8" w:rsidRPr="006D05D9" w:rsidRDefault="001603A8" w:rsidP="00FB4136">
      <w:pPr>
        <w:rPr>
          <w:b/>
          <w:bCs/>
          <w:i/>
          <w:iCs/>
          <w:lang w:val="en-GB"/>
        </w:rPr>
      </w:pPr>
    </w:p>
    <w:p w14:paraId="1737AD05" w14:textId="063F2DF0" w:rsidR="007249CD" w:rsidRPr="006D05D9" w:rsidRDefault="006D7062" w:rsidP="000F3D01">
      <w:pPr>
        <w:rPr>
          <w:b/>
          <w:bCs/>
          <w:i/>
          <w:iCs/>
          <w:lang w:val="en-GB"/>
        </w:rPr>
      </w:pPr>
      <w:r w:rsidRPr="006D05D9">
        <w:rPr>
          <w:b/>
          <w:bCs/>
          <w:i/>
          <w:iCs/>
          <w:lang w:val="en-GB"/>
        </w:rPr>
        <w:t>2.3.2.</w:t>
      </w:r>
      <w:r w:rsidR="005455FE" w:rsidRPr="006D05D9">
        <w:rPr>
          <w:b/>
          <w:bCs/>
          <w:i/>
          <w:iCs/>
          <w:lang w:val="en-GB"/>
        </w:rPr>
        <w:t xml:space="preserve"> </w:t>
      </w:r>
      <w:r w:rsidR="00D02006" w:rsidRPr="006D05D9">
        <w:rPr>
          <w:b/>
          <w:bCs/>
          <w:i/>
          <w:iCs/>
          <w:lang w:val="en-GB"/>
        </w:rPr>
        <w:t>Electromyography</w:t>
      </w:r>
      <w:r w:rsidR="005B693D" w:rsidRPr="006D05D9">
        <w:rPr>
          <w:b/>
          <w:bCs/>
          <w:i/>
          <w:iCs/>
          <w:lang w:val="en-GB"/>
        </w:rPr>
        <w:t xml:space="preserve">. </w:t>
      </w:r>
    </w:p>
    <w:p w14:paraId="2500CF82" w14:textId="77777777" w:rsidR="00083312" w:rsidRPr="006D05D9" w:rsidRDefault="00083312" w:rsidP="000F3D01">
      <w:pPr>
        <w:rPr>
          <w:b/>
          <w:bCs/>
          <w:i/>
          <w:iCs/>
          <w:lang w:val="en-GB"/>
        </w:rPr>
      </w:pPr>
    </w:p>
    <w:p w14:paraId="4F8BAF2A" w14:textId="2AFDC16A" w:rsidR="003868BE" w:rsidRPr="006D05D9" w:rsidRDefault="003868BE" w:rsidP="00C9248E">
      <w:pPr>
        <w:ind w:firstLine="360"/>
        <w:rPr>
          <w:lang w:val="en-GB"/>
        </w:rPr>
      </w:pPr>
      <w:r w:rsidRPr="006D05D9">
        <w:rPr>
          <w:lang w:val="en-GB"/>
        </w:rPr>
        <w:t>S</w:t>
      </w:r>
      <w:r w:rsidR="009658ED" w:rsidRPr="006D05D9">
        <w:rPr>
          <w:lang w:val="en-GB"/>
        </w:rPr>
        <w:t xml:space="preserve">urface </w:t>
      </w:r>
      <w:r w:rsidR="00501D76" w:rsidRPr="006D05D9">
        <w:rPr>
          <w:lang w:val="en-GB"/>
        </w:rPr>
        <w:t>EMG</w:t>
      </w:r>
      <w:r w:rsidR="009658ED" w:rsidRPr="006D05D9">
        <w:rPr>
          <w:lang w:val="en-GB"/>
        </w:rPr>
        <w:t xml:space="preserve"> (</w:t>
      </w:r>
      <w:proofErr w:type="spellStart"/>
      <w:r w:rsidR="009658ED" w:rsidRPr="006D05D9">
        <w:rPr>
          <w:lang w:val="en-GB"/>
        </w:rPr>
        <w:t>sEMG</w:t>
      </w:r>
      <w:proofErr w:type="spellEnd"/>
      <w:r w:rsidR="009658ED" w:rsidRPr="006D05D9">
        <w:rPr>
          <w:lang w:val="en-GB"/>
        </w:rPr>
        <w:t>)</w:t>
      </w:r>
      <w:r w:rsidR="00501D76" w:rsidRPr="006D05D9">
        <w:rPr>
          <w:lang w:val="en-GB"/>
        </w:rPr>
        <w:t xml:space="preserve"> signals were recorded using </w:t>
      </w:r>
      <w:proofErr w:type="spellStart"/>
      <w:r w:rsidR="00F71E9C" w:rsidRPr="006D05D9">
        <w:rPr>
          <w:lang w:val="en-GB"/>
        </w:rPr>
        <w:t>Trigno</w:t>
      </w:r>
      <w:proofErr w:type="spellEnd"/>
      <w:r w:rsidR="00F71E9C" w:rsidRPr="006D05D9">
        <w:rPr>
          <w:lang w:val="en-GB"/>
        </w:rPr>
        <w:t xml:space="preserve"> wireless sensors (</w:t>
      </w:r>
      <w:proofErr w:type="spellStart"/>
      <w:r w:rsidR="00F71E9C" w:rsidRPr="006D05D9">
        <w:rPr>
          <w:lang w:val="en-GB"/>
        </w:rPr>
        <w:t>Delsys</w:t>
      </w:r>
      <w:proofErr w:type="spellEnd"/>
      <w:r w:rsidR="00F71E9C" w:rsidRPr="006D05D9">
        <w:rPr>
          <w:lang w:val="en-GB"/>
        </w:rPr>
        <w:t>, Inc., Natick, MA, USA)</w:t>
      </w:r>
      <w:r w:rsidR="008739DA" w:rsidRPr="006D05D9">
        <w:rPr>
          <w:lang w:val="en-GB"/>
        </w:rPr>
        <w:t xml:space="preserve"> </w:t>
      </w:r>
      <w:r w:rsidR="00AD15D0" w:rsidRPr="006D05D9">
        <w:rPr>
          <w:lang w:val="en-GB"/>
        </w:rPr>
        <w:t>in</w:t>
      </w:r>
      <w:r w:rsidRPr="006D05D9">
        <w:rPr>
          <w:lang w:val="en-GB"/>
        </w:rPr>
        <w:t xml:space="preserve"> a</w:t>
      </w:r>
      <w:r w:rsidR="00AD15D0" w:rsidRPr="006D05D9">
        <w:rPr>
          <w:lang w:val="en-GB"/>
        </w:rPr>
        <w:t xml:space="preserve"> multichannel configuration for the right-sided target muscles, sampled at a frequency of 2000hz. </w:t>
      </w:r>
      <w:r w:rsidR="00343AF4" w:rsidRPr="006D05D9">
        <w:rPr>
          <w:lang w:val="en-GB"/>
        </w:rPr>
        <w:t xml:space="preserve">Target muscles were </w:t>
      </w:r>
      <w:r w:rsidR="00163636" w:rsidRPr="006D05D9">
        <w:rPr>
          <w:lang w:val="en-GB"/>
        </w:rPr>
        <w:t xml:space="preserve">the </w:t>
      </w:r>
      <w:r w:rsidR="00E772E3" w:rsidRPr="006D05D9">
        <w:rPr>
          <w:lang w:val="en-GB"/>
        </w:rPr>
        <w:t>Deltoids, Trapezius</w:t>
      </w:r>
      <w:r w:rsidR="00163636" w:rsidRPr="006D05D9">
        <w:rPr>
          <w:lang w:val="en-GB"/>
        </w:rPr>
        <w:t>,</w:t>
      </w:r>
      <w:r w:rsidR="00E772E3" w:rsidRPr="006D05D9">
        <w:rPr>
          <w:lang w:val="en-GB"/>
        </w:rPr>
        <w:t xml:space="preserve"> and Serratus</w:t>
      </w:r>
      <w:r w:rsidR="007A1667" w:rsidRPr="006D05D9">
        <w:rPr>
          <w:lang w:val="en-GB"/>
        </w:rPr>
        <w:t xml:space="preserve">, where </w:t>
      </w:r>
      <w:r w:rsidR="000F3D01" w:rsidRPr="006D05D9">
        <w:rPr>
          <w:lang w:val="en-GB"/>
        </w:rPr>
        <w:t xml:space="preserve">different </w:t>
      </w:r>
      <w:r w:rsidR="009E3CC2" w:rsidRPr="006D05D9">
        <w:rPr>
          <w:lang w:val="en-GB"/>
        </w:rPr>
        <w:t xml:space="preserve">portions </w:t>
      </w:r>
      <w:r w:rsidR="000F3D01" w:rsidRPr="006D05D9">
        <w:rPr>
          <w:lang w:val="en-GB"/>
        </w:rPr>
        <w:t>for each muscle were measured and treated as individual muscle</w:t>
      </w:r>
      <w:r w:rsidR="00163636" w:rsidRPr="006D05D9">
        <w:rPr>
          <w:lang w:val="en-GB"/>
        </w:rPr>
        <w:t>s</w:t>
      </w:r>
      <w:r w:rsidR="000F3D01" w:rsidRPr="006D05D9">
        <w:rPr>
          <w:lang w:val="en-GB"/>
        </w:rPr>
        <w:t xml:space="preserve"> for data capture and analysis purposes</w:t>
      </w:r>
      <w:r w:rsidR="009E3CC2" w:rsidRPr="006D05D9">
        <w:rPr>
          <w:lang w:val="en-GB"/>
        </w:rPr>
        <w:t>. R</w:t>
      </w:r>
      <w:r w:rsidR="000F3D01" w:rsidRPr="006D05D9">
        <w:rPr>
          <w:lang w:val="en-GB"/>
        </w:rPr>
        <w:t>esulting muscle</w:t>
      </w:r>
      <w:r w:rsidR="009E3CC2" w:rsidRPr="006D05D9">
        <w:rPr>
          <w:lang w:val="en-GB"/>
        </w:rPr>
        <w:t xml:space="preserve"> measured were:</w:t>
      </w:r>
      <w:r w:rsidR="008F7718" w:rsidRPr="006D05D9">
        <w:rPr>
          <w:lang w:val="en-GB"/>
        </w:rPr>
        <w:t xml:space="preserve"> </w:t>
      </w:r>
      <w:r w:rsidR="00492C3D" w:rsidRPr="006D05D9">
        <w:rPr>
          <w:lang w:val="en-GB"/>
        </w:rPr>
        <w:t>Anterior Deltoids, Medi</w:t>
      </w:r>
      <w:r w:rsidR="005354E0" w:rsidRPr="006D05D9">
        <w:rPr>
          <w:lang w:val="en-GB"/>
        </w:rPr>
        <w:t xml:space="preserve">al Deltoids, Superior Trapezius, Medial Trapezius, Inferior Trapezius, and </w:t>
      </w:r>
      <w:r w:rsidR="00CC7CFB" w:rsidRPr="006D05D9">
        <w:rPr>
          <w:lang w:val="en-GB"/>
        </w:rPr>
        <w:t>Serratus Anterior</w:t>
      </w:r>
      <w:r w:rsidR="00D247FD" w:rsidRPr="006D05D9">
        <w:rPr>
          <w:lang w:val="en-GB"/>
        </w:rPr>
        <w:t>.</w:t>
      </w:r>
    </w:p>
    <w:p w14:paraId="6D3E097E" w14:textId="77777777" w:rsidR="00C9248E" w:rsidRPr="006D05D9" w:rsidRDefault="00C9248E" w:rsidP="00FB4136">
      <w:pPr>
        <w:rPr>
          <w:lang w:val="en-GB"/>
        </w:rPr>
      </w:pPr>
    </w:p>
    <w:p w14:paraId="320108C3" w14:textId="0ED71B46" w:rsidR="00BD033F" w:rsidRPr="006D05D9" w:rsidRDefault="00A55370" w:rsidP="00C9248E">
      <w:pPr>
        <w:ind w:firstLine="360"/>
        <w:rPr>
          <w:lang w:val="en-GB"/>
        </w:rPr>
      </w:pPr>
      <w:r w:rsidRPr="006D05D9">
        <w:rPr>
          <w:lang w:val="en-GB"/>
        </w:rPr>
        <w:t>Before placing wireless electromyography sensors, participants' skin was cleaned with disposable tissue paper wet with alcohol to improve double-sided tape adhesion and increase signal capture.</w:t>
      </w:r>
    </w:p>
    <w:p w14:paraId="7ABDB42E" w14:textId="77777777" w:rsidR="00C9248E" w:rsidRPr="006D05D9" w:rsidRDefault="00C9248E" w:rsidP="00FB4136">
      <w:pPr>
        <w:rPr>
          <w:lang w:val="en-GB"/>
        </w:rPr>
      </w:pPr>
    </w:p>
    <w:p w14:paraId="4752BBDD" w14:textId="73DF5910" w:rsidR="00857E69" w:rsidRPr="006D05D9" w:rsidRDefault="003B5CD1" w:rsidP="00C9248E">
      <w:pPr>
        <w:ind w:firstLine="360"/>
        <w:rPr>
          <w:lang w:val="en-GB"/>
        </w:rPr>
      </w:pPr>
      <w:r w:rsidRPr="006D05D9">
        <w:rPr>
          <w:lang w:val="en-GB"/>
        </w:rPr>
        <w:t xml:space="preserve">To ease the process of data capture and data comparison between and within subjects, </w:t>
      </w:r>
      <w:r w:rsidR="0011561C" w:rsidRPr="006D05D9">
        <w:rPr>
          <w:lang w:val="en-GB"/>
        </w:rPr>
        <w:t xml:space="preserve">participants were asked to yield the theoretical maximum amplitude of activation during muscle contraction against manual resistance in </w:t>
      </w:r>
      <w:r w:rsidR="000369A5" w:rsidRPr="006D05D9">
        <w:rPr>
          <w:lang w:val="en-GB"/>
        </w:rPr>
        <w:t>an</w:t>
      </w:r>
      <w:r w:rsidR="0011561C" w:rsidRPr="006D05D9">
        <w:rPr>
          <w:lang w:val="en-GB"/>
        </w:rPr>
        <w:t xml:space="preserve"> </w:t>
      </w:r>
      <w:r w:rsidR="000369A5" w:rsidRPr="006D05D9">
        <w:rPr>
          <w:lang w:val="en-GB"/>
        </w:rPr>
        <w:t xml:space="preserve">Isometric </w:t>
      </w:r>
      <w:r w:rsidR="0011561C" w:rsidRPr="006D05D9">
        <w:rPr>
          <w:lang w:val="en-GB"/>
        </w:rPr>
        <w:t>Maxim</w:t>
      </w:r>
      <w:r w:rsidR="0061186A" w:rsidRPr="006D05D9">
        <w:rPr>
          <w:lang w:val="en-GB"/>
        </w:rPr>
        <w:t>um Voluntary Contraction (</w:t>
      </w:r>
      <w:proofErr w:type="spellStart"/>
      <w:r w:rsidR="000369A5" w:rsidRPr="006D05D9">
        <w:rPr>
          <w:lang w:val="en-GB"/>
        </w:rPr>
        <w:t>i</w:t>
      </w:r>
      <w:r w:rsidR="0061186A" w:rsidRPr="006D05D9">
        <w:rPr>
          <w:lang w:val="en-GB"/>
        </w:rPr>
        <w:t>MVC</w:t>
      </w:r>
      <w:proofErr w:type="spellEnd"/>
      <w:r w:rsidR="0061186A" w:rsidRPr="006D05D9">
        <w:rPr>
          <w:lang w:val="en-GB"/>
        </w:rPr>
        <w:t xml:space="preserve">) task. </w:t>
      </w:r>
      <w:r w:rsidR="00401EC5" w:rsidRPr="006D05D9">
        <w:rPr>
          <w:lang w:val="en-GB"/>
        </w:rPr>
        <w:t xml:space="preserve">The task </w:t>
      </w:r>
      <w:r w:rsidR="0061186A" w:rsidRPr="006D05D9">
        <w:rPr>
          <w:lang w:val="en-GB"/>
        </w:rPr>
        <w:t xml:space="preserve">consisted </w:t>
      </w:r>
      <w:r w:rsidR="00190573" w:rsidRPr="006D05D9">
        <w:rPr>
          <w:lang w:val="en-GB"/>
        </w:rPr>
        <w:t>of</w:t>
      </w:r>
      <w:r w:rsidR="00EA3AFC" w:rsidRPr="006D05D9">
        <w:rPr>
          <w:lang w:val="en-GB"/>
        </w:rPr>
        <w:t xml:space="preserve"> the exertion of maximal effort during an isometric contraction for </w:t>
      </w:r>
      <w:r w:rsidR="00190573" w:rsidRPr="006D05D9">
        <w:rPr>
          <w:lang w:val="en-GB"/>
        </w:rPr>
        <w:t xml:space="preserve">three </w:t>
      </w:r>
      <w:r w:rsidR="00EA3AFC" w:rsidRPr="006D05D9">
        <w:rPr>
          <w:lang w:val="en-GB"/>
        </w:rPr>
        <w:t>seconds, followed by a minute of</w:t>
      </w:r>
      <w:r w:rsidR="00190573" w:rsidRPr="006D05D9">
        <w:rPr>
          <w:lang w:val="en-GB"/>
        </w:rPr>
        <w:t xml:space="preserve"> rest</w:t>
      </w:r>
      <w:r w:rsidR="005E57AB" w:rsidRPr="006D05D9">
        <w:rPr>
          <w:lang w:val="en-GB"/>
        </w:rPr>
        <w:t>. This action was performed</w:t>
      </w:r>
      <w:r w:rsidR="00190573" w:rsidRPr="006D05D9">
        <w:rPr>
          <w:lang w:val="en-GB"/>
        </w:rPr>
        <w:t xml:space="preserve"> three times. </w:t>
      </w:r>
      <w:r w:rsidR="000369A5" w:rsidRPr="006D05D9">
        <w:rPr>
          <w:lang w:val="en-GB"/>
        </w:rPr>
        <w:t xml:space="preserve">The following variables were considered: </w:t>
      </w:r>
    </w:p>
    <w:p w14:paraId="5232963F" w14:textId="6D360DAD" w:rsidR="00DD04AD" w:rsidRPr="006D05D9" w:rsidRDefault="00DD04AD" w:rsidP="00D94A94">
      <w:pPr>
        <w:pStyle w:val="Prrafodelista"/>
        <w:numPr>
          <w:ilvl w:val="0"/>
          <w:numId w:val="9"/>
        </w:numPr>
        <w:rPr>
          <w:lang w:val="en-GB"/>
        </w:rPr>
      </w:pPr>
      <w:r w:rsidRPr="006D05D9">
        <w:rPr>
          <w:lang w:val="en-GB"/>
        </w:rPr>
        <w:t>Average amplitude (%</w:t>
      </w:r>
      <w:proofErr w:type="spellStart"/>
      <w:r w:rsidR="000369A5" w:rsidRPr="006D05D9">
        <w:rPr>
          <w:lang w:val="en-GB"/>
        </w:rPr>
        <w:t>i</w:t>
      </w:r>
      <w:r w:rsidR="00CD2805" w:rsidRPr="006D05D9">
        <w:rPr>
          <w:shd w:val="clear" w:color="auto" w:fill="FFFFFF"/>
          <w:lang w:val="en-GB"/>
        </w:rPr>
        <w:t>MVC</w:t>
      </w:r>
      <w:proofErr w:type="spellEnd"/>
      <w:r w:rsidRPr="006D05D9">
        <w:rPr>
          <w:lang w:val="en-GB"/>
        </w:rPr>
        <w:t>)</w:t>
      </w:r>
      <w:r w:rsidR="002506FF" w:rsidRPr="006D05D9">
        <w:rPr>
          <w:lang w:val="en-GB"/>
        </w:rPr>
        <w:t>:</w:t>
      </w:r>
      <w:r w:rsidRPr="006D05D9">
        <w:rPr>
          <w:lang w:val="en-GB"/>
        </w:rPr>
        <w:t xml:space="preserve"> </w:t>
      </w:r>
      <w:r w:rsidR="002506FF" w:rsidRPr="006D05D9">
        <w:rPr>
          <w:lang w:val="en-GB"/>
        </w:rPr>
        <w:t>t</w:t>
      </w:r>
      <w:r w:rsidR="00163636" w:rsidRPr="006D05D9">
        <w:rPr>
          <w:lang w:val="en-GB"/>
        </w:rPr>
        <w:t>he a</w:t>
      </w:r>
      <w:r w:rsidR="00433770" w:rsidRPr="006D05D9">
        <w:rPr>
          <w:lang w:val="en-GB"/>
        </w:rPr>
        <w:t xml:space="preserve">verage amplitude of electromyographical activity normalized against the maximal EMG values </w:t>
      </w:r>
      <w:r w:rsidR="00A875F3" w:rsidRPr="006D05D9">
        <w:rPr>
          <w:lang w:val="en-GB"/>
        </w:rPr>
        <w:t xml:space="preserve">of </w:t>
      </w:r>
      <w:proofErr w:type="spellStart"/>
      <w:r w:rsidR="000369A5" w:rsidRPr="006D05D9">
        <w:rPr>
          <w:lang w:val="en-GB"/>
        </w:rPr>
        <w:t>iMVC</w:t>
      </w:r>
      <w:proofErr w:type="spellEnd"/>
      <w:r w:rsidR="00986BAA" w:rsidRPr="006D05D9">
        <w:rPr>
          <w:lang w:val="en-GB"/>
        </w:rPr>
        <w:t xml:space="preserve">, measured in </w:t>
      </w:r>
      <w:r w:rsidR="00971266" w:rsidRPr="006D05D9">
        <w:rPr>
          <w:lang w:val="en-GB"/>
        </w:rPr>
        <w:t>percentage of activation (</w:t>
      </w:r>
      <w:r w:rsidR="00986BAA" w:rsidRPr="006D05D9">
        <w:rPr>
          <w:lang w:val="en-GB"/>
        </w:rPr>
        <w:t>%</w:t>
      </w:r>
      <w:r w:rsidR="00971266" w:rsidRPr="006D05D9">
        <w:rPr>
          <w:lang w:val="en-GB"/>
        </w:rPr>
        <w:t>)</w:t>
      </w:r>
      <w:r w:rsidR="00986BAA" w:rsidRPr="006D05D9">
        <w:rPr>
          <w:lang w:val="en-GB"/>
        </w:rPr>
        <w:t>.</w:t>
      </w:r>
    </w:p>
    <w:p w14:paraId="3C4A9D77" w14:textId="6A25CD9B" w:rsidR="00BF0399" w:rsidRPr="006D05D9" w:rsidRDefault="0020453C" w:rsidP="00D94A94">
      <w:pPr>
        <w:pStyle w:val="Prrafodelista"/>
        <w:numPr>
          <w:ilvl w:val="0"/>
          <w:numId w:val="9"/>
        </w:numPr>
        <w:rPr>
          <w:lang w:val="en-GB"/>
        </w:rPr>
      </w:pPr>
      <w:r w:rsidRPr="006D05D9">
        <w:rPr>
          <w:lang w:val="en-GB"/>
        </w:rPr>
        <w:lastRenderedPageBreak/>
        <w:t>Activity periods</w:t>
      </w:r>
      <w:r w:rsidR="002506FF" w:rsidRPr="006D05D9">
        <w:rPr>
          <w:lang w:val="en-GB"/>
        </w:rPr>
        <w:t>:</w:t>
      </w:r>
      <w:r w:rsidR="00986BAA" w:rsidRPr="006D05D9">
        <w:rPr>
          <w:lang w:val="en-GB"/>
        </w:rPr>
        <w:t xml:space="preserve"> </w:t>
      </w:r>
      <w:r w:rsidR="002506FF" w:rsidRPr="006D05D9">
        <w:rPr>
          <w:lang w:val="en-GB"/>
        </w:rPr>
        <w:t>r</w:t>
      </w:r>
      <w:r w:rsidR="008B6243" w:rsidRPr="006D05D9">
        <w:rPr>
          <w:lang w:val="en-GB"/>
        </w:rPr>
        <w:t>efers to the time each muscle is active during the desired task</w:t>
      </w:r>
      <w:r w:rsidR="00B70AFA" w:rsidRPr="006D05D9">
        <w:rPr>
          <w:lang w:val="en-GB"/>
        </w:rPr>
        <w:t>, calculated after determin</w:t>
      </w:r>
      <w:r w:rsidR="00126316" w:rsidRPr="006D05D9">
        <w:rPr>
          <w:lang w:val="en-GB"/>
        </w:rPr>
        <w:t xml:space="preserve">ing a threshold for levels of activity (low, moderate, high, and very high) </w:t>
      </w:r>
      <w:r w:rsidR="00193D09" w:rsidRPr="006D05D9">
        <w:rPr>
          <w:lang w:val="en-GB"/>
        </w:rPr>
        <w:t>and inactivity periods, measured in seconds (s)</w:t>
      </w:r>
      <w:r w:rsidR="00BA5F2C" w:rsidRPr="006D05D9">
        <w:rPr>
          <w:lang w:val="en-GB"/>
        </w:rPr>
        <w:t>.</w:t>
      </w:r>
      <w:r w:rsidR="00193D09" w:rsidRPr="006D05D9">
        <w:rPr>
          <w:lang w:val="en-GB"/>
        </w:rPr>
        <w:t xml:space="preserve"> </w:t>
      </w:r>
    </w:p>
    <w:p w14:paraId="4EB71EFD" w14:textId="77777777" w:rsidR="001603A8" w:rsidRPr="006D05D9" w:rsidRDefault="001603A8" w:rsidP="00FB4136">
      <w:pPr>
        <w:rPr>
          <w:lang w:val="en-GB"/>
        </w:rPr>
      </w:pPr>
    </w:p>
    <w:p w14:paraId="08AE4144" w14:textId="77777777" w:rsidR="007249CD" w:rsidRPr="006D05D9" w:rsidRDefault="005455FE" w:rsidP="00FB4136">
      <w:pPr>
        <w:rPr>
          <w:b/>
          <w:bCs/>
          <w:i/>
          <w:iCs/>
          <w:lang w:val="en-GB"/>
        </w:rPr>
      </w:pPr>
      <w:r w:rsidRPr="006D05D9">
        <w:rPr>
          <w:b/>
          <w:bCs/>
          <w:i/>
          <w:iCs/>
          <w:lang w:val="en-GB"/>
        </w:rPr>
        <w:t>2.3.3. Performance</w:t>
      </w:r>
      <w:r w:rsidR="005B693D" w:rsidRPr="006D05D9">
        <w:rPr>
          <w:b/>
          <w:bCs/>
          <w:i/>
          <w:iCs/>
          <w:lang w:val="en-GB"/>
        </w:rPr>
        <w:t xml:space="preserve">. </w:t>
      </w:r>
    </w:p>
    <w:p w14:paraId="577201E9" w14:textId="77777777" w:rsidR="00083312" w:rsidRPr="006D05D9" w:rsidRDefault="00083312" w:rsidP="00FB4136">
      <w:pPr>
        <w:rPr>
          <w:lang w:val="en-GB"/>
        </w:rPr>
      </w:pPr>
    </w:p>
    <w:p w14:paraId="673AAF8C" w14:textId="2C8B3DA5" w:rsidR="005455FE" w:rsidRPr="006D05D9" w:rsidRDefault="00F07EFC" w:rsidP="00083312">
      <w:pPr>
        <w:ind w:firstLine="360"/>
        <w:rPr>
          <w:lang w:val="en-GB"/>
        </w:rPr>
      </w:pPr>
      <w:r w:rsidRPr="006D05D9">
        <w:rPr>
          <w:lang w:val="en-GB"/>
        </w:rPr>
        <w:t xml:space="preserve">Performance was measured </w:t>
      </w:r>
      <w:r w:rsidR="0050586C" w:rsidRPr="006D05D9">
        <w:rPr>
          <w:lang w:val="en-GB"/>
        </w:rPr>
        <w:t>using</w:t>
      </w:r>
      <w:r w:rsidRPr="006D05D9">
        <w:rPr>
          <w:lang w:val="en-GB"/>
        </w:rPr>
        <w:t xml:space="preserve"> different variables due to the differences in the tasks to be executed</w:t>
      </w:r>
      <w:r w:rsidR="00706161" w:rsidRPr="006D05D9">
        <w:rPr>
          <w:lang w:val="en-GB"/>
        </w:rPr>
        <w:t>.</w:t>
      </w:r>
      <w:r w:rsidRPr="006D05D9">
        <w:rPr>
          <w:lang w:val="en-GB"/>
        </w:rPr>
        <w:t xml:space="preserve"> </w:t>
      </w:r>
      <w:r w:rsidR="00517127" w:rsidRPr="006D05D9">
        <w:rPr>
          <w:lang w:val="en-GB"/>
        </w:rPr>
        <w:t>F</w:t>
      </w:r>
      <w:r w:rsidR="0050586C" w:rsidRPr="006D05D9">
        <w:rPr>
          <w:lang w:val="en-GB"/>
        </w:rPr>
        <w:t xml:space="preserve">or </w:t>
      </w:r>
      <w:r w:rsidRPr="006D05D9">
        <w:rPr>
          <w:lang w:val="en-GB"/>
        </w:rPr>
        <w:t>those tasks that involved writing or reading, performance was measured as the number of words per minute</w:t>
      </w:r>
      <w:r w:rsidR="0050586C" w:rsidRPr="006D05D9">
        <w:rPr>
          <w:lang w:val="en-GB"/>
        </w:rPr>
        <w:t xml:space="preserve">; </w:t>
      </w:r>
      <w:r w:rsidRPr="006D05D9">
        <w:rPr>
          <w:lang w:val="en-GB"/>
        </w:rPr>
        <w:t>while for object manipulation tasks</w:t>
      </w:r>
      <w:r w:rsidR="0050586C" w:rsidRPr="006D05D9">
        <w:rPr>
          <w:lang w:val="en-GB"/>
        </w:rPr>
        <w:t>,</w:t>
      </w:r>
      <w:r w:rsidRPr="006D05D9">
        <w:rPr>
          <w:lang w:val="en-GB"/>
        </w:rPr>
        <w:t xml:space="preserve"> performance </w:t>
      </w:r>
      <w:r w:rsidR="00163636" w:rsidRPr="006D05D9">
        <w:rPr>
          <w:lang w:val="en-GB"/>
        </w:rPr>
        <w:t>wa</w:t>
      </w:r>
      <w:r w:rsidRPr="006D05D9">
        <w:rPr>
          <w:lang w:val="en-GB"/>
        </w:rPr>
        <w:t>s translated into task completion time. Finally, for tasks related to the use of electronic devices such as PC</w:t>
      </w:r>
      <w:r w:rsidR="00F00240" w:rsidRPr="006D05D9">
        <w:rPr>
          <w:lang w:val="en-GB"/>
        </w:rPr>
        <w:t>s</w:t>
      </w:r>
      <w:r w:rsidRPr="006D05D9">
        <w:rPr>
          <w:lang w:val="en-GB"/>
        </w:rPr>
        <w:t xml:space="preserve"> or Tablet, performance was measured according to </w:t>
      </w:r>
      <w:r w:rsidR="0050586C" w:rsidRPr="006D05D9">
        <w:rPr>
          <w:lang w:val="en-GB"/>
        </w:rPr>
        <w:t>Fitts’s</w:t>
      </w:r>
      <w:r w:rsidRPr="006D05D9">
        <w:rPr>
          <w:lang w:val="en-GB"/>
        </w:rPr>
        <w:t xml:space="preserve"> Law by using </w:t>
      </w:r>
      <w:r w:rsidR="00D76B9D" w:rsidRPr="006D05D9">
        <w:rPr>
          <w:lang w:val="en-GB"/>
        </w:rPr>
        <w:t>software</w:t>
      </w:r>
      <w:r w:rsidRPr="006D05D9">
        <w:rPr>
          <w:lang w:val="en-GB"/>
        </w:rPr>
        <w:t xml:space="preserve"> specially designed for this purpose</w:t>
      </w:r>
      <w:r w:rsidR="00662BEA" w:rsidRPr="006D05D9">
        <w:rPr>
          <w:lang w:val="en-GB"/>
        </w:rPr>
        <w:t xml:space="preserve"> </w:t>
      </w:r>
      <w:r w:rsidR="00662BEA" w:rsidRPr="006D05D9">
        <w:rPr>
          <w:lang w:val="en-GB"/>
        </w:rPr>
        <w:fldChar w:fldCharType="begin" w:fldLock="1"/>
      </w:r>
      <w:r w:rsidR="00662BEA" w:rsidRPr="006D05D9">
        <w:rPr>
          <w:lang w:val="en-GB"/>
        </w:rPr>
        <w:instrText>ADDIN CSL_CITATION {"citationItems":[{"id":"ITEM-1","itemData":{"DOI":"10.1002/9781118976005.ch17","author":[{"dropping-particle":"","family":"MacKenzie","given":"I. Scott","non-dropping-particle":"","parse-names":false,"suffix":""}],"container-title":"The Wiley Handbook of Human Computer Interaction","id":"ITEM-1","issued":{"date-parts":[["2018","2","14"]]},"page":"347-370","publisher":"Wiley","title":"Fitts’ Law","type":"chapter"},"uris":["http://www.mendeley.com/documents/?uuid=b4a45de2-b1c8-4cb2-86c2-241bf3abb1cb"]}],"mendeley":{"formattedCitation":"(MacKenzie, 2018)","plainTextFormattedCitation":"(MacKenzie, 2018)","previouslyFormattedCitation":"(MacKenzie, 2018)"},"properties":{"noteIndex":0},"schema":"https://github.com/citation-style-language/schema/raw/master/csl-citation.json"}</w:instrText>
      </w:r>
      <w:r w:rsidR="00662BEA" w:rsidRPr="006D05D9">
        <w:rPr>
          <w:lang w:val="en-GB"/>
        </w:rPr>
        <w:fldChar w:fldCharType="separate"/>
      </w:r>
      <w:r w:rsidR="00662BEA" w:rsidRPr="006D05D9">
        <w:rPr>
          <w:lang w:val="en-GB"/>
        </w:rPr>
        <w:t>(MacKenzie, 2018)</w:t>
      </w:r>
      <w:r w:rsidR="00662BEA" w:rsidRPr="006D05D9">
        <w:rPr>
          <w:lang w:val="en-GB"/>
        </w:rPr>
        <w:fldChar w:fldCharType="end"/>
      </w:r>
      <w:r w:rsidR="00662BEA" w:rsidRPr="006D05D9">
        <w:rPr>
          <w:lang w:val="en-GB"/>
        </w:rPr>
        <w:t>.</w:t>
      </w:r>
      <w:r w:rsidR="00082DD5" w:rsidRPr="006D05D9">
        <w:rPr>
          <w:lang w:val="en-GB"/>
        </w:rPr>
        <w:t xml:space="preserve"> The </w:t>
      </w:r>
      <w:r w:rsidR="00513E27" w:rsidRPr="006D05D9">
        <w:rPr>
          <w:lang w:val="en-GB"/>
        </w:rPr>
        <w:t>detailed</w:t>
      </w:r>
      <w:r w:rsidR="00082DD5" w:rsidRPr="006D05D9">
        <w:rPr>
          <w:lang w:val="en-GB"/>
        </w:rPr>
        <w:t xml:space="preserve"> measures of performance</w:t>
      </w:r>
      <w:r w:rsidR="00513E27" w:rsidRPr="006D05D9">
        <w:rPr>
          <w:lang w:val="en-GB"/>
        </w:rPr>
        <w:t xml:space="preserve"> were the following: </w:t>
      </w:r>
    </w:p>
    <w:p w14:paraId="70CFA449" w14:textId="77777777" w:rsidR="00D94A94" w:rsidRPr="006D05D9" w:rsidRDefault="00D94A94" w:rsidP="00FB4136">
      <w:pPr>
        <w:rPr>
          <w:lang w:val="en-GB"/>
        </w:rPr>
      </w:pPr>
    </w:p>
    <w:p w14:paraId="10309BFE" w14:textId="5998CC31" w:rsidR="00F86CC6" w:rsidRPr="006D05D9" w:rsidRDefault="00D20681" w:rsidP="00D94A94">
      <w:pPr>
        <w:pStyle w:val="Prrafodelista"/>
        <w:numPr>
          <w:ilvl w:val="0"/>
          <w:numId w:val="8"/>
        </w:numPr>
        <w:rPr>
          <w:lang w:val="en-GB"/>
        </w:rPr>
      </w:pPr>
      <w:r w:rsidRPr="006D05D9">
        <w:rPr>
          <w:lang w:val="en-GB"/>
        </w:rPr>
        <w:t>Words per</w:t>
      </w:r>
      <w:r w:rsidR="24ACB942" w:rsidRPr="006D05D9">
        <w:rPr>
          <w:lang w:val="en-GB"/>
        </w:rPr>
        <w:t xml:space="preserve"> </w:t>
      </w:r>
      <w:proofErr w:type="gramStart"/>
      <w:r w:rsidR="00513E27" w:rsidRPr="006D05D9">
        <w:rPr>
          <w:lang w:val="en-GB"/>
        </w:rPr>
        <w:t>minute:</w:t>
      </w:r>
      <w:proofErr w:type="gramEnd"/>
      <w:r w:rsidR="00513E27" w:rsidRPr="006D05D9">
        <w:rPr>
          <w:lang w:val="en-GB"/>
        </w:rPr>
        <w:t xml:space="preserve"> </w:t>
      </w:r>
      <w:r w:rsidR="005B693D" w:rsidRPr="006D05D9">
        <w:rPr>
          <w:lang w:val="en-GB"/>
        </w:rPr>
        <w:t xml:space="preserve"> </w:t>
      </w:r>
      <w:r w:rsidR="002506FF" w:rsidRPr="006D05D9">
        <w:rPr>
          <w:lang w:val="en-GB"/>
        </w:rPr>
        <w:t>r</w:t>
      </w:r>
      <w:r w:rsidR="00F86CC6" w:rsidRPr="006D05D9">
        <w:rPr>
          <w:lang w:val="en-GB"/>
        </w:rPr>
        <w:t xml:space="preserve">epresents the </w:t>
      </w:r>
      <w:r w:rsidR="001D1174" w:rsidRPr="006D05D9">
        <w:rPr>
          <w:lang w:val="en-GB"/>
        </w:rPr>
        <w:t>number</w:t>
      </w:r>
      <w:r w:rsidR="00F86CC6" w:rsidRPr="006D05D9">
        <w:rPr>
          <w:lang w:val="en-GB"/>
        </w:rPr>
        <w:t xml:space="preserve"> of words typed within a minute, </w:t>
      </w:r>
      <w:r w:rsidR="000F48C5" w:rsidRPr="006D05D9">
        <w:rPr>
          <w:lang w:val="en-GB"/>
        </w:rPr>
        <w:t xml:space="preserve">the total amount of typed characters </w:t>
      </w:r>
      <w:r w:rsidR="009658ED" w:rsidRPr="006D05D9">
        <w:rPr>
          <w:lang w:val="en-GB"/>
        </w:rPr>
        <w:t>was</w:t>
      </w:r>
      <w:r w:rsidR="000F48C5" w:rsidRPr="006D05D9">
        <w:rPr>
          <w:lang w:val="en-GB"/>
        </w:rPr>
        <w:t xml:space="preserve"> </w:t>
      </w:r>
      <w:r w:rsidR="00F86CC6" w:rsidRPr="006D05D9">
        <w:rPr>
          <w:lang w:val="en-GB"/>
        </w:rPr>
        <w:t>divided by five</w:t>
      </w:r>
      <w:r w:rsidR="001D1174" w:rsidRPr="006D05D9">
        <w:rPr>
          <w:lang w:val="en-GB"/>
        </w:rPr>
        <w:t xml:space="preserve"> since a “word” has an average of five characters, measured as words per minute.</w:t>
      </w:r>
    </w:p>
    <w:p w14:paraId="542984B3" w14:textId="483C54E7" w:rsidR="005455FE" w:rsidRPr="006D05D9" w:rsidRDefault="00D20681" w:rsidP="00D94A94">
      <w:pPr>
        <w:pStyle w:val="Prrafodelista"/>
        <w:numPr>
          <w:ilvl w:val="0"/>
          <w:numId w:val="8"/>
        </w:numPr>
        <w:rPr>
          <w:lang w:val="en-GB"/>
        </w:rPr>
      </w:pPr>
      <w:r w:rsidRPr="006D05D9">
        <w:rPr>
          <w:lang w:val="en-GB"/>
        </w:rPr>
        <w:t>Task duration</w:t>
      </w:r>
      <w:r w:rsidR="002506FF" w:rsidRPr="006D05D9">
        <w:rPr>
          <w:lang w:val="en-GB"/>
        </w:rPr>
        <w:t>:</w:t>
      </w:r>
      <w:r w:rsidR="005B693D" w:rsidRPr="006D05D9">
        <w:rPr>
          <w:lang w:val="en-GB"/>
        </w:rPr>
        <w:t xml:space="preserve"> </w:t>
      </w:r>
      <w:r w:rsidR="002506FF" w:rsidRPr="006D05D9">
        <w:rPr>
          <w:lang w:val="en-GB"/>
        </w:rPr>
        <w:t>r</w:t>
      </w:r>
      <w:r w:rsidR="00497EB1" w:rsidRPr="006D05D9">
        <w:rPr>
          <w:lang w:val="en-GB"/>
        </w:rPr>
        <w:t xml:space="preserve">efers </w:t>
      </w:r>
      <w:r w:rsidR="001D1174" w:rsidRPr="006D05D9">
        <w:rPr>
          <w:lang w:val="en-GB"/>
        </w:rPr>
        <w:t>to the amount of time that takes to the subject to finish the designed task, measured in seconds.</w:t>
      </w:r>
    </w:p>
    <w:p w14:paraId="0EE589DA" w14:textId="1EBE6E6B" w:rsidR="005455FE" w:rsidRPr="006D05D9" w:rsidRDefault="00D20681" w:rsidP="00D94A94">
      <w:pPr>
        <w:pStyle w:val="Prrafodelista"/>
        <w:numPr>
          <w:ilvl w:val="0"/>
          <w:numId w:val="8"/>
        </w:numPr>
        <w:rPr>
          <w:lang w:val="en-GB"/>
        </w:rPr>
      </w:pPr>
      <w:r w:rsidRPr="006D05D9">
        <w:rPr>
          <w:lang w:val="en-GB"/>
        </w:rPr>
        <w:t>Throughput</w:t>
      </w:r>
      <w:r w:rsidR="002506FF" w:rsidRPr="006D05D9">
        <w:rPr>
          <w:lang w:val="en-GB"/>
        </w:rPr>
        <w:t xml:space="preserve">: </w:t>
      </w:r>
      <w:r w:rsidR="00AC7BCB" w:rsidRPr="006D05D9">
        <w:rPr>
          <w:lang w:val="en-GB"/>
        </w:rPr>
        <w:t xml:space="preserve">Fitts’s </w:t>
      </w:r>
      <w:r w:rsidR="00142FDF" w:rsidRPr="006D05D9">
        <w:rPr>
          <w:lang w:val="en-GB"/>
        </w:rPr>
        <w:t>index of performance</w:t>
      </w:r>
      <w:r w:rsidR="00AC7BCB" w:rsidRPr="006D05D9">
        <w:rPr>
          <w:lang w:val="en-GB"/>
        </w:rPr>
        <w:t xml:space="preserve"> is calculated over a sequence of trials as a simple quotient. The index of difficulty of the task</w:t>
      </w:r>
      <w:r w:rsidR="00547AD6" w:rsidRPr="006D05D9">
        <w:rPr>
          <w:lang w:val="en-GB"/>
        </w:rPr>
        <w:t xml:space="preserve"> (in bits)</w:t>
      </w:r>
      <w:r w:rsidR="00AC7BCB" w:rsidRPr="006D05D9">
        <w:rPr>
          <w:lang w:val="en-GB"/>
        </w:rPr>
        <w:t xml:space="preserve"> </w:t>
      </w:r>
      <w:r w:rsidR="00B9250B" w:rsidRPr="006D05D9">
        <w:rPr>
          <w:lang w:val="en-GB"/>
        </w:rPr>
        <w:t xml:space="preserve">is the numerator and the mean movement time </w:t>
      </w:r>
      <w:r w:rsidR="00547AD6" w:rsidRPr="006D05D9">
        <w:rPr>
          <w:lang w:val="en-GB"/>
        </w:rPr>
        <w:t xml:space="preserve">(in seconds) </w:t>
      </w:r>
      <w:r w:rsidR="00B9250B" w:rsidRPr="006D05D9">
        <w:rPr>
          <w:lang w:val="en-GB"/>
        </w:rPr>
        <w:t xml:space="preserve">is the denominator, as shown in equation (x): </w:t>
      </w:r>
    </w:p>
    <w:p w14:paraId="5DE79FDE" w14:textId="77777777" w:rsidR="00A325A5" w:rsidRPr="006D05D9" w:rsidRDefault="00A325A5" w:rsidP="00A325A5">
      <w:pPr>
        <w:pStyle w:val="Prrafodelista"/>
        <w:rPr>
          <w:lang w:val="en-GB"/>
        </w:rPr>
      </w:pPr>
    </w:p>
    <w:p w14:paraId="7AA6E835" w14:textId="1FE2535F" w:rsidR="00B9250B" w:rsidRPr="006D05D9" w:rsidRDefault="00B9250B" w:rsidP="00FB4136">
      <w:pPr>
        <w:jc w:val="center"/>
        <w:rPr>
          <w:rFonts w:eastAsiaTheme="minorEastAsia"/>
          <w:lang w:val="en-GB"/>
        </w:rPr>
      </w:pPr>
      <m:oMath>
        <m:r>
          <w:rPr>
            <w:rFonts w:ascii="Cambria Math" w:hAnsi="Cambria Math"/>
            <w:lang w:val="en-GB"/>
          </w:rPr>
          <m:t>TP</m:t>
        </m:r>
        <m:r>
          <m:rPr>
            <m:sty m:val="p"/>
          </m:rPr>
          <w:rPr>
            <w:rFonts w:ascii="Cambria Math" w:hAnsi="Cambria Math"/>
            <w:lang w:val="en-GB"/>
          </w:rPr>
          <m:t xml:space="preserve">= </m:t>
        </m:r>
        <m:f>
          <m:fPr>
            <m:ctrlPr>
              <w:rPr>
                <w:rFonts w:ascii="Cambria Math" w:hAnsi="Cambria Math"/>
                <w:lang w:val="en-GB"/>
              </w:rPr>
            </m:ctrlPr>
          </m:fPr>
          <m:num>
            <m:r>
              <w:rPr>
                <w:rFonts w:ascii="Cambria Math" w:hAnsi="Cambria Math"/>
                <w:lang w:val="en-GB"/>
              </w:rPr>
              <m:t>ID</m:t>
            </m:r>
          </m:num>
          <m:den>
            <m:r>
              <w:rPr>
                <w:rFonts w:ascii="Cambria Math" w:hAnsi="Cambria Math"/>
                <w:lang w:val="en-GB"/>
              </w:rPr>
              <m:t>MT</m:t>
            </m:r>
          </m:den>
        </m:f>
      </m:oMath>
      <w:r w:rsidR="007D5B8F" w:rsidRPr="006D05D9">
        <w:rPr>
          <w:rFonts w:eastAsiaTheme="minorEastAsia"/>
          <w:lang w:val="en-GB"/>
        </w:rPr>
        <w:t xml:space="preserve"> Eq. (3)</w:t>
      </w:r>
    </w:p>
    <w:p w14:paraId="29973F08" w14:textId="77777777" w:rsidR="000369A5" w:rsidRPr="006D05D9" w:rsidRDefault="000369A5" w:rsidP="00FB4136">
      <w:pPr>
        <w:rPr>
          <w:rFonts w:eastAsiaTheme="minorEastAsia"/>
          <w:lang w:val="en-GB"/>
        </w:rPr>
      </w:pPr>
    </w:p>
    <w:p w14:paraId="3E404FE2" w14:textId="01B8CCD9" w:rsidR="00810FE7" w:rsidRPr="006D05D9" w:rsidRDefault="001F1265" w:rsidP="00083312">
      <w:pPr>
        <w:ind w:firstLine="284"/>
        <w:rPr>
          <w:rFonts w:eastAsiaTheme="minorEastAsia"/>
          <w:lang w:val="en-GB"/>
        </w:rPr>
      </w:pPr>
      <w:r w:rsidRPr="006D05D9">
        <w:rPr>
          <w:rFonts w:eastAsiaTheme="minorEastAsia"/>
          <w:lang w:val="en-GB"/>
        </w:rPr>
        <w:t xml:space="preserve">Throughput computed </w:t>
      </w:r>
      <w:r w:rsidRPr="006D05D9">
        <w:rPr>
          <w:lang w:val="en-GB"/>
        </w:rPr>
        <w:t xml:space="preserve">using Eq. </w:t>
      </w:r>
      <w:r w:rsidR="007D5B8F" w:rsidRPr="006D05D9">
        <w:rPr>
          <w:lang w:val="en-GB"/>
        </w:rPr>
        <w:t>3</w:t>
      </w:r>
      <w:r w:rsidRPr="006D05D9">
        <w:rPr>
          <w:lang w:val="en-GB"/>
        </w:rPr>
        <w:t xml:space="preserve"> is a measure of human performance in the context of the task</w:t>
      </w:r>
      <w:r w:rsidR="008D2FEA" w:rsidRPr="006D05D9">
        <w:rPr>
          <w:lang w:val="en-GB"/>
        </w:rPr>
        <w:t xml:space="preserve"> and device</w:t>
      </w:r>
      <w:r w:rsidR="000A05EF" w:rsidRPr="006D05D9">
        <w:rPr>
          <w:lang w:val="en-GB"/>
        </w:rPr>
        <w:t xml:space="preserve">, combining speed and accuracy </w:t>
      </w:r>
      <w:r w:rsidR="007D5B8F" w:rsidRPr="006D05D9">
        <w:rPr>
          <w:lang w:val="en-GB"/>
        </w:rPr>
        <w:t>in performing a target acquisition task</w:t>
      </w:r>
      <w:r w:rsidR="00662BEA" w:rsidRPr="006D05D9">
        <w:rPr>
          <w:lang w:val="en-GB"/>
        </w:rPr>
        <w:t xml:space="preserve"> </w:t>
      </w:r>
      <w:r w:rsidR="00662BEA" w:rsidRPr="006D05D9">
        <w:rPr>
          <w:lang w:val="en-GB"/>
        </w:rPr>
        <w:fldChar w:fldCharType="begin" w:fldLock="1"/>
      </w:r>
      <w:r w:rsidR="00662BEA" w:rsidRPr="006D05D9">
        <w:rPr>
          <w:lang w:val="en-GB"/>
        </w:rPr>
        <w:instrText>ADDIN CSL_CITATION {"citationItems":[{"id":"ITEM-1","itemData":{"DOI":"10.1007/978-3-319-20916-6_23","ISBN":"9783319209159","ISSN":"16113349","abstract":"The method of calculating Fitts’ throughput is detailed, considering task characteristics, the speed-accuracy trade-off, data collection, and data aggregation. The goal is to bring consistency to the method of calculation and thereby strengthen between-study comparisons where throughput is used as a dependent measure. In addition, the distinction between indirect and direct pointing devices is elaborated using the examples of a mouse as an indirect pointing device and a finger as a direct pointing device. An experiment with 16 participants using a smart phone was conducted as an empirical test of direct touch-based target selection. Overall, the throughput was 6.95 bps. This is a remarkable figure – about 50 % higher than accepted values for a mouse. The experiment included task type (1D vs. 2D) and device position (supported vs. mobile) as independent variables. Throughput for the 1D task was 15 % higher than for the 2D task. No difference in throughput was observed between the supported and mobile conditions.","author":[{"dropping-particle":"","family":"Scott MacKenzie","given":"I.","non-dropping-particle":"","parse-names":false,"suffix":""}],"container-title":"Lecture Notes in Computer Science (including subseries Lecture Notes in Artificial Intelligence and Lecture Notes in Bioinformatics)","id":"ITEM-1","issued":{"date-parts":[["2015"]]},"page":"238-249","title":"Fitts’ Throughput and the Remarkable Case of Touch-Based Target Selection","type":"chapter","volume":"9170"},"uris":["http://www.mendeley.com/documents/?uuid=2c6f018e-7538-45f0-9bd4-e3eef2da1a71"]}],"mendeley":{"formattedCitation":"(Scott MacKenzie, 2015)","plainTextFormattedCitation":"(Scott MacKenzie, 2015)","previouslyFormattedCitation":"(Scott MacKenzie, 2015)"},"properties":{"noteIndex":0},"schema":"https://github.com/citation-style-language/schema/raw/master/csl-citation.json"}</w:instrText>
      </w:r>
      <w:r w:rsidR="00662BEA" w:rsidRPr="006D05D9">
        <w:rPr>
          <w:lang w:val="en-GB"/>
        </w:rPr>
        <w:fldChar w:fldCharType="separate"/>
      </w:r>
      <w:r w:rsidR="00662BEA" w:rsidRPr="006D05D9">
        <w:rPr>
          <w:lang w:val="en-GB"/>
        </w:rPr>
        <w:t>(Scott MacKenzie, 2015)</w:t>
      </w:r>
      <w:r w:rsidR="00662BEA" w:rsidRPr="006D05D9">
        <w:rPr>
          <w:lang w:val="en-GB"/>
        </w:rPr>
        <w:fldChar w:fldCharType="end"/>
      </w:r>
      <w:r w:rsidR="00662BEA" w:rsidRPr="006D05D9">
        <w:rPr>
          <w:rStyle w:val="Refdecomentario"/>
          <w:szCs w:val="20"/>
          <w:lang w:val="en-GB"/>
        </w:rPr>
        <w:t>,</w:t>
      </w:r>
      <w:r w:rsidR="007D5B8F" w:rsidRPr="006D05D9">
        <w:rPr>
          <w:rFonts w:eastAsiaTheme="minorEastAsia"/>
          <w:lang w:val="en-GB"/>
        </w:rPr>
        <w:t xml:space="preserve"> measured as bits per second.</w:t>
      </w:r>
    </w:p>
    <w:p w14:paraId="66118113" w14:textId="77777777" w:rsidR="001603A8" w:rsidRPr="006D05D9" w:rsidRDefault="001603A8" w:rsidP="00FB4136">
      <w:pPr>
        <w:rPr>
          <w:rFonts w:eastAsiaTheme="minorEastAsia"/>
          <w:lang w:val="en-GB"/>
        </w:rPr>
      </w:pPr>
    </w:p>
    <w:p w14:paraId="13098717" w14:textId="7BDC05E9" w:rsidR="00616D5A" w:rsidRPr="006D05D9" w:rsidRDefault="001F40E3" w:rsidP="00616D5A">
      <w:pPr>
        <w:rPr>
          <w:lang w:val="en-GB"/>
        </w:rPr>
      </w:pPr>
      <w:r w:rsidRPr="006D05D9">
        <w:rPr>
          <w:b/>
          <w:bCs/>
          <w:i/>
          <w:iCs/>
          <w:lang w:val="en-GB"/>
        </w:rPr>
        <w:t xml:space="preserve">2.3.4 </w:t>
      </w:r>
      <w:r w:rsidR="009E1362" w:rsidRPr="006D05D9">
        <w:rPr>
          <w:b/>
          <w:bCs/>
          <w:i/>
          <w:iCs/>
          <w:lang w:val="en-GB"/>
        </w:rPr>
        <w:t>Preference</w:t>
      </w:r>
      <w:r w:rsidRPr="006D05D9">
        <w:rPr>
          <w:b/>
          <w:bCs/>
          <w:i/>
          <w:iCs/>
          <w:lang w:val="en-GB"/>
        </w:rPr>
        <w:t>.</w:t>
      </w:r>
      <w:r w:rsidR="009E1362" w:rsidRPr="006D05D9">
        <w:rPr>
          <w:lang w:val="en-GB"/>
        </w:rPr>
        <w:t xml:space="preserve"> </w:t>
      </w:r>
    </w:p>
    <w:p w14:paraId="7EEDB60A" w14:textId="77777777" w:rsidR="00083312" w:rsidRPr="006D05D9" w:rsidRDefault="00083312" w:rsidP="00616D5A">
      <w:pPr>
        <w:rPr>
          <w:lang w:val="en-GB"/>
        </w:rPr>
      </w:pPr>
    </w:p>
    <w:p w14:paraId="60278164" w14:textId="45926A95" w:rsidR="00E04F85" w:rsidRPr="006D05D9" w:rsidRDefault="00F00240" w:rsidP="00083312">
      <w:pPr>
        <w:ind w:firstLine="284"/>
        <w:rPr>
          <w:lang w:val="en-GB"/>
        </w:rPr>
      </w:pPr>
      <w:r w:rsidRPr="006D05D9">
        <w:rPr>
          <w:lang w:val="en-GB"/>
        </w:rPr>
        <w:t xml:space="preserve">Indicates </w:t>
      </w:r>
      <w:r w:rsidR="00830A2C" w:rsidRPr="006D05D9">
        <w:rPr>
          <w:lang w:val="en-GB"/>
        </w:rPr>
        <w:t xml:space="preserve">the tendency of individuals to prefer one condition over </w:t>
      </w:r>
      <w:r w:rsidR="00EE6C2F" w:rsidRPr="006D05D9">
        <w:rPr>
          <w:lang w:val="en-GB"/>
        </w:rPr>
        <w:t>another</w:t>
      </w:r>
      <w:r w:rsidR="00830A2C" w:rsidRPr="006D05D9">
        <w:rPr>
          <w:lang w:val="en-GB"/>
        </w:rPr>
        <w:t xml:space="preserve"> given the </w:t>
      </w:r>
      <w:r w:rsidR="00EE6C2F" w:rsidRPr="006D05D9">
        <w:rPr>
          <w:lang w:val="en-GB"/>
        </w:rPr>
        <w:t xml:space="preserve">presented </w:t>
      </w:r>
      <w:r w:rsidR="00830A2C" w:rsidRPr="006D05D9">
        <w:rPr>
          <w:lang w:val="en-GB"/>
        </w:rPr>
        <w:t>experimental design. Preference was measured using a two</w:t>
      </w:r>
      <w:r w:rsidRPr="006D05D9">
        <w:rPr>
          <w:lang w:val="en-GB"/>
        </w:rPr>
        <w:t>-option</w:t>
      </w:r>
      <w:r w:rsidR="00555ACF" w:rsidRPr="006D05D9">
        <w:rPr>
          <w:lang w:val="en-GB"/>
        </w:rPr>
        <w:t xml:space="preserve"> </w:t>
      </w:r>
      <w:r w:rsidR="000F744D" w:rsidRPr="006D05D9">
        <w:rPr>
          <w:lang w:val="en-GB"/>
        </w:rPr>
        <w:t xml:space="preserve">survey, interpreted as nominal data. Options were A. </w:t>
      </w:r>
      <w:r w:rsidR="0032462B" w:rsidRPr="006D05D9">
        <w:rPr>
          <w:lang w:val="en-GB"/>
        </w:rPr>
        <w:t>Original desk height p</w:t>
      </w:r>
      <w:r w:rsidR="000F744D" w:rsidRPr="006D05D9">
        <w:rPr>
          <w:lang w:val="en-GB"/>
        </w:rPr>
        <w:t>referred</w:t>
      </w:r>
      <w:r w:rsidR="0032462B" w:rsidRPr="006D05D9">
        <w:rPr>
          <w:lang w:val="en-GB"/>
        </w:rPr>
        <w:t>, or B. Proposal desk height preferred.</w:t>
      </w:r>
    </w:p>
    <w:p w14:paraId="0401574D" w14:textId="77777777" w:rsidR="00616D5A" w:rsidRPr="006D05D9" w:rsidRDefault="00616D5A" w:rsidP="00830A2C">
      <w:pPr>
        <w:rPr>
          <w:lang w:val="en-GB"/>
        </w:rPr>
      </w:pPr>
    </w:p>
    <w:p w14:paraId="3B18F2F5" w14:textId="77777777" w:rsidR="00616D5A" w:rsidRPr="006D05D9" w:rsidRDefault="009E1362" w:rsidP="00FB4136">
      <w:pPr>
        <w:rPr>
          <w:lang w:val="en-GB"/>
        </w:rPr>
      </w:pPr>
      <w:r w:rsidRPr="006D05D9">
        <w:rPr>
          <w:b/>
          <w:bCs/>
          <w:i/>
          <w:iCs/>
          <w:lang w:val="en-GB"/>
        </w:rPr>
        <w:t>2.3.</w:t>
      </w:r>
      <w:r w:rsidR="00616D5A" w:rsidRPr="006D05D9">
        <w:rPr>
          <w:b/>
          <w:bCs/>
          <w:i/>
          <w:iCs/>
          <w:lang w:val="en-GB"/>
        </w:rPr>
        <w:t>5</w:t>
      </w:r>
      <w:r w:rsidRPr="006D05D9">
        <w:rPr>
          <w:b/>
          <w:bCs/>
          <w:i/>
          <w:iCs/>
          <w:lang w:val="en-GB"/>
        </w:rPr>
        <w:t>.</w:t>
      </w:r>
      <w:r w:rsidR="001F40E3" w:rsidRPr="006D05D9">
        <w:rPr>
          <w:b/>
          <w:bCs/>
          <w:i/>
          <w:iCs/>
          <w:lang w:val="en-GB"/>
        </w:rPr>
        <w:t xml:space="preserve"> </w:t>
      </w:r>
      <w:r w:rsidRPr="006D05D9">
        <w:rPr>
          <w:b/>
          <w:bCs/>
          <w:i/>
          <w:iCs/>
          <w:lang w:val="en-GB"/>
        </w:rPr>
        <w:t>Discomfort</w:t>
      </w:r>
      <w:r w:rsidR="005E4BC5" w:rsidRPr="006D05D9">
        <w:rPr>
          <w:b/>
          <w:bCs/>
          <w:i/>
          <w:iCs/>
          <w:lang w:val="en-GB"/>
        </w:rPr>
        <w:t>.</w:t>
      </w:r>
      <w:r w:rsidR="005E4BC5" w:rsidRPr="006D05D9">
        <w:rPr>
          <w:lang w:val="en-GB"/>
        </w:rPr>
        <w:t xml:space="preserve"> </w:t>
      </w:r>
    </w:p>
    <w:p w14:paraId="3025280D" w14:textId="77777777" w:rsidR="00083312" w:rsidRPr="006D05D9" w:rsidRDefault="00083312" w:rsidP="00FB4136">
      <w:pPr>
        <w:rPr>
          <w:lang w:val="en-GB"/>
        </w:rPr>
      </w:pPr>
    </w:p>
    <w:p w14:paraId="0A969A87" w14:textId="2B8E480C" w:rsidR="00475CE0" w:rsidRPr="006D05D9" w:rsidRDefault="007043CE" w:rsidP="00083312">
      <w:pPr>
        <w:ind w:firstLine="284"/>
        <w:rPr>
          <w:lang w:val="en-GB"/>
        </w:rPr>
      </w:pPr>
      <w:r w:rsidRPr="006D05D9">
        <w:rPr>
          <w:lang w:val="en-GB"/>
        </w:rPr>
        <w:t xml:space="preserve">To measure the discomfort a </w:t>
      </w:r>
      <w:r w:rsidR="00906FBE" w:rsidRPr="006D05D9">
        <w:rPr>
          <w:lang w:val="en-GB"/>
        </w:rPr>
        <w:t xml:space="preserve">10-point </w:t>
      </w:r>
      <w:r w:rsidR="0071590B" w:rsidRPr="006D05D9">
        <w:rPr>
          <w:lang w:val="en-GB"/>
        </w:rPr>
        <w:t xml:space="preserve">Visual Analog Scale (VAS) </w:t>
      </w:r>
      <w:r w:rsidR="00906FBE" w:rsidRPr="006D05D9">
        <w:rPr>
          <w:lang w:val="en-GB"/>
        </w:rPr>
        <w:t xml:space="preserve">was used, where 0 represents </w:t>
      </w:r>
      <w:r w:rsidR="009B7DBD" w:rsidRPr="006D05D9">
        <w:rPr>
          <w:lang w:val="en-GB"/>
        </w:rPr>
        <w:t>no discomfort at all and 10 represents extreme discomfort.</w:t>
      </w:r>
      <w:r w:rsidR="00837F3B" w:rsidRPr="006D05D9">
        <w:rPr>
          <w:lang w:val="en-GB"/>
        </w:rPr>
        <w:t xml:space="preserve"> Participants were asked to </w:t>
      </w:r>
      <w:r w:rsidR="00685334" w:rsidRPr="006D05D9">
        <w:rPr>
          <w:lang w:val="en-GB"/>
        </w:rPr>
        <w:t>answer the scale for three central regions of the body (</w:t>
      </w:r>
      <w:r w:rsidR="00CB27B2" w:rsidRPr="006D05D9">
        <w:rPr>
          <w:lang w:val="en-GB"/>
        </w:rPr>
        <w:t xml:space="preserve">Head-Neck, </w:t>
      </w:r>
      <w:r w:rsidR="00284F08" w:rsidRPr="006D05D9">
        <w:rPr>
          <w:lang w:val="en-GB"/>
        </w:rPr>
        <w:t xml:space="preserve">Lower Back, and </w:t>
      </w:r>
      <w:r w:rsidR="00A4117F" w:rsidRPr="006D05D9">
        <w:rPr>
          <w:lang w:val="en-GB"/>
        </w:rPr>
        <w:t xml:space="preserve">Hip) and </w:t>
      </w:r>
      <w:r w:rsidR="00A341ED" w:rsidRPr="006D05D9">
        <w:rPr>
          <w:lang w:val="en-GB"/>
        </w:rPr>
        <w:t>five regions regarding their dominant</w:t>
      </w:r>
      <w:r w:rsidR="004E3495" w:rsidRPr="006D05D9">
        <w:rPr>
          <w:lang w:val="en-GB"/>
        </w:rPr>
        <w:t xml:space="preserve"> side</w:t>
      </w:r>
      <w:r w:rsidR="00A341ED" w:rsidRPr="006D05D9">
        <w:rPr>
          <w:lang w:val="en-GB"/>
        </w:rPr>
        <w:t xml:space="preserve"> (</w:t>
      </w:r>
      <w:r w:rsidR="00A5490A" w:rsidRPr="006D05D9">
        <w:rPr>
          <w:lang w:val="en-GB"/>
        </w:rPr>
        <w:t xml:space="preserve">Shoulder-arm, </w:t>
      </w:r>
      <w:r w:rsidR="002C5235" w:rsidRPr="006D05D9">
        <w:rPr>
          <w:lang w:val="en-GB"/>
        </w:rPr>
        <w:t>Elbow</w:t>
      </w:r>
      <w:r w:rsidR="00865E92" w:rsidRPr="006D05D9">
        <w:rPr>
          <w:lang w:val="en-GB"/>
        </w:rPr>
        <w:t xml:space="preserve">-forearm, </w:t>
      </w:r>
      <w:r w:rsidR="00F9773F" w:rsidRPr="006D05D9">
        <w:rPr>
          <w:lang w:val="en-GB"/>
        </w:rPr>
        <w:t>Writs-</w:t>
      </w:r>
      <w:r w:rsidR="00007C56" w:rsidRPr="006D05D9">
        <w:rPr>
          <w:lang w:val="en-GB"/>
        </w:rPr>
        <w:t xml:space="preserve">hand, </w:t>
      </w:r>
      <w:r w:rsidR="00BD1D2F" w:rsidRPr="006D05D9">
        <w:rPr>
          <w:lang w:val="en-GB"/>
        </w:rPr>
        <w:t xml:space="preserve">Thigh-knee, </w:t>
      </w:r>
      <w:r w:rsidR="00EE0D72" w:rsidRPr="006D05D9">
        <w:rPr>
          <w:lang w:val="en-GB"/>
        </w:rPr>
        <w:t>Leg-foot).</w:t>
      </w:r>
      <w:r w:rsidR="00273368" w:rsidRPr="006D05D9">
        <w:rPr>
          <w:lang w:val="en-GB"/>
        </w:rPr>
        <w:t xml:space="preserve"> </w:t>
      </w:r>
      <w:r w:rsidR="00CE4D94" w:rsidRPr="006D05D9">
        <w:rPr>
          <w:lang w:val="en-GB"/>
        </w:rPr>
        <w:t>The resulting</w:t>
      </w:r>
      <w:r w:rsidR="00FC1F0F" w:rsidRPr="006D05D9">
        <w:rPr>
          <w:lang w:val="en-GB"/>
        </w:rPr>
        <w:t xml:space="preserve"> data was treated as </w:t>
      </w:r>
      <w:r w:rsidR="00CE4D94" w:rsidRPr="006D05D9">
        <w:rPr>
          <w:lang w:val="en-GB"/>
        </w:rPr>
        <w:t xml:space="preserve">an </w:t>
      </w:r>
      <w:r w:rsidR="00FC1F0F" w:rsidRPr="006D05D9">
        <w:rPr>
          <w:lang w:val="en-GB"/>
        </w:rPr>
        <w:t xml:space="preserve">ordinal </w:t>
      </w:r>
      <w:r w:rsidR="00CE4D94" w:rsidRPr="006D05D9">
        <w:rPr>
          <w:lang w:val="en-GB"/>
        </w:rPr>
        <w:t>measurement</w:t>
      </w:r>
      <w:r w:rsidR="00D30469" w:rsidRPr="006D05D9">
        <w:rPr>
          <w:lang w:val="en-GB"/>
        </w:rPr>
        <w:t>.</w:t>
      </w:r>
    </w:p>
    <w:p w14:paraId="62C3623E" w14:textId="7D406141" w:rsidR="002640B0" w:rsidRPr="006D05D9" w:rsidRDefault="002640B0" w:rsidP="00FB4136">
      <w:pPr>
        <w:rPr>
          <w:lang w:val="en-GB"/>
        </w:rPr>
      </w:pPr>
    </w:p>
    <w:p w14:paraId="0D59F289" w14:textId="00772AE2" w:rsidR="00C51486" w:rsidRPr="006D05D9" w:rsidRDefault="00C51486" w:rsidP="00FB4136">
      <w:pPr>
        <w:rPr>
          <w:b/>
          <w:bCs/>
          <w:sz w:val="24"/>
          <w:szCs w:val="24"/>
          <w:lang w:val="en-GB"/>
        </w:rPr>
      </w:pPr>
      <w:r w:rsidRPr="006D05D9">
        <w:rPr>
          <w:b/>
          <w:bCs/>
          <w:sz w:val="24"/>
          <w:szCs w:val="24"/>
          <w:lang w:val="en-GB"/>
        </w:rPr>
        <w:t xml:space="preserve">2.4. </w:t>
      </w:r>
      <w:r w:rsidR="002640B0" w:rsidRPr="006D05D9">
        <w:rPr>
          <w:b/>
          <w:bCs/>
          <w:sz w:val="24"/>
          <w:szCs w:val="24"/>
          <w:lang w:val="en-GB"/>
        </w:rPr>
        <w:t>Procedure</w:t>
      </w:r>
      <w:r w:rsidR="008C3CAF">
        <w:rPr>
          <w:b/>
          <w:bCs/>
          <w:sz w:val="24"/>
          <w:szCs w:val="24"/>
          <w:lang w:val="en-GB"/>
        </w:rPr>
        <w:t>.</w:t>
      </w:r>
    </w:p>
    <w:p w14:paraId="530D5405" w14:textId="77777777" w:rsidR="00083312" w:rsidRPr="006D05D9" w:rsidRDefault="00083312" w:rsidP="00FB4136">
      <w:pPr>
        <w:rPr>
          <w:lang w:val="en-GB"/>
        </w:rPr>
      </w:pPr>
    </w:p>
    <w:p w14:paraId="5DB9E212" w14:textId="02D2AB34" w:rsidR="002117BC" w:rsidRPr="006D05D9" w:rsidRDefault="00602D7E" w:rsidP="00083312">
      <w:pPr>
        <w:ind w:firstLine="284"/>
        <w:rPr>
          <w:lang w:val="en-GB"/>
        </w:rPr>
      </w:pPr>
      <w:r w:rsidRPr="006D05D9">
        <w:rPr>
          <w:lang w:val="en-GB"/>
        </w:rPr>
        <w:t xml:space="preserve">Participants attended the </w:t>
      </w:r>
      <w:r w:rsidR="002117BC" w:rsidRPr="006D05D9">
        <w:rPr>
          <w:lang w:val="en-GB"/>
        </w:rPr>
        <w:t xml:space="preserve">Ergonomics and Biomechanics Laboratory </w:t>
      </w:r>
      <w:r w:rsidR="007D23B0" w:rsidRPr="006D05D9">
        <w:rPr>
          <w:lang w:val="en-GB"/>
        </w:rPr>
        <w:t>of</w:t>
      </w:r>
      <w:r w:rsidR="002117BC" w:rsidRPr="006D05D9">
        <w:rPr>
          <w:lang w:val="en-GB"/>
        </w:rPr>
        <w:t xml:space="preserve"> the Faculty of Medicine at Universidad de Valparaíso </w:t>
      </w:r>
      <w:r w:rsidRPr="006D05D9">
        <w:rPr>
          <w:lang w:val="en-GB"/>
        </w:rPr>
        <w:t>between April to August 2023</w:t>
      </w:r>
      <w:r w:rsidR="000A5192" w:rsidRPr="006D05D9">
        <w:rPr>
          <w:lang w:val="en-GB"/>
        </w:rPr>
        <w:t xml:space="preserve"> for a </w:t>
      </w:r>
      <w:r w:rsidR="00C47043" w:rsidRPr="006D05D9">
        <w:rPr>
          <w:lang w:val="en-GB"/>
        </w:rPr>
        <w:t>3-hour</w:t>
      </w:r>
      <w:r w:rsidR="000A5192" w:rsidRPr="006D05D9">
        <w:rPr>
          <w:lang w:val="en-GB"/>
        </w:rPr>
        <w:t xml:space="preserve"> procedure</w:t>
      </w:r>
      <w:r w:rsidRPr="006D05D9">
        <w:rPr>
          <w:lang w:val="en-GB"/>
        </w:rPr>
        <w:t>.</w:t>
      </w:r>
      <w:r w:rsidR="00092C3E" w:rsidRPr="006D05D9">
        <w:rPr>
          <w:lang w:val="en-GB"/>
        </w:rPr>
        <w:t xml:space="preserve"> </w:t>
      </w:r>
      <w:r w:rsidR="002117BC" w:rsidRPr="006D05D9">
        <w:rPr>
          <w:lang w:val="en-GB"/>
        </w:rPr>
        <w:t xml:space="preserve">Before being assessed, all participants read and completed the informed consent and intake forms. </w:t>
      </w:r>
    </w:p>
    <w:p w14:paraId="3EA8894F" w14:textId="77777777" w:rsidR="00083312" w:rsidRPr="006D05D9" w:rsidRDefault="00083312" w:rsidP="002F6DD3">
      <w:pPr>
        <w:rPr>
          <w:lang w:val="en-GB"/>
        </w:rPr>
      </w:pPr>
    </w:p>
    <w:p w14:paraId="1285229B" w14:textId="15B2403D" w:rsidR="00092B04" w:rsidRPr="006D05D9" w:rsidRDefault="00B7235D" w:rsidP="00083312">
      <w:pPr>
        <w:ind w:firstLine="284"/>
        <w:rPr>
          <w:lang w:val="en-GB"/>
        </w:rPr>
      </w:pPr>
      <w:r w:rsidRPr="006D05D9">
        <w:rPr>
          <w:lang w:val="en-GB"/>
        </w:rPr>
        <w:t>Prior to staring the test</w:t>
      </w:r>
      <w:r w:rsidR="00D315A9" w:rsidRPr="006D05D9">
        <w:rPr>
          <w:lang w:val="en-GB"/>
        </w:rPr>
        <w:t xml:space="preserve">, both the desk and seat were set </w:t>
      </w:r>
      <w:r w:rsidR="00DD4C1B" w:rsidRPr="006D05D9">
        <w:rPr>
          <w:lang w:val="en-GB"/>
        </w:rPr>
        <w:t>to</w:t>
      </w:r>
      <w:r w:rsidR="00D315A9" w:rsidRPr="006D05D9">
        <w:rPr>
          <w:lang w:val="en-GB"/>
        </w:rPr>
        <w:t xml:space="preserve"> match the </w:t>
      </w:r>
      <w:r w:rsidR="001E5820" w:rsidRPr="006D05D9">
        <w:rPr>
          <w:lang w:val="en-GB"/>
        </w:rPr>
        <w:t xml:space="preserve">anthropometric dimensions of each </w:t>
      </w:r>
      <w:r w:rsidR="00DD4C1B" w:rsidRPr="006D05D9">
        <w:rPr>
          <w:lang w:val="en-GB"/>
        </w:rPr>
        <w:t>subject</w:t>
      </w:r>
      <w:r w:rsidR="001E5820" w:rsidRPr="006D05D9">
        <w:rPr>
          <w:lang w:val="en-GB"/>
        </w:rPr>
        <w:t xml:space="preserve"> with the criteria of each equation. A</w:t>
      </w:r>
      <w:r w:rsidR="00C568F9" w:rsidRPr="006D05D9">
        <w:rPr>
          <w:lang w:val="en-GB"/>
        </w:rPr>
        <w:t xml:space="preserve"> commercially available adjustable height desk (E-model®) and an </w:t>
      </w:r>
      <w:r w:rsidR="00DD4C1B" w:rsidRPr="006D05D9">
        <w:rPr>
          <w:lang w:val="en-GB"/>
        </w:rPr>
        <w:t>adjustable</w:t>
      </w:r>
      <w:r w:rsidR="00C568F9" w:rsidRPr="006D05D9">
        <w:rPr>
          <w:lang w:val="en-GB"/>
        </w:rPr>
        <w:t xml:space="preserve"> height stool were used for </w:t>
      </w:r>
      <w:r w:rsidR="006D05D9" w:rsidRPr="006D05D9">
        <w:rPr>
          <w:lang w:val="en-GB"/>
        </w:rPr>
        <w:t>this</w:t>
      </w:r>
      <w:r w:rsidR="00C568F9" w:rsidRPr="006D05D9">
        <w:rPr>
          <w:lang w:val="en-GB"/>
        </w:rPr>
        <w:t xml:space="preserve"> purpose.  </w:t>
      </w:r>
      <w:r w:rsidR="00602D7E" w:rsidRPr="006D05D9">
        <w:rPr>
          <w:lang w:val="en-GB"/>
        </w:rPr>
        <w:t xml:space="preserve">Participants then underwent </w:t>
      </w:r>
      <w:r w:rsidR="00F00240" w:rsidRPr="006D05D9">
        <w:rPr>
          <w:lang w:val="en-GB"/>
        </w:rPr>
        <w:t>30 minutes</w:t>
      </w:r>
      <w:r w:rsidR="00602D7E" w:rsidRPr="006D05D9">
        <w:rPr>
          <w:lang w:val="en-GB"/>
        </w:rPr>
        <w:t xml:space="preserve"> of data collection preparation. This included </w:t>
      </w:r>
      <w:r w:rsidR="005B3508" w:rsidRPr="006D05D9">
        <w:rPr>
          <w:lang w:val="en-GB"/>
        </w:rPr>
        <w:t xml:space="preserve">the </w:t>
      </w:r>
      <w:r w:rsidR="00CD6594" w:rsidRPr="006D05D9">
        <w:rPr>
          <w:lang w:val="en-GB"/>
        </w:rPr>
        <w:t xml:space="preserve"> evaluation of</w:t>
      </w:r>
      <w:r w:rsidR="00DF3FD9" w:rsidRPr="006D05D9">
        <w:rPr>
          <w:lang w:val="en-GB"/>
        </w:rPr>
        <w:t xml:space="preserve">  popliteal height (PH), shoulder height sitting (SHS), and elbow height sitting (EHS) using the principles of ISO 7250-1 </w:t>
      </w:r>
      <w:r w:rsidR="00DF3FD9" w:rsidRPr="006D05D9">
        <w:rPr>
          <w:lang w:val="en-GB"/>
        </w:rPr>
        <w:fldChar w:fldCharType="begin" w:fldLock="1"/>
      </w:r>
      <w:r w:rsidR="00BB22E6" w:rsidRPr="006D05D9">
        <w:rPr>
          <w:lang w:val="en-GB"/>
        </w:rPr>
        <w:instrText>ADDIN CSL_CITATION {"citationItems":[{"id":"ITEM-1","itemData":{"author":[{"dropping-particle":"","family":"ISO","given":"","non-dropping-particle":"","parse-names":false,"suffix":""}],"id":"ITEM-1","issued":{"date-parts":[["2017"]]},"title":"ISO 7250-1: Basic human body measurements for technological design - Part 1: Body measurement definitions and landmarks. International Organization for Standardization, Geneva, Switzerland.","type":"article-journal"},"uris":["http://www.mendeley.com/documents/?uuid=e6e61d9c-964c-4f22-a681-098130a1d04c"]}],"mendeley":{"formattedCitation":"(ISO, 2017)","manualFormatting":"(2017)","plainTextFormattedCitation":"(ISO, 2017)","previouslyFormattedCitation":"(ISO, 2017)"},"properties":{"noteIndex":0},"schema":"https://github.com/citation-style-language/schema/raw/master/csl-citation.json"}</w:instrText>
      </w:r>
      <w:r w:rsidR="00DF3FD9" w:rsidRPr="006D05D9">
        <w:rPr>
          <w:lang w:val="en-GB"/>
        </w:rPr>
        <w:fldChar w:fldCharType="separate"/>
      </w:r>
      <w:r w:rsidR="00DF3FD9" w:rsidRPr="006D05D9">
        <w:rPr>
          <w:lang w:val="en-GB"/>
        </w:rPr>
        <w:t>(2017)</w:t>
      </w:r>
      <w:r w:rsidR="00DF3FD9" w:rsidRPr="006D05D9">
        <w:rPr>
          <w:lang w:val="en-GB"/>
        </w:rPr>
        <w:fldChar w:fldCharType="end"/>
      </w:r>
      <w:r w:rsidR="00DF3FD9" w:rsidRPr="006D05D9">
        <w:rPr>
          <w:lang w:val="en-GB"/>
        </w:rPr>
        <w:t>.</w:t>
      </w:r>
      <w:r w:rsidR="00CD6594" w:rsidRPr="006D05D9">
        <w:rPr>
          <w:lang w:val="en-GB"/>
        </w:rPr>
        <w:t xml:space="preserve"> </w:t>
      </w:r>
      <w:r w:rsidR="00890383" w:rsidRPr="006D05D9">
        <w:rPr>
          <w:lang w:val="en-GB"/>
        </w:rPr>
        <w:t xml:space="preserve">Afterward, </w:t>
      </w:r>
      <w:r w:rsidR="00602D7E" w:rsidRPr="006D05D9">
        <w:rPr>
          <w:lang w:val="en-GB"/>
        </w:rPr>
        <w:t xml:space="preserve">the placement of retro-reflective markers and </w:t>
      </w:r>
      <w:r w:rsidR="002117BC" w:rsidRPr="006D05D9">
        <w:rPr>
          <w:lang w:val="en-GB"/>
        </w:rPr>
        <w:t xml:space="preserve">wireless electromyography sensors </w:t>
      </w:r>
      <w:r w:rsidR="00602D7E" w:rsidRPr="006D05D9">
        <w:rPr>
          <w:lang w:val="en-GB"/>
        </w:rPr>
        <w:t xml:space="preserve">(described in detail </w:t>
      </w:r>
      <w:r w:rsidR="008F2929" w:rsidRPr="006D05D9">
        <w:rPr>
          <w:lang w:val="en-GB"/>
        </w:rPr>
        <w:t>before</w:t>
      </w:r>
      <w:r w:rsidR="00602D7E" w:rsidRPr="006D05D9">
        <w:rPr>
          <w:lang w:val="en-GB"/>
        </w:rPr>
        <w:t>)</w:t>
      </w:r>
      <w:r w:rsidR="00CE4B02" w:rsidRPr="006D05D9">
        <w:rPr>
          <w:lang w:val="en-GB"/>
        </w:rPr>
        <w:t xml:space="preserve"> </w:t>
      </w:r>
      <w:r w:rsidR="00602D7E" w:rsidRPr="006D05D9">
        <w:rPr>
          <w:lang w:val="en-GB"/>
        </w:rPr>
        <w:t>and further explanation of trial procedures</w:t>
      </w:r>
      <w:r w:rsidR="00092C3E" w:rsidRPr="006D05D9">
        <w:rPr>
          <w:lang w:val="en-GB"/>
        </w:rPr>
        <w:t xml:space="preserve"> (figure 1)</w:t>
      </w:r>
      <w:r w:rsidR="00602D7E" w:rsidRPr="006D05D9">
        <w:rPr>
          <w:lang w:val="en-GB"/>
        </w:rPr>
        <w:t xml:space="preserve">. </w:t>
      </w:r>
    </w:p>
    <w:p w14:paraId="52D37AB5" w14:textId="77777777" w:rsidR="00092C3E" w:rsidRPr="006D05D9" w:rsidRDefault="00092C3E" w:rsidP="00083312">
      <w:pPr>
        <w:ind w:firstLine="284"/>
        <w:rPr>
          <w:lang w:val="en-GB"/>
        </w:rPr>
      </w:pPr>
    </w:p>
    <w:p w14:paraId="17FDC969" w14:textId="7E2472F8" w:rsidR="00092C3E" w:rsidRPr="006D05D9" w:rsidRDefault="00092C3E" w:rsidP="00083312">
      <w:pPr>
        <w:ind w:firstLine="284"/>
        <w:rPr>
          <w:lang w:val="en-GB"/>
        </w:rPr>
      </w:pPr>
      <w:r w:rsidRPr="006D05D9">
        <w:rPr>
          <w:noProof/>
          <w:lang w:val="en-GB"/>
        </w:rPr>
        <w:drawing>
          <wp:anchor distT="0" distB="0" distL="114300" distR="114300" simplePos="0" relativeHeight="251661312" behindDoc="0" locked="0" layoutInCell="1" allowOverlap="1" wp14:anchorId="575B8C47" wp14:editId="4AC2191A">
            <wp:simplePos x="0" y="0"/>
            <wp:positionH relativeFrom="margin">
              <wp:align>center</wp:align>
            </wp:positionH>
            <wp:positionV relativeFrom="paragraph">
              <wp:posOffset>2048</wp:posOffset>
            </wp:positionV>
            <wp:extent cx="3023527" cy="2636516"/>
            <wp:effectExtent l="0" t="0" r="5715" b="0"/>
            <wp:wrapSquare wrapText="bothSides"/>
            <wp:docPr id="1686909983" name="Picture 239965287" descr="Una mujer en frente de una computador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23527" cy="2636516"/>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14:paraId="525ADBC1" w14:textId="77777777" w:rsidR="00E00E7C" w:rsidRPr="006D05D9" w:rsidRDefault="00E00E7C" w:rsidP="00E00E7C">
      <w:pPr>
        <w:rPr>
          <w:sz w:val="20"/>
          <w:szCs w:val="20"/>
          <w:lang w:val="en-GB"/>
        </w:rPr>
      </w:pPr>
    </w:p>
    <w:p w14:paraId="4EF44290" w14:textId="77777777" w:rsidR="00E00E7C" w:rsidRPr="006D05D9" w:rsidRDefault="00E00E7C" w:rsidP="00E00E7C">
      <w:pPr>
        <w:rPr>
          <w:sz w:val="20"/>
          <w:szCs w:val="20"/>
          <w:lang w:val="en-GB"/>
        </w:rPr>
      </w:pPr>
    </w:p>
    <w:p w14:paraId="22AFB140" w14:textId="77777777" w:rsidR="00E00E7C" w:rsidRPr="006D05D9" w:rsidRDefault="00E00E7C" w:rsidP="00E00E7C">
      <w:pPr>
        <w:rPr>
          <w:sz w:val="20"/>
          <w:szCs w:val="20"/>
          <w:lang w:val="en-GB"/>
        </w:rPr>
      </w:pPr>
    </w:p>
    <w:p w14:paraId="46155B9E" w14:textId="77777777" w:rsidR="00E00E7C" w:rsidRPr="006D05D9" w:rsidRDefault="00E00E7C" w:rsidP="00E00E7C">
      <w:pPr>
        <w:rPr>
          <w:sz w:val="20"/>
          <w:szCs w:val="20"/>
          <w:lang w:val="en-GB"/>
        </w:rPr>
      </w:pPr>
    </w:p>
    <w:p w14:paraId="11084E7A" w14:textId="77777777" w:rsidR="00E00E7C" w:rsidRPr="006D05D9" w:rsidRDefault="00E00E7C" w:rsidP="00E00E7C">
      <w:pPr>
        <w:rPr>
          <w:sz w:val="20"/>
          <w:szCs w:val="20"/>
          <w:lang w:val="en-GB"/>
        </w:rPr>
      </w:pPr>
    </w:p>
    <w:p w14:paraId="42764906" w14:textId="77777777" w:rsidR="00E00E7C" w:rsidRPr="006D05D9" w:rsidRDefault="00E00E7C" w:rsidP="00E00E7C">
      <w:pPr>
        <w:rPr>
          <w:sz w:val="20"/>
          <w:szCs w:val="20"/>
          <w:lang w:val="en-GB"/>
        </w:rPr>
      </w:pPr>
    </w:p>
    <w:p w14:paraId="70B000BF" w14:textId="77777777" w:rsidR="00E00E7C" w:rsidRPr="006D05D9" w:rsidRDefault="00E00E7C" w:rsidP="00E00E7C">
      <w:pPr>
        <w:rPr>
          <w:sz w:val="20"/>
          <w:szCs w:val="20"/>
          <w:lang w:val="en-GB"/>
        </w:rPr>
      </w:pPr>
    </w:p>
    <w:p w14:paraId="11C42D54" w14:textId="77777777" w:rsidR="00E00E7C" w:rsidRPr="006D05D9" w:rsidRDefault="00E00E7C" w:rsidP="00E00E7C">
      <w:pPr>
        <w:rPr>
          <w:sz w:val="20"/>
          <w:szCs w:val="20"/>
          <w:lang w:val="en-GB"/>
        </w:rPr>
      </w:pPr>
    </w:p>
    <w:p w14:paraId="112AC86C" w14:textId="77777777" w:rsidR="00E00E7C" w:rsidRPr="006D05D9" w:rsidRDefault="00E00E7C" w:rsidP="00E00E7C">
      <w:pPr>
        <w:rPr>
          <w:sz w:val="20"/>
          <w:szCs w:val="20"/>
          <w:lang w:val="en-GB"/>
        </w:rPr>
      </w:pPr>
    </w:p>
    <w:p w14:paraId="051B292F" w14:textId="77777777" w:rsidR="00E00E7C" w:rsidRPr="006D05D9" w:rsidRDefault="00E00E7C" w:rsidP="00E00E7C">
      <w:pPr>
        <w:rPr>
          <w:sz w:val="20"/>
          <w:szCs w:val="20"/>
          <w:lang w:val="en-GB"/>
        </w:rPr>
      </w:pPr>
    </w:p>
    <w:p w14:paraId="04C9D908" w14:textId="77777777" w:rsidR="00E00E7C" w:rsidRPr="006D05D9" w:rsidRDefault="00E00E7C" w:rsidP="00E00E7C">
      <w:pPr>
        <w:rPr>
          <w:sz w:val="20"/>
          <w:szCs w:val="20"/>
          <w:lang w:val="en-GB"/>
        </w:rPr>
      </w:pPr>
    </w:p>
    <w:p w14:paraId="2B72CD81" w14:textId="77777777" w:rsidR="00E00E7C" w:rsidRPr="006D05D9" w:rsidRDefault="00E00E7C" w:rsidP="00E00E7C">
      <w:pPr>
        <w:rPr>
          <w:sz w:val="20"/>
          <w:szCs w:val="20"/>
          <w:lang w:val="en-GB"/>
        </w:rPr>
      </w:pPr>
    </w:p>
    <w:p w14:paraId="09EFA6B1" w14:textId="77777777" w:rsidR="00E00E7C" w:rsidRPr="006D05D9" w:rsidRDefault="00E00E7C" w:rsidP="00E00E7C">
      <w:pPr>
        <w:rPr>
          <w:sz w:val="20"/>
          <w:szCs w:val="20"/>
          <w:lang w:val="en-GB"/>
        </w:rPr>
      </w:pPr>
    </w:p>
    <w:p w14:paraId="61CB159D" w14:textId="77777777" w:rsidR="00E00E7C" w:rsidRPr="006D05D9" w:rsidRDefault="00E00E7C" w:rsidP="00E00E7C">
      <w:pPr>
        <w:rPr>
          <w:sz w:val="20"/>
          <w:szCs w:val="20"/>
          <w:lang w:val="en-GB"/>
        </w:rPr>
      </w:pPr>
    </w:p>
    <w:p w14:paraId="44F7C23B" w14:textId="77777777" w:rsidR="00E00E7C" w:rsidRPr="006D05D9" w:rsidRDefault="00E00E7C" w:rsidP="00E00E7C">
      <w:pPr>
        <w:rPr>
          <w:sz w:val="20"/>
          <w:szCs w:val="20"/>
          <w:lang w:val="en-GB"/>
        </w:rPr>
      </w:pPr>
    </w:p>
    <w:p w14:paraId="76EF05E5" w14:textId="77777777" w:rsidR="00E00E7C" w:rsidRPr="006D05D9" w:rsidRDefault="00E00E7C" w:rsidP="00E00E7C">
      <w:pPr>
        <w:rPr>
          <w:sz w:val="20"/>
          <w:szCs w:val="20"/>
          <w:lang w:val="en-GB"/>
        </w:rPr>
      </w:pPr>
    </w:p>
    <w:p w14:paraId="236159A9" w14:textId="081DE65A" w:rsidR="00E00E7C" w:rsidRPr="006D05D9" w:rsidRDefault="00E00E7C" w:rsidP="00E00E7C">
      <w:pPr>
        <w:jc w:val="center"/>
        <w:rPr>
          <w:sz w:val="20"/>
          <w:szCs w:val="20"/>
          <w:lang w:val="en-GB"/>
        </w:rPr>
      </w:pPr>
      <w:r w:rsidRPr="006D05D9">
        <w:rPr>
          <w:sz w:val="20"/>
          <w:szCs w:val="20"/>
          <w:lang w:val="en-GB"/>
        </w:rPr>
        <w:t xml:space="preserve">Figure 1. </w:t>
      </w:r>
      <w:r w:rsidR="009A2A08" w:rsidRPr="006D05D9">
        <w:rPr>
          <w:sz w:val="20"/>
          <w:szCs w:val="20"/>
          <w:lang w:val="en-GB"/>
        </w:rPr>
        <w:t>P</w:t>
      </w:r>
      <w:r w:rsidR="00BE4A43" w:rsidRPr="006D05D9">
        <w:rPr>
          <w:sz w:val="20"/>
          <w:szCs w:val="20"/>
          <w:lang w:val="en-GB"/>
        </w:rPr>
        <w:t>rocedure setup</w:t>
      </w:r>
    </w:p>
    <w:p w14:paraId="6E1B104D" w14:textId="77777777" w:rsidR="00083312" w:rsidRPr="006D05D9" w:rsidRDefault="00083312" w:rsidP="002F6DD3">
      <w:pPr>
        <w:rPr>
          <w:lang w:val="en-GB"/>
        </w:rPr>
      </w:pPr>
    </w:p>
    <w:p w14:paraId="1A087B81" w14:textId="2E5781CB" w:rsidR="00ED29E9" w:rsidRPr="006D05D9" w:rsidRDefault="00602D7E" w:rsidP="00083312">
      <w:pPr>
        <w:ind w:firstLine="284"/>
        <w:rPr>
          <w:lang w:val="en-GB"/>
        </w:rPr>
      </w:pPr>
      <w:r w:rsidRPr="006D05D9">
        <w:rPr>
          <w:lang w:val="en-GB"/>
        </w:rPr>
        <w:t>Prior to data collection</w:t>
      </w:r>
      <w:r w:rsidR="00195F39" w:rsidRPr="006D05D9">
        <w:rPr>
          <w:lang w:val="en-GB"/>
        </w:rPr>
        <w:t>,</w:t>
      </w:r>
      <w:r w:rsidRPr="006D05D9">
        <w:rPr>
          <w:lang w:val="en-GB"/>
        </w:rPr>
        <w:t xml:space="preserve"> participants completed a calibration trial for the Vicon system</w:t>
      </w:r>
      <w:r w:rsidR="00042534" w:rsidRPr="006D05D9">
        <w:rPr>
          <w:lang w:val="en-GB"/>
        </w:rPr>
        <w:t>, which included the capture</w:t>
      </w:r>
      <w:r w:rsidR="00195F39" w:rsidRPr="006D05D9">
        <w:rPr>
          <w:lang w:val="en-GB"/>
        </w:rPr>
        <w:t xml:space="preserve"> of </w:t>
      </w:r>
      <w:r w:rsidR="00F00240" w:rsidRPr="006D05D9">
        <w:rPr>
          <w:lang w:val="en-GB"/>
        </w:rPr>
        <w:t xml:space="preserve">a </w:t>
      </w:r>
      <w:r w:rsidR="00195F39" w:rsidRPr="006D05D9">
        <w:rPr>
          <w:lang w:val="en-GB"/>
        </w:rPr>
        <w:t xml:space="preserve">3-second window trial for the whole body in a </w:t>
      </w:r>
      <w:r w:rsidR="00E919AD" w:rsidRPr="006D05D9">
        <w:rPr>
          <w:lang w:val="en-GB"/>
        </w:rPr>
        <w:t xml:space="preserve">specific position to </w:t>
      </w:r>
      <w:r w:rsidR="00F00240" w:rsidRPr="006D05D9">
        <w:rPr>
          <w:lang w:val="en-GB"/>
        </w:rPr>
        <w:t>e</w:t>
      </w:r>
      <w:r w:rsidR="00E919AD" w:rsidRPr="006D05D9">
        <w:rPr>
          <w:lang w:val="en-GB"/>
        </w:rPr>
        <w:t>stablish a baseline for markers into the three</w:t>
      </w:r>
      <w:r w:rsidR="00F00240" w:rsidRPr="006D05D9">
        <w:rPr>
          <w:lang w:val="en-GB"/>
        </w:rPr>
        <w:t>-</w:t>
      </w:r>
      <w:r w:rsidR="00E919AD" w:rsidRPr="006D05D9">
        <w:rPr>
          <w:lang w:val="en-GB"/>
        </w:rPr>
        <w:t xml:space="preserve">dimensional space formed by the Vicon system, </w:t>
      </w:r>
      <w:r w:rsidR="00860A3B" w:rsidRPr="006D05D9">
        <w:rPr>
          <w:lang w:val="en-GB"/>
        </w:rPr>
        <w:t>and</w:t>
      </w:r>
      <w:r w:rsidR="00857E69" w:rsidRPr="006D05D9">
        <w:rPr>
          <w:lang w:val="en-GB"/>
        </w:rPr>
        <w:t xml:space="preserve"> the capture of</w:t>
      </w:r>
      <w:r w:rsidR="00860A3B" w:rsidRPr="006D05D9">
        <w:rPr>
          <w:lang w:val="en-GB"/>
        </w:rPr>
        <w:t xml:space="preserve"> muscular activity during isometric maximum voluntary contractions (</w:t>
      </w:r>
      <w:proofErr w:type="spellStart"/>
      <w:r w:rsidR="004C0065" w:rsidRPr="006D05D9">
        <w:rPr>
          <w:lang w:val="en-GB"/>
        </w:rPr>
        <w:t>iMVC</w:t>
      </w:r>
      <w:proofErr w:type="spellEnd"/>
      <w:r w:rsidR="00860A3B" w:rsidRPr="006D05D9">
        <w:rPr>
          <w:lang w:val="en-GB"/>
        </w:rPr>
        <w:t>)</w:t>
      </w:r>
      <w:r w:rsidR="002F6DD3" w:rsidRPr="006D05D9">
        <w:rPr>
          <w:lang w:val="en-GB"/>
        </w:rPr>
        <w:t xml:space="preserve">, as previously described. </w:t>
      </w:r>
    </w:p>
    <w:p w14:paraId="4B3BD0AF" w14:textId="77777777" w:rsidR="00FE66C7" w:rsidRPr="006D05D9" w:rsidRDefault="00FE66C7" w:rsidP="00FB4136">
      <w:pPr>
        <w:rPr>
          <w:lang w:val="en-GB"/>
        </w:rPr>
      </w:pPr>
    </w:p>
    <w:p w14:paraId="3AFDD8FC" w14:textId="4E5F2A76" w:rsidR="008466BA" w:rsidRPr="006D05D9" w:rsidRDefault="007D71B4" w:rsidP="00FE66C7">
      <w:pPr>
        <w:ind w:firstLine="284"/>
        <w:rPr>
          <w:lang w:val="en-GB"/>
        </w:rPr>
      </w:pPr>
      <w:r w:rsidRPr="006D05D9">
        <w:rPr>
          <w:lang w:val="en-GB"/>
        </w:rPr>
        <w:t>To avoid the fatigue and learning effect, the order of desk height was randomized, ensuring that half of the participants started with one of the two conditions</w:t>
      </w:r>
      <w:r w:rsidR="003F5600" w:rsidRPr="006D05D9">
        <w:rPr>
          <w:lang w:val="en-GB"/>
        </w:rPr>
        <w:t>, original or proposal</w:t>
      </w:r>
      <w:r w:rsidRPr="006D05D9">
        <w:rPr>
          <w:lang w:val="en-GB"/>
        </w:rPr>
        <w:t>.</w:t>
      </w:r>
      <w:r w:rsidR="00562DD7" w:rsidRPr="006D05D9">
        <w:rPr>
          <w:lang w:val="en-GB"/>
        </w:rPr>
        <w:t xml:space="preserve"> Researchers adjusted the seat height and desk height for the different experimental </w:t>
      </w:r>
      <w:r w:rsidR="00ED29E9" w:rsidRPr="006D05D9">
        <w:rPr>
          <w:lang w:val="en-GB"/>
        </w:rPr>
        <w:t>conditions</w:t>
      </w:r>
      <w:r w:rsidR="00562DD7" w:rsidRPr="006D05D9">
        <w:rPr>
          <w:lang w:val="en-GB"/>
        </w:rPr>
        <w:t xml:space="preserve"> (independent variable).</w:t>
      </w:r>
      <w:r w:rsidR="00ED29E9" w:rsidRPr="006D05D9">
        <w:rPr>
          <w:lang w:val="en-GB"/>
        </w:rPr>
        <w:t xml:space="preserve"> </w:t>
      </w:r>
      <w:r w:rsidR="0003612D" w:rsidRPr="006D05D9">
        <w:rPr>
          <w:lang w:val="en-GB"/>
        </w:rPr>
        <w:t>Participants were instructed to perform the 5 tasks freely</w:t>
      </w:r>
      <w:r w:rsidR="00CC3F8F" w:rsidRPr="006D05D9">
        <w:rPr>
          <w:lang w:val="en-GB"/>
        </w:rPr>
        <w:t xml:space="preserve"> but in the same order</w:t>
      </w:r>
      <w:r w:rsidR="0003612D" w:rsidRPr="006D05D9">
        <w:rPr>
          <w:lang w:val="en-GB"/>
        </w:rPr>
        <w:t xml:space="preserve">. </w:t>
      </w:r>
    </w:p>
    <w:p w14:paraId="360CC898" w14:textId="77777777" w:rsidR="00FE66C7" w:rsidRPr="006D05D9" w:rsidRDefault="00FE66C7" w:rsidP="00FB4136">
      <w:pPr>
        <w:rPr>
          <w:lang w:val="en-GB"/>
        </w:rPr>
      </w:pPr>
    </w:p>
    <w:p w14:paraId="07CC9247" w14:textId="00624079" w:rsidR="007D71B4" w:rsidRPr="006D05D9" w:rsidRDefault="00706C19" w:rsidP="001656C0">
      <w:pPr>
        <w:ind w:firstLine="284"/>
        <w:rPr>
          <w:lang w:val="en-GB"/>
        </w:rPr>
      </w:pPr>
      <w:r w:rsidRPr="006D05D9">
        <w:rPr>
          <w:lang w:val="en-GB"/>
        </w:rPr>
        <w:t xml:space="preserve">To ensure markers reliability within trials, </w:t>
      </w:r>
      <w:r w:rsidR="003E687E" w:rsidRPr="006D05D9">
        <w:rPr>
          <w:lang w:val="en-GB"/>
        </w:rPr>
        <w:t xml:space="preserve">each participant was asked to begin and end each task in a neutral position designated as the calibration position, </w:t>
      </w:r>
      <w:r w:rsidR="003D33B0" w:rsidRPr="006D05D9">
        <w:rPr>
          <w:lang w:val="en-GB"/>
        </w:rPr>
        <w:t>which consisted of maintaining a straight back</w:t>
      </w:r>
      <w:r w:rsidR="00E51FA4" w:rsidRPr="006D05D9">
        <w:rPr>
          <w:lang w:val="en-GB"/>
        </w:rPr>
        <w:t xml:space="preserve">, </w:t>
      </w:r>
      <w:r w:rsidR="00D5209A" w:rsidRPr="006D05D9">
        <w:rPr>
          <w:lang w:val="en-GB"/>
        </w:rPr>
        <w:t>both arms raised and flexed, hands clasped close to the chest at the level of the xiphoid process</w:t>
      </w:r>
      <w:r w:rsidR="00E51FA4" w:rsidRPr="006D05D9">
        <w:rPr>
          <w:lang w:val="en-GB"/>
        </w:rPr>
        <w:t>, and head looking straight ahead</w:t>
      </w:r>
      <w:r w:rsidR="0051275F" w:rsidRPr="006D05D9">
        <w:rPr>
          <w:lang w:val="en-GB"/>
        </w:rPr>
        <w:t>.</w:t>
      </w:r>
      <w:r w:rsidR="00683F14" w:rsidRPr="006D05D9">
        <w:rPr>
          <w:lang w:val="en-GB"/>
        </w:rPr>
        <w:t xml:space="preserve"> Subsequently, the participants perform</w:t>
      </w:r>
      <w:r w:rsidR="00621A40" w:rsidRPr="006D05D9">
        <w:rPr>
          <w:lang w:val="en-GB"/>
        </w:rPr>
        <w:t>ed</w:t>
      </w:r>
      <w:r w:rsidR="00683F14" w:rsidRPr="006D05D9">
        <w:rPr>
          <w:lang w:val="en-GB"/>
        </w:rPr>
        <w:t xml:space="preserve"> the</w:t>
      </w:r>
      <w:r w:rsidR="00E20E48" w:rsidRPr="006D05D9">
        <w:rPr>
          <w:lang w:val="en-GB"/>
        </w:rPr>
        <w:t xml:space="preserve"> following</w:t>
      </w:r>
      <w:r w:rsidR="00683F14" w:rsidRPr="006D05D9">
        <w:rPr>
          <w:lang w:val="en-GB"/>
        </w:rPr>
        <w:t xml:space="preserve"> tasks freely and in the most comfortable position according to their preference</w:t>
      </w:r>
      <w:r w:rsidR="00E20E48" w:rsidRPr="006D05D9">
        <w:rPr>
          <w:lang w:val="en-GB"/>
        </w:rPr>
        <w:t>:</w:t>
      </w:r>
    </w:p>
    <w:p w14:paraId="55A8FF1A" w14:textId="6A571FCB" w:rsidR="0003612D" w:rsidRPr="006D05D9" w:rsidRDefault="0003612D" w:rsidP="00FB4136">
      <w:pPr>
        <w:pStyle w:val="Prrafodelista"/>
        <w:numPr>
          <w:ilvl w:val="0"/>
          <w:numId w:val="2"/>
        </w:numPr>
        <w:rPr>
          <w:lang w:val="en-GB"/>
        </w:rPr>
      </w:pPr>
      <w:r w:rsidRPr="006D05D9">
        <w:rPr>
          <w:lang w:val="en-GB"/>
        </w:rPr>
        <w:t>Handwriting test</w:t>
      </w:r>
      <w:r w:rsidR="006D7062" w:rsidRPr="006D05D9">
        <w:rPr>
          <w:lang w:val="en-GB"/>
        </w:rPr>
        <w:t>:</w:t>
      </w:r>
      <w:r w:rsidRPr="006D05D9">
        <w:rPr>
          <w:lang w:val="en-GB"/>
        </w:rPr>
        <w:t xml:space="preserve"> </w:t>
      </w:r>
      <w:r w:rsidR="00E23F2F" w:rsidRPr="006D05D9">
        <w:rPr>
          <w:lang w:val="en-GB"/>
        </w:rPr>
        <w:t>T</w:t>
      </w:r>
      <w:r w:rsidRPr="006D05D9">
        <w:rPr>
          <w:lang w:val="en-GB"/>
        </w:rPr>
        <w:t xml:space="preserve">he subject transcribed a 250-word text displayed on a notebook onto a sheet of paper using a </w:t>
      </w:r>
      <w:r w:rsidR="006D7062" w:rsidRPr="006D05D9">
        <w:rPr>
          <w:lang w:val="en-GB"/>
        </w:rPr>
        <w:t>pen.</w:t>
      </w:r>
    </w:p>
    <w:p w14:paraId="4F4F7B16" w14:textId="59B99943" w:rsidR="0003612D" w:rsidRPr="006D05D9" w:rsidRDefault="0003612D" w:rsidP="00FB4136">
      <w:pPr>
        <w:pStyle w:val="Prrafodelista"/>
        <w:numPr>
          <w:ilvl w:val="0"/>
          <w:numId w:val="2"/>
        </w:numPr>
        <w:rPr>
          <w:lang w:val="en-GB"/>
        </w:rPr>
      </w:pPr>
      <w:r w:rsidRPr="006D05D9">
        <w:rPr>
          <w:lang w:val="en-GB"/>
        </w:rPr>
        <w:t>Reading and attention</w:t>
      </w:r>
      <w:r w:rsidR="006D7062" w:rsidRPr="006D05D9">
        <w:rPr>
          <w:lang w:val="en-GB"/>
        </w:rPr>
        <w:t>:</w:t>
      </w:r>
      <w:r w:rsidRPr="006D05D9">
        <w:rPr>
          <w:lang w:val="en-GB"/>
        </w:rPr>
        <w:t xml:space="preserve"> </w:t>
      </w:r>
      <w:r w:rsidR="00E23F2F" w:rsidRPr="006D05D9">
        <w:rPr>
          <w:lang w:val="en-GB"/>
        </w:rPr>
        <w:t>T</w:t>
      </w:r>
      <w:r w:rsidRPr="006D05D9">
        <w:rPr>
          <w:lang w:val="en-GB"/>
        </w:rPr>
        <w:t>he participant read aloud a paragraph of text of no more than 350 words. The positioning of hands and arms during this</w:t>
      </w:r>
      <w:r w:rsidR="000F48C5" w:rsidRPr="006D05D9">
        <w:rPr>
          <w:lang w:val="en-GB"/>
        </w:rPr>
        <w:t xml:space="preserve"> task</w:t>
      </w:r>
      <w:r w:rsidRPr="006D05D9">
        <w:rPr>
          <w:lang w:val="en-GB"/>
        </w:rPr>
        <w:t xml:space="preserve"> was free.</w:t>
      </w:r>
    </w:p>
    <w:p w14:paraId="762633EE" w14:textId="59CDBC55" w:rsidR="005C3358" w:rsidRPr="006D05D9" w:rsidRDefault="00DA1955" w:rsidP="00FB4136">
      <w:pPr>
        <w:pStyle w:val="Prrafodelista"/>
        <w:numPr>
          <w:ilvl w:val="0"/>
          <w:numId w:val="2"/>
        </w:numPr>
        <w:rPr>
          <w:lang w:val="en-GB"/>
        </w:rPr>
      </w:pPr>
      <w:r w:rsidRPr="006D05D9">
        <w:rPr>
          <w:lang w:val="en-GB"/>
        </w:rPr>
        <w:lastRenderedPageBreak/>
        <w:t>Typing</w:t>
      </w:r>
      <w:r w:rsidR="0003612D" w:rsidRPr="006D05D9">
        <w:rPr>
          <w:lang w:val="en-GB"/>
        </w:rPr>
        <w:t xml:space="preserve"> test</w:t>
      </w:r>
      <w:r w:rsidR="006D7062" w:rsidRPr="006D05D9">
        <w:rPr>
          <w:lang w:val="en-GB"/>
        </w:rPr>
        <w:t>:</w:t>
      </w:r>
      <w:r w:rsidR="0003612D" w:rsidRPr="006D05D9">
        <w:rPr>
          <w:lang w:val="en-GB"/>
        </w:rPr>
        <w:t xml:space="preserve"> </w:t>
      </w:r>
      <w:r w:rsidR="006D7062" w:rsidRPr="006D05D9">
        <w:rPr>
          <w:lang w:val="en-GB"/>
        </w:rPr>
        <w:t>t</w:t>
      </w:r>
      <w:r w:rsidR="0003612D" w:rsidRPr="006D05D9">
        <w:rPr>
          <w:lang w:val="en-GB"/>
        </w:rPr>
        <w:t xml:space="preserve">he participant transcribed a 300-word text into the notebook, </w:t>
      </w:r>
      <w:r w:rsidR="00484EC8" w:rsidRPr="006D05D9">
        <w:rPr>
          <w:lang w:val="en-GB"/>
        </w:rPr>
        <w:t xml:space="preserve">using </w:t>
      </w:r>
      <w:r w:rsidR="00626F5C" w:rsidRPr="006D05D9">
        <w:rPr>
          <w:lang w:val="en-GB"/>
        </w:rPr>
        <w:t>a dedicated typing test (</w:t>
      </w:r>
      <w:proofErr w:type="spellStart"/>
      <w:r w:rsidR="00D6274D" w:rsidRPr="006D05D9">
        <w:rPr>
          <w:lang w:val="en-GB"/>
        </w:rPr>
        <w:t>TypingStudy</w:t>
      </w:r>
      <w:proofErr w:type="spellEnd"/>
      <w:r w:rsidR="00D6274D" w:rsidRPr="006D05D9">
        <w:rPr>
          <w:lang w:val="en-GB"/>
        </w:rPr>
        <w:t xml:space="preserve">, </w:t>
      </w:r>
      <w:r w:rsidR="009E3FFB" w:rsidRPr="006D05D9">
        <w:rPr>
          <w:lang w:val="en-GB"/>
        </w:rPr>
        <w:t>2003)</w:t>
      </w:r>
    </w:p>
    <w:p w14:paraId="0D3A8701" w14:textId="53A3A117" w:rsidR="0003612D" w:rsidRPr="006D05D9" w:rsidRDefault="00201266" w:rsidP="00FB4136">
      <w:pPr>
        <w:pStyle w:val="Prrafodelista"/>
        <w:numPr>
          <w:ilvl w:val="0"/>
          <w:numId w:val="2"/>
        </w:numPr>
        <w:rPr>
          <w:lang w:val="en-GB"/>
        </w:rPr>
      </w:pPr>
      <w:r w:rsidRPr="006D05D9">
        <w:rPr>
          <w:lang w:val="en-GB"/>
        </w:rPr>
        <w:t>Device usage test</w:t>
      </w:r>
      <w:r w:rsidR="006D7062" w:rsidRPr="006D05D9">
        <w:rPr>
          <w:lang w:val="en-GB"/>
        </w:rPr>
        <w:t>:</w:t>
      </w:r>
      <w:r w:rsidR="0003612D" w:rsidRPr="006D05D9">
        <w:rPr>
          <w:lang w:val="en-GB"/>
        </w:rPr>
        <w:t xml:space="preserve"> </w:t>
      </w:r>
      <w:r w:rsidR="00E23F2F" w:rsidRPr="006D05D9">
        <w:rPr>
          <w:lang w:val="en-GB"/>
        </w:rPr>
        <w:t>T</w:t>
      </w:r>
      <w:r w:rsidR="0003612D" w:rsidRPr="006D05D9">
        <w:rPr>
          <w:lang w:val="en-GB"/>
        </w:rPr>
        <w:t xml:space="preserve">he participant performed target acquisition tasks according to </w:t>
      </w:r>
      <w:proofErr w:type="spellStart"/>
      <w:r w:rsidR="0003612D" w:rsidRPr="006D05D9">
        <w:rPr>
          <w:lang w:val="en-GB"/>
        </w:rPr>
        <w:t>Fitts'</w:t>
      </w:r>
      <w:proofErr w:type="spellEnd"/>
      <w:r w:rsidR="0003612D" w:rsidRPr="006D05D9">
        <w:rPr>
          <w:lang w:val="en-GB"/>
        </w:rPr>
        <w:t xml:space="preserve"> Law for mobile devices</w:t>
      </w:r>
      <w:r w:rsidR="00E23F2F" w:rsidRPr="006D05D9">
        <w:rPr>
          <w:lang w:val="en-GB"/>
        </w:rPr>
        <w:t xml:space="preserve"> such as </w:t>
      </w:r>
      <w:r w:rsidR="0003612D" w:rsidRPr="006D05D9">
        <w:rPr>
          <w:lang w:val="en-GB"/>
        </w:rPr>
        <w:t>Tablet</w:t>
      </w:r>
      <w:r w:rsidR="00E23F2F" w:rsidRPr="006D05D9">
        <w:rPr>
          <w:lang w:val="en-GB"/>
        </w:rPr>
        <w:t>s,</w:t>
      </w:r>
      <w:r w:rsidR="0003612D" w:rsidRPr="006D05D9">
        <w:rPr>
          <w:lang w:val="en-GB"/>
        </w:rPr>
        <w:t xml:space="preserve"> and computers (using a mouse).</w:t>
      </w:r>
      <w:r w:rsidR="009E3FFB" w:rsidRPr="006D05D9">
        <w:rPr>
          <w:lang w:val="en-GB"/>
        </w:rPr>
        <w:t xml:space="preserve"> Data a</w:t>
      </w:r>
      <w:r w:rsidR="00E94A2F" w:rsidRPr="006D05D9">
        <w:rPr>
          <w:lang w:val="en-GB"/>
        </w:rPr>
        <w:t>cquisition and performance variables were measured using</w:t>
      </w:r>
      <w:r w:rsidR="00B0791C" w:rsidRPr="006D05D9">
        <w:rPr>
          <w:lang w:val="en-GB"/>
        </w:rPr>
        <w:t xml:space="preserve"> </w:t>
      </w:r>
      <w:proofErr w:type="spellStart"/>
      <w:r w:rsidR="00B0791C" w:rsidRPr="006D05D9">
        <w:rPr>
          <w:lang w:val="en-GB"/>
        </w:rPr>
        <w:t>GoFitts</w:t>
      </w:r>
      <w:proofErr w:type="spellEnd"/>
      <w:r w:rsidR="00B0791C" w:rsidRPr="006D05D9">
        <w:rPr>
          <w:lang w:val="en-GB"/>
        </w:rPr>
        <w:t xml:space="preserve"> (Pc) and Fitts Touch (Tablet) </w:t>
      </w:r>
      <w:r w:rsidR="004A5CB8" w:rsidRPr="006D05D9">
        <w:rPr>
          <w:lang w:val="en-GB"/>
        </w:rPr>
        <w:t>software</w:t>
      </w:r>
      <w:r w:rsidR="00B0791C" w:rsidRPr="006D05D9">
        <w:rPr>
          <w:lang w:val="en-GB"/>
        </w:rPr>
        <w:t xml:space="preserve"> from </w:t>
      </w:r>
      <w:r w:rsidR="00AD7F45" w:rsidRPr="006D05D9">
        <w:rPr>
          <w:lang w:val="en-GB"/>
        </w:rPr>
        <w:t>York University</w:t>
      </w:r>
      <w:r w:rsidR="00662BEA" w:rsidRPr="006D05D9">
        <w:rPr>
          <w:lang w:val="en-GB"/>
        </w:rPr>
        <w:t xml:space="preserve"> </w:t>
      </w:r>
      <w:r w:rsidR="00662BEA" w:rsidRPr="006D05D9">
        <w:rPr>
          <w:lang w:val="en-GB"/>
        </w:rPr>
        <w:fldChar w:fldCharType="begin" w:fldLock="1"/>
      </w:r>
      <w:r w:rsidR="00B309D1" w:rsidRPr="006D05D9">
        <w:rPr>
          <w:lang w:val="en-GB"/>
        </w:rPr>
        <w:instrText>ADDIN CSL_CITATION {"citationItems":[{"id":"ITEM-1","itemData":{"DOI":"10.1007/978-3-319-20916-6_23","ISBN":"9783319209159","ISSN":"16113349","abstract":"The method of calculating Fitts’ throughput is detailed, considering task characteristics, the speed-accuracy trade-off, data collection, and data aggregation. The goal is to bring consistency to the method of calculation and thereby strengthen between-study comparisons where throughput is used as a dependent measure. In addition, the distinction between indirect and direct pointing devices is elaborated using the examples of a mouse as an indirect pointing device and a finger as a direct pointing device. An experiment with 16 participants using a smart phone was conducted as an empirical test of direct touch-based target selection. Overall, the throughput was 6.95 bps. This is a remarkable figure – about 50 % higher than accepted values for a mouse. The experiment included task type (1D vs. 2D) and device position (supported vs. mobile) as independent variables. Throughput for the 1D task was 15 % higher than for the 2D task. No difference in throughput was observed between the supported and mobile conditions.","author":[{"dropping-particle":"","family":"Scott MacKenzie","given":"I.","non-dropping-particle":"","parse-names":false,"suffix":""}],"container-title":"Lecture Notes in Computer Science (including subseries Lecture Notes in Artificial Intelligence and Lecture Notes in Bioinformatics)","id":"ITEM-1","issued":{"date-parts":[["2015"]]},"page":"238-249","title":"Fitts’ Throughput and the Remarkable Case of Touch-Based Target Selection","type":"chapter","volume":"9170"},"uris":["http://www.mendeley.com/documents/?uuid=2c6f018e-7538-45f0-9bd4-e3eef2da1a71"]}],"mendeley":{"formattedCitation":"(Scott MacKenzie, 2015)","plainTextFormattedCitation":"(Scott MacKenzie, 2015)","previouslyFormattedCitation":"(Scott MacKenzie, 2015)"},"properties":{"noteIndex":0},"schema":"https://github.com/citation-style-language/schema/raw/master/csl-citation.json"}</w:instrText>
      </w:r>
      <w:r w:rsidR="00662BEA" w:rsidRPr="006D05D9">
        <w:rPr>
          <w:lang w:val="en-GB"/>
        </w:rPr>
        <w:fldChar w:fldCharType="separate"/>
      </w:r>
      <w:r w:rsidR="00662BEA" w:rsidRPr="006D05D9">
        <w:rPr>
          <w:lang w:val="en-GB"/>
        </w:rPr>
        <w:t>(Scott MacKenzie, 2015)</w:t>
      </w:r>
      <w:r w:rsidR="00662BEA" w:rsidRPr="006D05D9">
        <w:rPr>
          <w:lang w:val="en-GB"/>
        </w:rPr>
        <w:fldChar w:fldCharType="end"/>
      </w:r>
      <w:r w:rsidR="00662BEA" w:rsidRPr="006D05D9">
        <w:rPr>
          <w:lang w:val="en-GB"/>
        </w:rPr>
        <w:t>.</w:t>
      </w:r>
    </w:p>
    <w:p w14:paraId="0217AFBD" w14:textId="02A5B3A6" w:rsidR="006700E8" w:rsidRPr="006D05D9" w:rsidRDefault="0003612D" w:rsidP="00FB4136">
      <w:pPr>
        <w:pStyle w:val="Prrafodelista"/>
        <w:numPr>
          <w:ilvl w:val="0"/>
          <w:numId w:val="2"/>
        </w:numPr>
        <w:rPr>
          <w:lang w:val="en-GB"/>
        </w:rPr>
      </w:pPr>
      <w:r w:rsidRPr="006D05D9">
        <w:rPr>
          <w:lang w:val="en-GB"/>
        </w:rPr>
        <w:t>Manipulation of objects</w:t>
      </w:r>
      <w:r w:rsidR="006D7062" w:rsidRPr="006D05D9">
        <w:rPr>
          <w:lang w:val="en-GB"/>
        </w:rPr>
        <w:t>:</w:t>
      </w:r>
      <w:r w:rsidRPr="006D05D9">
        <w:rPr>
          <w:lang w:val="en-GB"/>
        </w:rPr>
        <w:t xml:space="preserve"> </w:t>
      </w:r>
      <w:r w:rsidR="00E23F2F" w:rsidRPr="006D05D9">
        <w:rPr>
          <w:lang w:val="en-GB"/>
        </w:rPr>
        <w:t>T</w:t>
      </w:r>
      <w:r w:rsidRPr="006D05D9">
        <w:rPr>
          <w:lang w:val="en-GB"/>
        </w:rPr>
        <w:t xml:space="preserve">he participant cut a </w:t>
      </w:r>
      <w:r w:rsidR="00E23F2F" w:rsidRPr="006D05D9">
        <w:rPr>
          <w:lang w:val="en-GB"/>
        </w:rPr>
        <w:t xml:space="preserve">piece of </w:t>
      </w:r>
      <w:r w:rsidRPr="006D05D9">
        <w:rPr>
          <w:lang w:val="en-GB"/>
        </w:rPr>
        <w:t>paper with scissors following a predetermined path.</w:t>
      </w:r>
    </w:p>
    <w:p w14:paraId="467BC2E6" w14:textId="77777777" w:rsidR="005E60B8" w:rsidRPr="006D05D9" w:rsidRDefault="005E60B8" w:rsidP="00FB4136">
      <w:pPr>
        <w:rPr>
          <w:lang w:val="en-GB"/>
        </w:rPr>
      </w:pPr>
    </w:p>
    <w:p w14:paraId="638F4B17" w14:textId="5F7CA651" w:rsidR="006700E8" w:rsidRPr="006D05D9" w:rsidRDefault="00E23F2F" w:rsidP="005E60B8">
      <w:pPr>
        <w:ind w:firstLine="360"/>
        <w:rPr>
          <w:lang w:val="en-GB"/>
        </w:rPr>
      </w:pPr>
      <w:r w:rsidRPr="006D05D9">
        <w:rPr>
          <w:lang w:val="en-GB"/>
        </w:rPr>
        <w:t>Once</w:t>
      </w:r>
      <w:r w:rsidR="006700E8" w:rsidRPr="006D05D9">
        <w:rPr>
          <w:lang w:val="en-GB"/>
        </w:rPr>
        <w:t xml:space="preserve"> all </w:t>
      </w:r>
      <w:r w:rsidR="005E4BC5" w:rsidRPr="006D05D9">
        <w:rPr>
          <w:lang w:val="en-GB"/>
        </w:rPr>
        <w:t>tasks</w:t>
      </w:r>
      <w:r w:rsidR="006700E8" w:rsidRPr="006D05D9">
        <w:rPr>
          <w:lang w:val="en-GB"/>
        </w:rPr>
        <w:t xml:space="preserve"> </w:t>
      </w:r>
      <w:r w:rsidR="004F61FF" w:rsidRPr="006D05D9">
        <w:rPr>
          <w:lang w:val="en-GB"/>
        </w:rPr>
        <w:t xml:space="preserve">were performed </w:t>
      </w:r>
      <w:r w:rsidR="00A41A7C" w:rsidRPr="006D05D9">
        <w:rPr>
          <w:lang w:val="en-GB"/>
        </w:rPr>
        <w:t xml:space="preserve">for the first of the two </w:t>
      </w:r>
      <w:r w:rsidR="0051275F" w:rsidRPr="006D05D9">
        <w:rPr>
          <w:lang w:val="en-GB"/>
        </w:rPr>
        <w:t xml:space="preserve">experimental </w:t>
      </w:r>
      <w:r w:rsidR="00A41A7C" w:rsidRPr="006D05D9">
        <w:rPr>
          <w:lang w:val="en-GB"/>
        </w:rPr>
        <w:t xml:space="preserve">conditions, </w:t>
      </w:r>
      <w:r w:rsidR="000A7086" w:rsidRPr="006D05D9">
        <w:rPr>
          <w:lang w:val="en-GB"/>
        </w:rPr>
        <w:t xml:space="preserve">participants </w:t>
      </w:r>
      <w:r w:rsidR="001D1D21" w:rsidRPr="006D05D9">
        <w:rPr>
          <w:lang w:val="en-GB"/>
        </w:rPr>
        <w:t xml:space="preserve">rested for 30 minutes before the </w:t>
      </w:r>
      <w:r w:rsidR="00265093" w:rsidRPr="006D05D9">
        <w:rPr>
          <w:lang w:val="en-GB"/>
        </w:rPr>
        <w:t>repetitions of the task</w:t>
      </w:r>
      <w:r w:rsidR="0034153A" w:rsidRPr="006D05D9">
        <w:rPr>
          <w:lang w:val="en-GB"/>
        </w:rPr>
        <w:t>s</w:t>
      </w:r>
      <w:r w:rsidR="00265093" w:rsidRPr="006D05D9">
        <w:rPr>
          <w:lang w:val="en-GB"/>
        </w:rPr>
        <w:t xml:space="preserve"> for the next condition; </w:t>
      </w:r>
      <w:r w:rsidRPr="006D05D9">
        <w:rPr>
          <w:lang w:val="en-GB"/>
        </w:rPr>
        <w:t xml:space="preserve">before </w:t>
      </w:r>
      <w:r w:rsidR="008702BC" w:rsidRPr="006D05D9">
        <w:rPr>
          <w:lang w:val="en-GB"/>
        </w:rPr>
        <w:t xml:space="preserve">and after each set of </w:t>
      </w:r>
      <w:r w:rsidR="005E4BC5" w:rsidRPr="006D05D9">
        <w:rPr>
          <w:lang w:val="en-GB"/>
        </w:rPr>
        <w:t>tasks</w:t>
      </w:r>
      <w:r w:rsidR="008702BC" w:rsidRPr="006D05D9">
        <w:rPr>
          <w:lang w:val="en-GB"/>
        </w:rPr>
        <w:t xml:space="preserve">, participants </w:t>
      </w:r>
      <w:r w:rsidR="001F40E3" w:rsidRPr="006D05D9">
        <w:rPr>
          <w:lang w:val="en-GB"/>
        </w:rPr>
        <w:t xml:space="preserve">were asked to </w:t>
      </w:r>
      <w:r w:rsidR="005E4BC5" w:rsidRPr="006D05D9">
        <w:rPr>
          <w:lang w:val="en-GB"/>
        </w:rPr>
        <w:t>answer a quick survey regarding discomfort.</w:t>
      </w:r>
      <w:r w:rsidR="00C4790E" w:rsidRPr="006D05D9">
        <w:rPr>
          <w:lang w:val="en-GB"/>
        </w:rPr>
        <w:t xml:space="preserve"> Finally, participants</w:t>
      </w:r>
      <w:r w:rsidR="003174DE" w:rsidRPr="006D05D9">
        <w:rPr>
          <w:lang w:val="en-GB"/>
        </w:rPr>
        <w:t xml:space="preserve"> indicate their preference for some of the</w:t>
      </w:r>
      <w:r w:rsidR="00897BD8" w:rsidRPr="006D05D9">
        <w:rPr>
          <w:lang w:val="en-GB"/>
        </w:rPr>
        <w:t xml:space="preserve"> experimen</w:t>
      </w:r>
      <w:r w:rsidR="000663A7" w:rsidRPr="006D05D9">
        <w:rPr>
          <w:lang w:val="en-GB"/>
        </w:rPr>
        <w:t>tal</w:t>
      </w:r>
      <w:r w:rsidR="003174DE" w:rsidRPr="006D05D9">
        <w:rPr>
          <w:lang w:val="en-GB"/>
        </w:rPr>
        <w:t xml:space="preserve"> conditions</w:t>
      </w:r>
      <w:r w:rsidR="000663A7" w:rsidRPr="006D05D9">
        <w:rPr>
          <w:lang w:val="en-GB"/>
        </w:rPr>
        <w:t xml:space="preserve"> (workstation configuration)</w:t>
      </w:r>
      <w:r w:rsidR="00B14141" w:rsidRPr="006D05D9">
        <w:rPr>
          <w:lang w:val="en-GB"/>
        </w:rPr>
        <w:t>.</w:t>
      </w:r>
      <w:r w:rsidR="001F4F7A" w:rsidRPr="006D05D9">
        <w:rPr>
          <w:lang w:val="en-GB"/>
        </w:rPr>
        <w:t xml:space="preserve"> </w:t>
      </w:r>
      <w:r w:rsidR="00D21CEF" w:rsidRPr="006D05D9">
        <w:rPr>
          <w:lang w:val="en-GB"/>
        </w:rPr>
        <w:t>The overall</w:t>
      </w:r>
      <w:r w:rsidR="001F4F7A" w:rsidRPr="006D05D9">
        <w:rPr>
          <w:lang w:val="en-GB"/>
        </w:rPr>
        <w:t xml:space="preserve"> experimental workflow can be seen in Figure </w:t>
      </w:r>
      <w:r w:rsidR="00092C3E" w:rsidRPr="006D05D9">
        <w:rPr>
          <w:lang w:val="en-GB"/>
        </w:rPr>
        <w:t>2</w:t>
      </w:r>
      <w:r w:rsidR="001F4F7A" w:rsidRPr="006D05D9">
        <w:rPr>
          <w:lang w:val="en-GB"/>
        </w:rPr>
        <w:t xml:space="preserve">. </w:t>
      </w:r>
    </w:p>
    <w:p w14:paraId="1134DE5F" w14:textId="73F78B93" w:rsidR="008C228F" w:rsidRPr="006D05D9" w:rsidRDefault="00092C3E" w:rsidP="008C228F">
      <w:pPr>
        <w:keepNext/>
        <w:rPr>
          <w:lang w:val="en-GB"/>
        </w:rPr>
      </w:pPr>
      <w:r w:rsidRPr="006D05D9">
        <w:rPr>
          <w:noProof/>
          <w:lang w:val="en-GB"/>
        </w:rPr>
        <w:drawing>
          <wp:anchor distT="0" distB="0" distL="114300" distR="114300" simplePos="0" relativeHeight="251659264" behindDoc="1" locked="0" layoutInCell="1" allowOverlap="1" wp14:anchorId="746C77E6" wp14:editId="74DDA19E">
            <wp:simplePos x="0" y="0"/>
            <wp:positionH relativeFrom="column">
              <wp:posOffset>-92710</wp:posOffset>
            </wp:positionH>
            <wp:positionV relativeFrom="paragraph">
              <wp:posOffset>250190</wp:posOffset>
            </wp:positionV>
            <wp:extent cx="5612130" cy="2453640"/>
            <wp:effectExtent l="19050" t="19050" r="26670" b="22860"/>
            <wp:wrapTight wrapText="bothSides">
              <wp:wrapPolygon edited="0">
                <wp:start x="-73" y="-168"/>
                <wp:lineTo x="-73" y="21634"/>
                <wp:lineTo x="21629" y="21634"/>
                <wp:lineTo x="21629" y="-168"/>
                <wp:lineTo x="-73" y="-168"/>
              </wp:wrapPolygon>
            </wp:wrapTight>
            <wp:docPr id="81220005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00050"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453640"/>
                    </a:xfrm>
                    <a:prstGeom prst="rect">
                      <a:avLst/>
                    </a:prstGeom>
                    <a:noFill/>
                    <a:ln>
                      <a:solidFill>
                        <a:schemeClr val="tx1"/>
                      </a:solidFill>
                    </a:ln>
                  </pic:spPr>
                </pic:pic>
              </a:graphicData>
            </a:graphic>
          </wp:anchor>
        </w:drawing>
      </w:r>
    </w:p>
    <w:p w14:paraId="0C720112" w14:textId="01FA2352" w:rsidR="00FA0D20" w:rsidRPr="006D05D9" w:rsidRDefault="008C228F" w:rsidP="00C47043">
      <w:pPr>
        <w:jc w:val="center"/>
        <w:rPr>
          <w:sz w:val="20"/>
          <w:szCs w:val="20"/>
          <w:lang w:val="en-GB"/>
        </w:rPr>
      </w:pPr>
      <w:r w:rsidRPr="006D05D9">
        <w:rPr>
          <w:sz w:val="20"/>
          <w:szCs w:val="20"/>
          <w:lang w:val="en-GB"/>
        </w:rPr>
        <w:t xml:space="preserve">Figure </w:t>
      </w:r>
      <w:r w:rsidR="00092C3E" w:rsidRPr="006D05D9">
        <w:rPr>
          <w:sz w:val="20"/>
          <w:szCs w:val="20"/>
          <w:lang w:val="en-GB"/>
        </w:rPr>
        <w:t>2</w:t>
      </w:r>
      <w:r w:rsidRPr="006D05D9">
        <w:rPr>
          <w:sz w:val="20"/>
          <w:szCs w:val="20"/>
          <w:lang w:val="en-GB"/>
        </w:rPr>
        <w:t>. Experimental workflow</w:t>
      </w:r>
    </w:p>
    <w:p w14:paraId="6A1942FA" w14:textId="77777777" w:rsidR="00BE3384" w:rsidRPr="006D05D9" w:rsidRDefault="00BE3384" w:rsidP="00FB4136">
      <w:pPr>
        <w:rPr>
          <w:b/>
          <w:bCs/>
          <w:sz w:val="24"/>
          <w:szCs w:val="24"/>
          <w:lang w:val="en-GB"/>
        </w:rPr>
      </w:pPr>
    </w:p>
    <w:p w14:paraId="3751D0F1" w14:textId="1DC35825" w:rsidR="00D30469" w:rsidRPr="006D05D9" w:rsidRDefault="00C51486" w:rsidP="00FB4136">
      <w:pPr>
        <w:rPr>
          <w:b/>
          <w:bCs/>
          <w:sz w:val="24"/>
          <w:szCs w:val="24"/>
          <w:lang w:val="en-GB"/>
        </w:rPr>
      </w:pPr>
      <w:r w:rsidRPr="006D05D9">
        <w:rPr>
          <w:b/>
          <w:bCs/>
          <w:sz w:val="24"/>
          <w:szCs w:val="24"/>
          <w:lang w:val="en-GB"/>
        </w:rPr>
        <w:t xml:space="preserve">2.5. Data </w:t>
      </w:r>
      <w:r w:rsidR="00D30469" w:rsidRPr="006D05D9">
        <w:rPr>
          <w:b/>
          <w:bCs/>
          <w:sz w:val="24"/>
          <w:szCs w:val="24"/>
          <w:lang w:val="en-GB"/>
        </w:rPr>
        <w:t>Processing</w:t>
      </w:r>
    </w:p>
    <w:p w14:paraId="19B6C3BE" w14:textId="77777777" w:rsidR="006753E2" w:rsidRPr="006D05D9" w:rsidRDefault="006753E2" w:rsidP="00BD44EA">
      <w:pPr>
        <w:ind w:firstLine="284"/>
        <w:rPr>
          <w:lang w:val="en-GB"/>
        </w:rPr>
      </w:pPr>
    </w:p>
    <w:p w14:paraId="6AA10C0E" w14:textId="4EC2940E" w:rsidR="00D30469" w:rsidRPr="006D05D9" w:rsidRDefault="006F4CC4" w:rsidP="00BD44EA">
      <w:pPr>
        <w:ind w:firstLine="284"/>
        <w:rPr>
          <w:lang w:val="en-GB"/>
        </w:rPr>
      </w:pPr>
      <w:r w:rsidRPr="006D05D9">
        <w:rPr>
          <w:lang w:val="en-GB"/>
        </w:rPr>
        <w:t>The</w:t>
      </w:r>
      <w:r w:rsidR="00C52A57" w:rsidRPr="006D05D9">
        <w:rPr>
          <w:lang w:val="en-GB"/>
        </w:rPr>
        <w:t xml:space="preserve"> processing and analysis of each dependent variable will be presented individually following the five categories mentioned above, kinematics, electromyography, performance, preference, and discomfort.</w:t>
      </w:r>
    </w:p>
    <w:p w14:paraId="20C00B76" w14:textId="77777777" w:rsidR="00A629FD" w:rsidRPr="006D05D9" w:rsidRDefault="00A629FD" w:rsidP="00C52A57">
      <w:pPr>
        <w:rPr>
          <w:b/>
          <w:bCs/>
          <w:i/>
          <w:iCs/>
          <w:lang w:val="en-GB"/>
        </w:rPr>
      </w:pPr>
    </w:p>
    <w:p w14:paraId="2C52163C" w14:textId="77777777" w:rsidR="00A629FD" w:rsidRPr="006D05D9" w:rsidRDefault="00A629FD" w:rsidP="00C52A57">
      <w:pPr>
        <w:rPr>
          <w:b/>
          <w:bCs/>
          <w:i/>
          <w:iCs/>
          <w:lang w:val="en-GB"/>
        </w:rPr>
      </w:pPr>
    </w:p>
    <w:p w14:paraId="6A3C76B6" w14:textId="02846638" w:rsidR="00580FBE" w:rsidRPr="006D05D9" w:rsidRDefault="0069260C" w:rsidP="00C52A57">
      <w:pPr>
        <w:rPr>
          <w:b/>
          <w:bCs/>
          <w:i/>
          <w:iCs/>
          <w:lang w:val="en-GB"/>
        </w:rPr>
      </w:pPr>
      <w:r w:rsidRPr="006D05D9">
        <w:rPr>
          <w:b/>
          <w:bCs/>
          <w:i/>
          <w:iCs/>
          <w:lang w:val="en-GB"/>
        </w:rPr>
        <w:t>2</w:t>
      </w:r>
      <w:r w:rsidR="000369A5" w:rsidRPr="006D05D9">
        <w:rPr>
          <w:b/>
          <w:bCs/>
          <w:i/>
          <w:iCs/>
          <w:lang w:val="en-GB"/>
        </w:rPr>
        <w:t>.</w:t>
      </w:r>
      <w:r w:rsidRPr="006D05D9">
        <w:rPr>
          <w:b/>
          <w:bCs/>
          <w:i/>
          <w:iCs/>
          <w:lang w:val="en-GB"/>
        </w:rPr>
        <w:t xml:space="preserve">5.1. </w:t>
      </w:r>
      <w:r w:rsidR="00C52A57" w:rsidRPr="006D05D9">
        <w:rPr>
          <w:b/>
          <w:bCs/>
          <w:i/>
          <w:iCs/>
          <w:lang w:val="en-GB"/>
        </w:rPr>
        <w:t xml:space="preserve">Kinematics. </w:t>
      </w:r>
    </w:p>
    <w:p w14:paraId="7931F543" w14:textId="77777777" w:rsidR="006753E2" w:rsidRPr="006D05D9" w:rsidRDefault="006753E2" w:rsidP="00C52A57">
      <w:pPr>
        <w:rPr>
          <w:lang w:val="en-GB"/>
        </w:rPr>
      </w:pPr>
    </w:p>
    <w:p w14:paraId="6F9DB488" w14:textId="79CD60BB" w:rsidR="00C52A57" w:rsidRPr="006D05D9" w:rsidRDefault="00C52A57" w:rsidP="006753E2">
      <w:pPr>
        <w:ind w:firstLine="284"/>
        <w:rPr>
          <w:rStyle w:val="nfasis"/>
          <w:i w:val="0"/>
          <w:iCs w:val="0"/>
          <w:lang w:val="en-GB"/>
        </w:rPr>
      </w:pPr>
      <w:r w:rsidRPr="006D05D9">
        <w:rPr>
          <w:lang w:val="en-GB"/>
        </w:rPr>
        <w:t xml:space="preserve">Shoulder kinematics reconstruction was performed based on the definition of a local joint coordinate system for each rigid body present in our model: Thorax, Head, Arm, and Wrist. Once kinematics was reconstructed for each task separately, markers' trajectory noise was minimized by applying a Woltring filter routine based on </w:t>
      </w:r>
      <w:r w:rsidRPr="006D05D9">
        <w:rPr>
          <w:rStyle w:val="nfasis"/>
          <w:i w:val="0"/>
          <w:iCs w:val="0"/>
          <w:lang w:val="en-GB"/>
        </w:rPr>
        <w:t xml:space="preserve">mean squared error </w:t>
      </w:r>
      <w:r w:rsidRPr="006D05D9">
        <w:rPr>
          <w:rStyle w:val="nfasis"/>
          <w:i w:val="0"/>
          <w:iCs w:val="0"/>
          <w:lang w:val="en-GB"/>
        </w:rPr>
        <w:fldChar w:fldCharType="begin" w:fldLock="1"/>
      </w:r>
      <w:r w:rsidR="00062BF1" w:rsidRPr="006D05D9">
        <w:rPr>
          <w:rStyle w:val="nfasis"/>
          <w:i w:val="0"/>
          <w:iCs w:val="0"/>
          <w:lang w:val="en-GB"/>
        </w:rPr>
        <w:instrText>ADDIN CSL_CITATION {"citationItems":[{"id":"ITEM-1","itemData":{"DOI":"10.1016/j.gaitpost.2008.03.012","ISSN":"09666362","PMID":"18640838","abstract":"Introduction: Conventional methods for determining normative gait patterns consist of filtering marker trajectories prior to processing with subsequent averaging of individual normalized data. This may result in temporal shifts of key parameters and potentially distort normative datasets. Nevertheless, this is the standard method employed by state of the art motion analysis systems. This study compared two different methods of averaging filtered and unfiltered kinematic data. Methods: Forty-eight non-impaired children (22M, 26F, mean age 9.85 years, range 4.2-17 years) underwent three-dimensional gait analysis using a Vicon system (Vicon, Oxford, UK). Gait data were processed with and without the Woltring filtering routine, commonly used to minimize marker trajectory noise. Filtered data were imported into Matlab (MathWorks, Natick, MA) where a representative gait cycle (RGC) for each leg of all participants was selected. Mean and standard deviation values for left and right limbs (n = 96) for filtered and unfiltered data were calculated for seven different parameters within the RGC, without respect to timing. Similar values were obtained using the standard method. The values from the different averaging methods with and without filtering were compared. Results: Differences of up to 2.2° were found between averaging methods and up to 3.31° between filtered and unfiltered data. Discussion: Both the Woltring filtering routine and the standard averaging method cause signal dampening. While a Matlab-based tool may afford greater scope when analysing kinematic gait data, the standard averaging method still returns representative values when utilising data from able-bodied subjects. © 2008 Elsevier B.V. All rights reserved.","author":[{"dropping-particle":"","family":"Molloy","given":"M.","non-dropping-particle":"","parse-names":false,"suffix":""},{"dropping-particle":"","family":"Salazar-Torres","given":"J.","non-dropping-particle":"","parse-names":false,"suffix":""},{"dropping-particle":"","family":"Kerr","given":"C.","non-dropping-particle":"","parse-names":false,"suffix":""},{"dropping-particle":"","family":"McDowell","given":"B.C.","non-dropping-particle":"","parse-names":false,"suffix":""},{"dropping-particle":"","family":"Cosgrove","given":"A.P.","non-dropping-particle":"","parse-names":false,"suffix":""}],"container-title":"Gait &amp; Posture","id":"ITEM-1","issue":"4","issued":{"date-parts":[["2008","11"]]},"page":"559-562","title":"The effects of industry standard averaging and filtering techniques in kinematic gait analysis","type":"article-journal","volume":"28"},"uris":["http://www.mendeley.com/documents/?uuid=930da84a-4af8-495c-b90c-57df084667ba"]}],"mendeley":{"formattedCitation":"(Molloy et al., 2008)","plainTextFormattedCitation":"(Molloy et al., 2008)","previouslyFormattedCitation":"(Molloy et al., 2008)"},"properties":{"noteIndex":0},"schema":"https://github.com/citation-style-language/schema/raw/master/csl-citation.json"}</w:instrText>
      </w:r>
      <w:r w:rsidRPr="006D05D9">
        <w:rPr>
          <w:rStyle w:val="nfasis"/>
          <w:i w:val="0"/>
          <w:iCs w:val="0"/>
          <w:lang w:val="en-GB"/>
        </w:rPr>
        <w:fldChar w:fldCharType="separate"/>
      </w:r>
      <w:r w:rsidRPr="006D05D9">
        <w:rPr>
          <w:rStyle w:val="nfasis"/>
          <w:i w:val="0"/>
          <w:iCs w:val="0"/>
          <w:lang w:val="en-GB"/>
        </w:rPr>
        <w:t>(Molloy et al., 2008)</w:t>
      </w:r>
      <w:r w:rsidRPr="006D05D9">
        <w:rPr>
          <w:rStyle w:val="nfasis"/>
          <w:i w:val="0"/>
          <w:iCs w:val="0"/>
          <w:lang w:val="en-GB"/>
        </w:rPr>
        <w:fldChar w:fldCharType="end"/>
      </w:r>
      <w:r w:rsidRPr="006D05D9">
        <w:rPr>
          <w:rStyle w:val="nfasis"/>
          <w:i w:val="0"/>
          <w:iCs w:val="0"/>
          <w:lang w:val="en-GB"/>
        </w:rPr>
        <w:t>. Since each task started and ended in the same subject’s position (calibration position) event-related processing was necessary to determine the exact moment when each task started and ended.</w:t>
      </w:r>
    </w:p>
    <w:p w14:paraId="3316A53E" w14:textId="77777777" w:rsidR="006753E2" w:rsidRPr="006D05D9" w:rsidRDefault="006753E2" w:rsidP="006753E2">
      <w:pPr>
        <w:ind w:firstLine="284"/>
        <w:rPr>
          <w:rStyle w:val="nfasis"/>
          <w:i w:val="0"/>
          <w:iCs w:val="0"/>
          <w:lang w:val="en-GB"/>
        </w:rPr>
      </w:pPr>
    </w:p>
    <w:p w14:paraId="298E3D69" w14:textId="1E103970" w:rsidR="00104CB3" w:rsidRPr="006D05D9" w:rsidRDefault="00102FBB" w:rsidP="006753E2">
      <w:pPr>
        <w:ind w:firstLine="284"/>
        <w:rPr>
          <w:lang w:val="en-GB"/>
        </w:rPr>
      </w:pPr>
      <w:r w:rsidRPr="006D05D9">
        <w:rPr>
          <w:rStyle w:val="nfasis"/>
          <w:i w:val="0"/>
          <w:iCs w:val="0"/>
          <w:lang w:val="en-GB"/>
        </w:rPr>
        <w:t xml:space="preserve">Target motion-related variables, shoulder flexion and shoulder </w:t>
      </w:r>
      <w:r w:rsidR="004E796B" w:rsidRPr="006D05D9">
        <w:rPr>
          <w:rStyle w:val="nfasis"/>
          <w:i w:val="0"/>
          <w:iCs w:val="0"/>
          <w:lang w:val="en-GB"/>
        </w:rPr>
        <w:t>abduction</w:t>
      </w:r>
      <w:r w:rsidRPr="006D05D9">
        <w:rPr>
          <w:rStyle w:val="nfasis"/>
          <w:i w:val="0"/>
          <w:iCs w:val="0"/>
          <w:lang w:val="en-GB"/>
        </w:rPr>
        <w:t xml:space="preserve">, were calculated using Vicon Upper Arm model for </w:t>
      </w:r>
      <w:r w:rsidR="009A1D8C" w:rsidRPr="006D05D9">
        <w:rPr>
          <w:rStyle w:val="nfasis"/>
          <w:i w:val="0"/>
          <w:iCs w:val="0"/>
          <w:lang w:val="en-GB"/>
        </w:rPr>
        <w:t>dynamic trials</w:t>
      </w:r>
      <w:r w:rsidR="00A022CE" w:rsidRPr="006D05D9">
        <w:rPr>
          <w:rStyle w:val="nfasis"/>
          <w:i w:val="0"/>
          <w:iCs w:val="0"/>
          <w:lang w:val="en-GB"/>
        </w:rPr>
        <w:t xml:space="preserve">, where </w:t>
      </w:r>
      <w:r w:rsidR="001F0942" w:rsidRPr="006D05D9">
        <w:rPr>
          <w:rStyle w:val="nfasis"/>
          <w:i w:val="0"/>
          <w:iCs w:val="0"/>
          <w:lang w:val="en-GB"/>
        </w:rPr>
        <w:t xml:space="preserve">shoulder </w:t>
      </w:r>
      <w:r w:rsidR="00D73B95" w:rsidRPr="006D05D9">
        <w:rPr>
          <w:rStyle w:val="nfasis"/>
          <w:i w:val="0"/>
          <w:iCs w:val="0"/>
          <w:lang w:val="en-GB"/>
        </w:rPr>
        <w:t>angles</w:t>
      </w:r>
      <w:r w:rsidR="0043487F" w:rsidRPr="006D05D9">
        <w:rPr>
          <w:rStyle w:val="nfasis"/>
          <w:i w:val="0"/>
          <w:iCs w:val="0"/>
          <w:lang w:val="en-GB"/>
        </w:rPr>
        <w:t xml:space="preserve"> were obtained </w:t>
      </w:r>
      <w:r w:rsidR="00584590" w:rsidRPr="006D05D9">
        <w:rPr>
          <w:rStyle w:val="nfasis"/>
          <w:i w:val="0"/>
          <w:iCs w:val="0"/>
          <w:lang w:val="en-GB"/>
        </w:rPr>
        <w:t>using Eul</w:t>
      </w:r>
      <w:r w:rsidR="00FC11EB" w:rsidRPr="006D05D9">
        <w:rPr>
          <w:rStyle w:val="nfasis"/>
          <w:i w:val="0"/>
          <w:iCs w:val="0"/>
          <w:lang w:val="en-GB"/>
        </w:rPr>
        <w:t xml:space="preserve">er angles sequences </w:t>
      </w:r>
      <w:r w:rsidR="00F51C13" w:rsidRPr="006D05D9">
        <w:rPr>
          <w:rStyle w:val="nfasis"/>
          <w:i w:val="0"/>
          <w:iCs w:val="0"/>
          <w:lang w:val="en-GB"/>
        </w:rPr>
        <w:t>XZ’Y’</w:t>
      </w:r>
      <w:r w:rsidR="00D73B95" w:rsidRPr="006D05D9">
        <w:rPr>
          <w:rStyle w:val="nfasis"/>
          <w:i w:val="0"/>
          <w:iCs w:val="0"/>
          <w:lang w:val="en-GB"/>
        </w:rPr>
        <w:t>’ (</w:t>
      </w:r>
      <w:r w:rsidR="00D439F7" w:rsidRPr="006D05D9">
        <w:rPr>
          <w:lang w:val="en-GB"/>
        </w:rPr>
        <w:t>intrinsic rotations</w:t>
      </w:r>
      <w:r w:rsidR="00D73B95" w:rsidRPr="006D05D9">
        <w:rPr>
          <w:lang w:val="en-GB"/>
        </w:rPr>
        <w:t>, where X represents the first rotation, Z the second rotation, and Y is the third rotation</w:t>
      </w:r>
      <w:r w:rsidR="00D439F7" w:rsidRPr="006D05D9">
        <w:rPr>
          <w:lang w:val="en-GB"/>
        </w:rPr>
        <w:t>).</w:t>
      </w:r>
    </w:p>
    <w:p w14:paraId="4542C3C3" w14:textId="77777777" w:rsidR="003E47B0" w:rsidRPr="006D05D9" w:rsidRDefault="003E47B0" w:rsidP="00C52A57">
      <w:pPr>
        <w:rPr>
          <w:b/>
          <w:bCs/>
          <w:i/>
          <w:iCs/>
          <w:lang w:val="en-GB"/>
        </w:rPr>
      </w:pPr>
    </w:p>
    <w:p w14:paraId="09C38ED1" w14:textId="665CEF77" w:rsidR="00580FBE" w:rsidRPr="006D05D9" w:rsidRDefault="0069260C" w:rsidP="00C52A57">
      <w:pPr>
        <w:rPr>
          <w:b/>
          <w:bCs/>
          <w:i/>
          <w:iCs/>
          <w:lang w:val="en-GB"/>
        </w:rPr>
      </w:pPr>
      <w:r w:rsidRPr="006D05D9">
        <w:rPr>
          <w:b/>
          <w:bCs/>
          <w:i/>
          <w:iCs/>
          <w:lang w:val="en-GB"/>
        </w:rPr>
        <w:t>2.5.2</w:t>
      </w:r>
      <w:r w:rsidR="00A01A8E" w:rsidRPr="006D05D9">
        <w:rPr>
          <w:b/>
          <w:bCs/>
          <w:i/>
          <w:iCs/>
          <w:lang w:val="en-GB"/>
        </w:rPr>
        <w:t>.</w:t>
      </w:r>
      <w:r w:rsidRPr="006D05D9">
        <w:rPr>
          <w:b/>
          <w:bCs/>
          <w:i/>
          <w:iCs/>
          <w:lang w:val="en-GB"/>
        </w:rPr>
        <w:t xml:space="preserve"> </w:t>
      </w:r>
      <w:r w:rsidR="00C52A57" w:rsidRPr="006D05D9">
        <w:rPr>
          <w:b/>
          <w:bCs/>
          <w:i/>
          <w:iCs/>
          <w:lang w:val="en-GB"/>
        </w:rPr>
        <w:t xml:space="preserve">Electromyography. </w:t>
      </w:r>
    </w:p>
    <w:p w14:paraId="6A0A23F6" w14:textId="77777777" w:rsidR="00BE3384" w:rsidRPr="006D05D9" w:rsidRDefault="00BE3384" w:rsidP="00C52A57">
      <w:pPr>
        <w:rPr>
          <w:b/>
          <w:bCs/>
          <w:i/>
          <w:iCs/>
          <w:lang w:val="en-GB"/>
        </w:rPr>
      </w:pPr>
    </w:p>
    <w:p w14:paraId="6ACA157D" w14:textId="2C19FF8F" w:rsidR="00C52A57" w:rsidRPr="006D05D9" w:rsidRDefault="00C52A57" w:rsidP="003E47B0">
      <w:pPr>
        <w:ind w:firstLine="284"/>
        <w:rPr>
          <w:lang w:val="en-GB"/>
        </w:rPr>
      </w:pPr>
      <w:r w:rsidRPr="006D05D9">
        <w:rPr>
          <w:lang w:val="en-GB"/>
        </w:rPr>
        <w:t>Following the procedure from kinematics variables, event-related processing was performed for electromyography variables. Data from each of the six muscles was extracted and filtered by implementing a 2</w:t>
      </w:r>
      <w:r w:rsidRPr="006D05D9">
        <w:rPr>
          <w:vertAlign w:val="superscript"/>
          <w:lang w:val="en-GB"/>
        </w:rPr>
        <w:t>nd</w:t>
      </w:r>
      <w:r w:rsidRPr="006D05D9">
        <w:rPr>
          <w:lang w:val="en-GB"/>
        </w:rPr>
        <w:t xml:space="preserve"> order low-pass Butterworth filter with a cutoff frequency of 20hz, a frequency previously determined by Fourier analysis of subjects' EMG data</w:t>
      </w:r>
      <w:r w:rsidR="00BB22E6" w:rsidRPr="006D05D9">
        <w:rPr>
          <w:lang w:val="en-GB"/>
        </w:rPr>
        <w:t xml:space="preserve"> </w:t>
      </w:r>
      <w:r w:rsidR="00BB22E6" w:rsidRPr="006D05D9">
        <w:rPr>
          <w:lang w:val="en-GB"/>
        </w:rPr>
        <w:fldChar w:fldCharType="begin" w:fldLock="1"/>
      </w:r>
      <w:r w:rsidR="00562DFD" w:rsidRPr="006D05D9">
        <w:rPr>
          <w:lang w:val="en-GB"/>
        </w:rPr>
        <w:instrText>ADDIN CSL_CITATION {"citationItems":[{"id":"ITEM-1","itemData":{"author":[{"dropping-particle":"","family":"Lindstrom","given":"L.","non-dropping-particle":"","parse-names":false,"suffix":""}],"container-title":"lectromyography and evoked potentials. Theories and applications","id":"ITEM-1","issued":{"date-parts":[["1985"]]},"page":"103-107","publisher":"Springer-Verlag","publisher-place":"New York.","title":"Spectral analysis of EMG.","type":"chapter"},"uris":["http://www.mendeley.com/documents/?uuid=bd4ce5ca-7c12-4c42-a783-208c669b6f06"]}],"mendeley":{"formattedCitation":"(Lindstrom, 1985)","plainTextFormattedCitation":"(Lindstrom, 1985)","previouslyFormattedCitation":"(Lindstrom, 1985)"},"properties":{"noteIndex":0},"schema":"https://github.com/citation-style-language/schema/raw/master/csl-citation.json"}</w:instrText>
      </w:r>
      <w:r w:rsidR="00BB22E6" w:rsidRPr="006D05D9">
        <w:rPr>
          <w:lang w:val="en-GB"/>
        </w:rPr>
        <w:fldChar w:fldCharType="separate"/>
      </w:r>
      <w:r w:rsidR="00BB22E6" w:rsidRPr="006D05D9">
        <w:rPr>
          <w:lang w:val="en-GB"/>
        </w:rPr>
        <w:t>(Lindstrom, 1985)</w:t>
      </w:r>
      <w:r w:rsidR="00BB22E6" w:rsidRPr="006D05D9">
        <w:rPr>
          <w:lang w:val="en-GB"/>
        </w:rPr>
        <w:fldChar w:fldCharType="end"/>
      </w:r>
      <w:r w:rsidR="00BB22E6" w:rsidRPr="006D05D9">
        <w:rPr>
          <w:lang w:val="en-GB"/>
        </w:rPr>
        <w:t>.</w:t>
      </w:r>
    </w:p>
    <w:p w14:paraId="7AC19F71" w14:textId="77777777" w:rsidR="003E47B0" w:rsidRPr="006D05D9" w:rsidRDefault="003E47B0" w:rsidP="003E47B0">
      <w:pPr>
        <w:ind w:firstLine="284"/>
        <w:rPr>
          <w:lang w:val="en-GB"/>
        </w:rPr>
      </w:pPr>
    </w:p>
    <w:p w14:paraId="65A74BD4" w14:textId="768EAC29" w:rsidR="00C52A57" w:rsidRPr="006D05D9" w:rsidRDefault="00C52A57" w:rsidP="003E47B0">
      <w:pPr>
        <w:ind w:firstLine="284"/>
        <w:rPr>
          <w:lang w:val="en-GB"/>
        </w:rPr>
      </w:pPr>
      <w:r w:rsidRPr="006D05D9">
        <w:rPr>
          <w:lang w:val="en-GB"/>
        </w:rPr>
        <w:t>Normalization of muscle activity by using MVIC is a common technique utilized to compare EMG activity between muscles within and between subjects</w:t>
      </w:r>
      <w:r w:rsidR="00562DFD" w:rsidRPr="006D05D9">
        <w:rPr>
          <w:lang w:val="en-GB"/>
        </w:rPr>
        <w:t xml:space="preserve"> </w:t>
      </w:r>
      <w:r w:rsidR="00562DFD" w:rsidRPr="006D05D9">
        <w:rPr>
          <w:lang w:val="en-GB"/>
        </w:rPr>
        <w:fldChar w:fldCharType="begin" w:fldLock="1"/>
      </w:r>
      <w:r w:rsidR="00286DAD" w:rsidRPr="006D05D9">
        <w:rPr>
          <w:lang w:val="en-GB"/>
        </w:rPr>
        <w:instrText>ADDIN CSL_CITATION {"citationItems":[{"id":"ITEM-1","itemData":{"DOI":"10.5772/49957","author":[{"dropping-particle":"","family":"Halaki","given":"Mark","non-dropping-particle":"","parse-names":false,"suffix":""},{"dropping-particle":"","family":"Gi","given":"Karen","non-dropping-particle":"","parse-names":false,"suffix":""}],"container-title":"Computational Intelligence in Electromyography Analysis - A Perspective on Current Applications and Future Challenges","id":"ITEM-1","issued":{"date-parts":[["2012","10","17"]]},"publisher":"InTech","title":"Normalization of EMG Signals: To Normalize or Not to Normalize and What to Normalize to?","type":"chapter"},"uris":["http://www.mendeley.com/documents/?uuid=3a1f41a8-f3e7-48dc-9ebf-995c97c04e19"]},{"id":"ITEM-2","itemData":{"DOI":"10.1016/j.clinbiomech.2019.07.007","ISSN":"02680033","author":[{"dropping-particle":"","family":"Zellers","given":"Jennifer A.","non-dropping-particle":"","parse-names":false,"suffix":""},{"dropping-particle":"","family":"Parker","given":"Sheridan","non-dropping-particle":"","parse-names":false,"suffix":""},{"dropping-particle":"","family":"Marmon","given":"Adam","non-dropping-particle":"","parse-names":false,"suffix":""},{"dropping-particle":"","family":"Grävare Silbernagel","given":"Karin","non-dropping-particle":"","parse-names":false,"suffix":""}],"container-title":"Clinical Biomechanics","id":"ITEM-2","issued":{"date-parts":[["2019","10"]]},"page":"104-108","title":"Muscle activation during maximum voluntary contraction and m-wave related in healthy but not in injured conditions: Implications when normalizing electromyography","type":"article-journal","volume":"69"},"uris":["http://www.mendeley.com/documents/?uuid=adef0cbe-310b-4899-91de-0625f9bc8f25"]}],"mendeley":{"formattedCitation":"(Halaki and Gi, 2012; Zellers et al., 2019)","plainTextFormattedCitation":"(Halaki and Gi, 2012; Zellers et al., 2019)","previouslyFormattedCitation":"(Halaki and Gi, 2012; Zellers et al., 2019)"},"properties":{"noteIndex":0},"schema":"https://github.com/citation-style-language/schema/raw/master/csl-citation.json"}</w:instrText>
      </w:r>
      <w:r w:rsidR="00562DFD" w:rsidRPr="006D05D9">
        <w:rPr>
          <w:lang w:val="en-GB"/>
        </w:rPr>
        <w:fldChar w:fldCharType="separate"/>
      </w:r>
      <w:r w:rsidR="00286DAD" w:rsidRPr="006D05D9">
        <w:rPr>
          <w:lang w:val="en-GB"/>
        </w:rPr>
        <w:t>(Halaki and Gi, 2012; Zellers et al., 2019)</w:t>
      </w:r>
      <w:r w:rsidR="00562DFD" w:rsidRPr="006D05D9">
        <w:rPr>
          <w:lang w:val="en-GB"/>
        </w:rPr>
        <w:fldChar w:fldCharType="end"/>
      </w:r>
      <w:r w:rsidRPr="006D05D9">
        <w:rPr>
          <w:lang w:val="en-GB"/>
        </w:rPr>
        <w:t xml:space="preserve">. </w:t>
      </w:r>
      <w:r w:rsidR="00171E76" w:rsidRPr="006D05D9">
        <w:rPr>
          <w:lang w:val="en-GB"/>
        </w:rPr>
        <w:t xml:space="preserve">Next, </w:t>
      </w:r>
      <w:r w:rsidR="00E91052" w:rsidRPr="006D05D9">
        <w:rPr>
          <w:lang w:val="en-GB"/>
        </w:rPr>
        <w:t>an</w:t>
      </w:r>
      <w:r w:rsidR="00421BC3" w:rsidRPr="006D05D9">
        <w:rPr>
          <w:lang w:val="en-GB"/>
        </w:rPr>
        <w:t xml:space="preserve"> </w:t>
      </w:r>
      <w:proofErr w:type="spellStart"/>
      <w:r w:rsidR="00421BC3" w:rsidRPr="006D05D9">
        <w:rPr>
          <w:lang w:val="en-GB"/>
        </w:rPr>
        <w:t>iMVC</w:t>
      </w:r>
      <w:proofErr w:type="spellEnd"/>
      <w:r w:rsidR="004C0065" w:rsidRPr="006D05D9">
        <w:rPr>
          <w:lang w:val="en-GB"/>
        </w:rPr>
        <w:t xml:space="preserve"> </w:t>
      </w:r>
      <w:r w:rsidRPr="006D05D9">
        <w:rPr>
          <w:lang w:val="en-GB"/>
        </w:rPr>
        <w:t>task was asked to be performed by participants prior to the test session to be taken as the reference value for muscle activity for each target muscle. MVIC signal was rectified by calculation of the root mean square</w:t>
      </w:r>
      <w:r w:rsidR="008870E6" w:rsidRPr="006D05D9">
        <w:rPr>
          <w:lang w:val="en-GB"/>
        </w:rPr>
        <w:t>d</w:t>
      </w:r>
      <w:r w:rsidRPr="006D05D9">
        <w:rPr>
          <w:lang w:val="en-GB"/>
        </w:rPr>
        <w:t>. Then, the maximum value obtained from the processed signal during all three repetitions was used as the reference value for normalizing the EMG signals, resulting in muscle activity from each task to be represented as a percentage of the maximum value (%</w:t>
      </w:r>
      <w:proofErr w:type="spellStart"/>
      <w:r w:rsidR="004C0065" w:rsidRPr="006D05D9">
        <w:rPr>
          <w:lang w:val="en-GB"/>
        </w:rPr>
        <w:t>iMVC</w:t>
      </w:r>
      <w:proofErr w:type="spellEnd"/>
      <w:r w:rsidRPr="006D05D9">
        <w:rPr>
          <w:lang w:val="en-GB"/>
        </w:rPr>
        <w:t>).</w:t>
      </w:r>
    </w:p>
    <w:p w14:paraId="5C04577E" w14:textId="77777777" w:rsidR="003E47B0" w:rsidRPr="006D05D9" w:rsidRDefault="003E47B0" w:rsidP="003E47B0">
      <w:pPr>
        <w:ind w:firstLine="284"/>
        <w:rPr>
          <w:lang w:val="en-GB"/>
        </w:rPr>
      </w:pPr>
    </w:p>
    <w:p w14:paraId="737EC63B" w14:textId="72992D71" w:rsidR="00193D09" w:rsidRPr="006D05D9" w:rsidRDefault="00C52A57" w:rsidP="003E47B0">
      <w:pPr>
        <w:ind w:firstLine="284"/>
        <w:rPr>
          <w:lang w:val="en-GB"/>
        </w:rPr>
      </w:pPr>
      <w:r w:rsidRPr="006D05D9">
        <w:rPr>
          <w:lang w:val="en-GB"/>
        </w:rPr>
        <w:t xml:space="preserve">Following normalized muscle activity calculations, </w:t>
      </w:r>
      <w:r w:rsidR="00193D09" w:rsidRPr="006D05D9">
        <w:rPr>
          <w:lang w:val="en-GB"/>
        </w:rPr>
        <w:t xml:space="preserve">threshold for levels of activity were set based on </w:t>
      </w:r>
      <w:r w:rsidR="00F03E59" w:rsidRPr="006D05D9">
        <w:rPr>
          <w:lang w:val="en-GB"/>
        </w:rPr>
        <w:t>previous studies</w:t>
      </w:r>
      <w:r w:rsidR="00222A00" w:rsidRPr="006D05D9">
        <w:rPr>
          <w:lang w:val="en-GB"/>
        </w:rPr>
        <w:t xml:space="preserve"> </w:t>
      </w:r>
      <w:r w:rsidR="00222A00" w:rsidRPr="006D05D9">
        <w:rPr>
          <w:lang w:val="en-GB"/>
        </w:rPr>
        <w:fldChar w:fldCharType="begin" w:fldLock="1"/>
      </w:r>
      <w:r w:rsidR="000C79DD" w:rsidRPr="006D05D9">
        <w:rPr>
          <w:lang w:val="en-GB"/>
        </w:rPr>
        <w:instrText>ADDIN CSL_CITATION {"citationItems":[{"id":"ITEM-1","itemData":{"DOI":"10.1016/j.clinbiomech.2019.07.007","ISSN":"02680033","author":[{"dropping-particle":"","family":"Zellers","given":"Jennifer A.","non-dropping-particle":"","parse-names":false,"suffix":""},{"dropping-particle":"","family":"Parker","given":"Sheridan","non-dropping-particle":"","parse-names":false,"suffix":""},{"dropping-particle":"","family":"Marmon","given":"Adam","non-dropping-particle":"","parse-names":false,"suffix":""},{"dropping-particle":"","family":"Grävare Silbernagel","given":"Karin","non-dropping-particle":"","parse-names":false,"suffix":""}],"container-title":"Clinical Biomechanics","id":"ITEM-1","issued":{"date-parts":[["2019","10"]]},"page":"104-108","title":"Muscle activation during maximum voluntary contraction and m-wave related in healthy but not in injured conditions: Implications when normalizing electromyography","type":"article-journal","volume":"69"},"uris":["http://www.mendeley.com/documents/?uuid=adef0cbe-310b-4899-91de-0625f9bc8f25"]},{"id":"ITEM-2","itemData":{"DOI":"10.1589/jpts.25.1529","ISSN":"0915-5287","author":[{"dropping-particle":"","family":"Park","given":"Soohee","non-dropping-particle":"","parse-names":false,"suffix":""}],"container-title":"Journal of Physical Therapy Science","id":"ITEM-2","issue":"12","issued":{"date-parts":[["2013"]]},"page":"1529-1531","title":"Comparison of Muscle Activation during Dominant Hand Wrist Flexion when Writing","type":"article-journal","volume":"25"},"uris":["http://www.mendeley.com/documents/?uuid=e28a8e1f-4c1f-4f4e-beda-39020e202368"]}],"mendeley":{"formattedCitation":"(Park, 2013; Zellers et al., 2019)","plainTextFormattedCitation":"(Park, 2013; Zellers et al., 2019)","previouslyFormattedCitation":"(Park, 2013; Zellers et al., 2019)"},"properties":{"noteIndex":0},"schema":"https://github.com/citation-style-language/schema/raw/master/csl-citation.json"}</w:instrText>
      </w:r>
      <w:r w:rsidR="00222A00" w:rsidRPr="006D05D9">
        <w:rPr>
          <w:lang w:val="en-GB"/>
        </w:rPr>
        <w:fldChar w:fldCharType="separate"/>
      </w:r>
      <w:r w:rsidR="00966163" w:rsidRPr="006D05D9">
        <w:rPr>
          <w:lang w:val="en-GB"/>
        </w:rPr>
        <w:t>(Park, 2013; Zellers et al., 2019)</w:t>
      </w:r>
      <w:r w:rsidR="00222A00" w:rsidRPr="006D05D9">
        <w:rPr>
          <w:lang w:val="en-GB"/>
        </w:rPr>
        <w:fldChar w:fldCharType="end"/>
      </w:r>
      <w:r w:rsidR="004D6ED7" w:rsidRPr="006D05D9">
        <w:rPr>
          <w:lang w:val="en-GB"/>
        </w:rPr>
        <w:t xml:space="preserve">. Therefore, </w:t>
      </w:r>
      <w:r w:rsidR="00852A6D" w:rsidRPr="006D05D9">
        <w:rPr>
          <w:lang w:val="en-GB"/>
        </w:rPr>
        <w:t>mean %</w:t>
      </w:r>
      <w:proofErr w:type="spellStart"/>
      <w:r w:rsidR="00852A6D" w:rsidRPr="006D05D9">
        <w:rPr>
          <w:lang w:val="en-GB"/>
        </w:rPr>
        <w:t>iMVC</w:t>
      </w:r>
      <w:proofErr w:type="spellEnd"/>
      <w:r w:rsidR="00852A6D" w:rsidRPr="006D05D9">
        <w:rPr>
          <w:lang w:val="en-GB"/>
        </w:rPr>
        <w:t xml:space="preserve"> for arm muscles during writing </w:t>
      </w:r>
      <w:r w:rsidR="00335970" w:rsidRPr="006D05D9">
        <w:rPr>
          <w:lang w:val="en-GB"/>
        </w:rPr>
        <w:t xml:space="preserve">and typing </w:t>
      </w:r>
      <w:r w:rsidR="00852A6D" w:rsidRPr="006D05D9">
        <w:rPr>
          <w:lang w:val="en-GB"/>
        </w:rPr>
        <w:t>tasks</w:t>
      </w:r>
      <w:r w:rsidR="00335970" w:rsidRPr="006D05D9">
        <w:rPr>
          <w:lang w:val="en-GB"/>
        </w:rPr>
        <w:t xml:space="preserve"> was reported </w:t>
      </w:r>
      <w:r w:rsidR="00360F01" w:rsidRPr="006D05D9">
        <w:rPr>
          <w:lang w:val="en-GB"/>
        </w:rPr>
        <w:t>between 10 to 15 %. Thus, low level of muscle activity was set a</w:t>
      </w:r>
      <w:r w:rsidR="00E15C50" w:rsidRPr="006D05D9">
        <w:rPr>
          <w:lang w:val="en-GB"/>
        </w:rPr>
        <w:t>t</w:t>
      </w:r>
      <w:r w:rsidR="00360F01" w:rsidRPr="006D05D9">
        <w:rPr>
          <w:lang w:val="en-GB"/>
        </w:rPr>
        <w:t xml:space="preserve"> </w:t>
      </w:r>
      <w:r w:rsidR="00852A6D" w:rsidRPr="006D05D9">
        <w:rPr>
          <w:lang w:val="en-GB"/>
        </w:rPr>
        <w:t xml:space="preserve">5% of </w:t>
      </w:r>
      <w:proofErr w:type="spellStart"/>
      <w:r w:rsidR="00852A6D" w:rsidRPr="006D05D9">
        <w:rPr>
          <w:lang w:val="en-GB"/>
        </w:rPr>
        <w:t>iMVC</w:t>
      </w:r>
      <w:proofErr w:type="spellEnd"/>
      <w:r w:rsidR="00852A6D" w:rsidRPr="006D05D9">
        <w:rPr>
          <w:lang w:val="en-GB"/>
        </w:rPr>
        <w:t>,</w:t>
      </w:r>
      <w:r w:rsidR="00360F01" w:rsidRPr="006D05D9">
        <w:rPr>
          <w:lang w:val="en-GB"/>
        </w:rPr>
        <w:t xml:space="preserve"> moderate level </w:t>
      </w:r>
      <w:r w:rsidR="00E15C50" w:rsidRPr="006D05D9">
        <w:rPr>
          <w:lang w:val="en-GB"/>
        </w:rPr>
        <w:t>at</w:t>
      </w:r>
      <w:r w:rsidR="00360F01" w:rsidRPr="006D05D9">
        <w:rPr>
          <w:lang w:val="en-GB"/>
        </w:rPr>
        <w:t xml:space="preserve"> 15%, high level </w:t>
      </w:r>
      <w:r w:rsidR="00E15C50" w:rsidRPr="006D05D9">
        <w:rPr>
          <w:lang w:val="en-GB"/>
        </w:rPr>
        <w:t>t</w:t>
      </w:r>
      <w:r w:rsidR="00360F01" w:rsidRPr="006D05D9">
        <w:rPr>
          <w:lang w:val="en-GB"/>
        </w:rPr>
        <w:t xml:space="preserve"> </w:t>
      </w:r>
      <w:r w:rsidR="00E15C50" w:rsidRPr="006D05D9">
        <w:rPr>
          <w:lang w:val="en-GB"/>
        </w:rPr>
        <w:t>25%, and very high levels of activity was any value beyond 25%.</w:t>
      </w:r>
    </w:p>
    <w:p w14:paraId="151FF472" w14:textId="77777777" w:rsidR="00C52A57" w:rsidRPr="006D05D9" w:rsidRDefault="00C52A57" w:rsidP="00FB4136">
      <w:pPr>
        <w:rPr>
          <w:b/>
          <w:bCs/>
          <w:sz w:val="24"/>
          <w:szCs w:val="24"/>
          <w:lang w:val="en-GB"/>
        </w:rPr>
      </w:pPr>
    </w:p>
    <w:p w14:paraId="01D09238" w14:textId="5938834F" w:rsidR="00580FBE" w:rsidRPr="006D05D9" w:rsidRDefault="0069260C" w:rsidP="00C52A57">
      <w:pPr>
        <w:rPr>
          <w:b/>
          <w:bCs/>
          <w:i/>
          <w:iCs/>
          <w:lang w:val="en-GB"/>
        </w:rPr>
      </w:pPr>
      <w:r w:rsidRPr="006D05D9">
        <w:rPr>
          <w:b/>
          <w:bCs/>
          <w:i/>
          <w:iCs/>
          <w:lang w:val="en-GB"/>
        </w:rPr>
        <w:t xml:space="preserve">2.5.3. </w:t>
      </w:r>
      <w:r w:rsidR="00C52A57" w:rsidRPr="006D05D9">
        <w:rPr>
          <w:b/>
          <w:bCs/>
          <w:i/>
          <w:iCs/>
          <w:lang w:val="en-GB"/>
        </w:rPr>
        <w:t xml:space="preserve">Performance. </w:t>
      </w:r>
    </w:p>
    <w:p w14:paraId="2BAA8068" w14:textId="77777777" w:rsidR="00ED59FF" w:rsidRPr="006D05D9" w:rsidRDefault="00ED59FF" w:rsidP="00ED59FF">
      <w:pPr>
        <w:ind w:firstLine="284"/>
        <w:rPr>
          <w:lang w:val="en-GB"/>
        </w:rPr>
      </w:pPr>
    </w:p>
    <w:p w14:paraId="215B1631" w14:textId="6A7A6124" w:rsidR="00C52A57" w:rsidRPr="006D05D9" w:rsidRDefault="00C52A57" w:rsidP="00ED59FF">
      <w:pPr>
        <w:ind w:firstLine="284"/>
        <w:rPr>
          <w:lang w:val="en-GB"/>
        </w:rPr>
      </w:pPr>
      <w:r w:rsidRPr="006D05D9">
        <w:rPr>
          <w:lang w:val="en-GB"/>
        </w:rPr>
        <w:t>Performance variables were processed depending on each source of data</w:t>
      </w:r>
      <w:r w:rsidR="00953A4D" w:rsidRPr="006D05D9">
        <w:rPr>
          <w:lang w:val="en-GB"/>
        </w:rPr>
        <w:t>.</w:t>
      </w:r>
      <w:r w:rsidRPr="006D05D9">
        <w:rPr>
          <w:lang w:val="en-GB"/>
        </w:rPr>
        <w:t xml:space="preserve"> </w:t>
      </w:r>
      <w:r w:rsidR="00953A4D" w:rsidRPr="006D05D9">
        <w:rPr>
          <w:lang w:val="en-GB"/>
        </w:rPr>
        <w:t>F</w:t>
      </w:r>
      <w:r w:rsidRPr="006D05D9">
        <w:rPr>
          <w:lang w:val="en-GB"/>
        </w:rPr>
        <w:t xml:space="preserve">or writing, reading, and typing tests, data was obtained from the Vicon system combined with the designated text to be written, read, or typed, taking into consideration the final duration of the task, after the </w:t>
      </w:r>
      <w:r w:rsidR="00335652" w:rsidRPr="006D05D9">
        <w:rPr>
          <w:lang w:val="en-GB"/>
        </w:rPr>
        <w:t>event-related</w:t>
      </w:r>
      <w:r w:rsidRPr="006D05D9">
        <w:rPr>
          <w:lang w:val="en-GB"/>
        </w:rPr>
        <w:t xml:space="preserve"> preprocessing, and the number of characters of each text. Data was then averaged for each subject. For the manipulation test, data was obtained</w:t>
      </w:r>
      <w:r w:rsidR="00953A4D" w:rsidRPr="006D05D9">
        <w:rPr>
          <w:lang w:val="en-GB"/>
        </w:rPr>
        <w:t xml:space="preserve"> also</w:t>
      </w:r>
      <w:r w:rsidRPr="006D05D9">
        <w:rPr>
          <w:lang w:val="en-GB"/>
        </w:rPr>
        <w:t xml:space="preserve"> from the Vicon system, </w:t>
      </w:r>
      <w:r w:rsidR="004C65EA" w:rsidRPr="006D05D9">
        <w:rPr>
          <w:lang w:val="en-GB"/>
        </w:rPr>
        <w:t xml:space="preserve">but </w:t>
      </w:r>
      <w:r w:rsidRPr="006D05D9">
        <w:rPr>
          <w:lang w:val="en-GB"/>
        </w:rPr>
        <w:t xml:space="preserve">taking only into consideration the time it took for each participant to finish the task at each condition. Finally, performance evaluation in the use of devices were obtained from Fitts Touch and </w:t>
      </w:r>
      <w:proofErr w:type="spellStart"/>
      <w:r w:rsidRPr="006D05D9">
        <w:rPr>
          <w:lang w:val="en-GB"/>
        </w:rPr>
        <w:t>GoFitts</w:t>
      </w:r>
      <w:proofErr w:type="spellEnd"/>
      <w:r w:rsidRPr="006D05D9">
        <w:rPr>
          <w:lang w:val="en-GB"/>
        </w:rPr>
        <w:t xml:space="preserve"> test software</w:t>
      </w:r>
      <w:r w:rsidR="009A31D2" w:rsidRPr="006D05D9">
        <w:rPr>
          <w:lang w:val="en-GB"/>
        </w:rPr>
        <w:t>, using</w:t>
      </w:r>
      <w:r w:rsidRPr="006D05D9">
        <w:rPr>
          <w:lang w:val="en-GB"/>
        </w:rPr>
        <w:t xml:space="preserve"> the Fitts index of Performance</w:t>
      </w:r>
      <w:r w:rsidR="002F5CBB" w:rsidRPr="006D05D9">
        <w:rPr>
          <w:lang w:val="en-GB"/>
        </w:rPr>
        <w:t>. The index was</w:t>
      </w:r>
      <w:r w:rsidRPr="006D05D9">
        <w:rPr>
          <w:lang w:val="en-GB"/>
        </w:rPr>
        <w:t xml:space="preserve"> calculated as the relationship between the task effective index of difficulty (in bits) computed from the movement amplitude and target width, and the mean of movement time (in seconds), as previously shown in equation 3.</w:t>
      </w:r>
    </w:p>
    <w:p w14:paraId="1505CB5E" w14:textId="77777777" w:rsidR="00FB5420" w:rsidRPr="006D05D9" w:rsidRDefault="00FB5420" w:rsidP="00ED59FF">
      <w:pPr>
        <w:ind w:firstLine="284"/>
        <w:rPr>
          <w:lang w:val="en-GB"/>
        </w:rPr>
      </w:pPr>
    </w:p>
    <w:p w14:paraId="6ACC1B73" w14:textId="033B9BFB" w:rsidR="00580FBE" w:rsidRPr="006D05D9" w:rsidRDefault="0069260C" w:rsidP="00C52A57">
      <w:pPr>
        <w:rPr>
          <w:b/>
          <w:bCs/>
          <w:i/>
          <w:iCs/>
          <w:lang w:val="en-GB"/>
        </w:rPr>
      </w:pPr>
      <w:r w:rsidRPr="006D05D9">
        <w:rPr>
          <w:b/>
          <w:bCs/>
          <w:i/>
          <w:iCs/>
          <w:lang w:val="en-GB"/>
        </w:rPr>
        <w:t xml:space="preserve">2.5.4. </w:t>
      </w:r>
      <w:r w:rsidR="00FB5420" w:rsidRPr="006D05D9">
        <w:rPr>
          <w:b/>
          <w:bCs/>
          <w:i/>
          <w:iCs/>
          <w:lang w:val="en-GB"/>
        </w:rPr>
        <w:t xml:space="preserve">Preference. </w:t>
      </w:r>
    </w:p>
    <w:p w14:paraId="4886F9D9" w14:textId="77777777" w:rsidR="00ED59FF" w:rsidRPr="006D05D9" w:rsidRDefault="00ED59FF" w:rsidP="00C52A57">
      <w:pPr>
        <w:rPr>
          <w:b/>
          <w:bCs/>
          <w:i/>
          <w:iCs/>
          <w:lang w:val="en-GB"/>
        </w:rPr>
      </w:pPr>
    </w:p>
    <w:p w14:paraId="3CA18698" w14:textId="5BA56F2A" w:rsidR="00FB5420" w:rsidRPr="006D05D9" w:rsidRDefault="00C71EB9" w:rsidP="00ED59FF">
      <w:pPr>
        <w:ind w:firstLine="284"/>
        <w:rPr>
          <w:lang w:val="en-GB"/>
        </w:rPr>
      </w:pPr>
      <w:r w:rsidRPr="006D05D9">
        <w:rPr>
          <w:lang w:val="en-GB"/>
        </w:rPr>
        <w:t xml:space="preserve">Preference </w:t>
      </w:r>
      <w:r w:rsidR="00FB4899" w:rsidRPr="006D05D9">
        <w:rPr>
          <w:lang w:val="en-GB"/>
        </w:rPr>
        <w:t>score given by two</w:t>
      </w:r>
      <w:r w:rsidR="00307D18" w:rsidRPr="006D05D9">
        <w:rPr>
          <w:lang w:val="en-GB"/>
        </w:rPr>
        <w:t xml:space="preserve"> </w:t>
      </w:r>
      <w:r w:rsidR="00FB4899" w:rsidRPr="006D05D9">
        <w:rPr>
          <w:lang w:val="en-GB"/>
        </w:rPr>
        <w:t>option</w:t>
      </w:r>
      <w:r w:rsidR="00307D18" w:rsidRPr="006D05D9">
        <w:rPr>
          <w:lang w:val="en-GB"/>
        </w:rPr>
        <w:t>s:</w:t>
      </w:r>
      <w:r w:rsidR="00FB4899" w:rsidRPr="006D05D9">
        <w:rPr>
          <w:lang w:val="en-GB"/>
        </w:rPr>
        <w:t xml:space="preserve"> </w:t>
      </w:r>
      <w:bookmarkStart w:id="2" w:name="OLE_LINK4"/>
      <w:r w:rsidR="00307D18" w:rsidRPr="006D05D9">
        <w:rPr>
          <w:lang w:val="en-GB"/>
        </w:rPr>
        <w:t>O</w:t>
      </w:r>
      <w:r w:rsidR="00FA0D20" w:rsidRPr="006D05D9">
        <w:rPr>
          <w:lang w:val="en-GB"/>
        </w:rPr>
        <w:t xml:space="preserve">riginal desk height first </w:t>
      </w:r>
      <w:bookmarkEnd w:id="2"/>
      <w:r w:rsidR="00FA0D20" w:rsidRPr="006D05D9">
        <w:rPr>
          <w:lang w:val="en-GB"/>
        </w:rPr>
        <w:t>or Proposal desk height first</w:t>
      </w:r>
      <w:r w:rsidR="00307D18" w:rsidRPr="006D05D9">
        <w:rPr>
          <w:lang w:val="en-GB"/>
        </w:rPr>
        <w:t>. The</w:t>
      </w:r>
      <w:r w:rsidR="00FA0D20" w:rsidRPr="006D05D9">
        <w:rPr>
          <w:lang w:val="en-GB"/>
        </w:rPr>
        <w:t xml:space="preserve"> </w:t>
      </w:r>
      <w:r w:rsidR="00FB4899" w:rsidRPr="006D05D9">
        <w:rPr>
          <w:lang w:val="en-GB"/>
        </w:rPr>
        <w:t xml:space="preserve">survey </w:t>
      </w:r>
      <w:r w:rsidR="00013F8E" w:rsidRPr="006D05D9">
        <w:rPr>
          <w:lang w:val="en-GB"/>
        </w:rPr>
        <w:t xml:space="preserve">was manually processed and </w:t>
      </w:r>
      <w:r w:rsidR="005176E7" w:rsidRPr="006D05D9">
        <w:rPr>
          <w:lang w:val="en-GB"/>
        </w:rPr>
        <w:t>exported into a csv file</w:t>
      </w:r>
      <w:r w:rsidR="00E91052" w:rsidRPr="006D05D9">
        <w:rPr>
          <w:lang w:val="en-GB"/>
        </w:rPr>
        <w:t>.</w:t>
      </w:r>
    </w:p>
    <w:p w14:paraId="1D50E3F7" w14:textId="77777777" w:rsidR="006E2C24" w:rsidRPr="006D05D9" w:rsidRDefault="006E2C24" w:rsidP="00C52A57">
      <w:pPr>
        <w:rPr>
          <w:lang w:val="en-GB"/>
        </w:rPr>
      </w:pPr>
    </w:p>
    <w:p w14:paraId="21484F1F" w14:textId="169F509A" w:rsidR="00580FBE" w:rsidRPr="006D05D9" w:rsidRDefault="0069260C" w:rsidP="00C52A57">
      <w:pPr>
        <w:rPr>
          <w:b/>
          <w:bCs/>
          <w:i/>
          <w:iCs/>
          <w:lang w:val="en-GB"/>
        </w:rPr>
      </w:pPr>
      <w:r w:rsidRPr="006D05D9">
        <w:rPr>
          <w:b/>
          <w:bCs/>
          <w:i/>
          <w:iCs/>
          <w:lang w:val="en-GB"/>
        </w:rPr>
        <w:t xml:space="preserve">2.5.5. </w:t>
      </w:r>
      <w:r w:rsidR="006E2C24" w:rsidRPr="006D05D9">
        <w:rPr>
          <w:b/>
          <w:bCs/>
          <w:i/>
          <w:iCs/>
          <w:lang w:val="en-GB"/>
        </w:rPr>
        <w:t xml:space="preserve">Discomfort. </w:t>
      </w:r>
    </w:p>
    <w:p w14:paraId="1669D364" w14:textId="77777777" w:rsidR="00ED59FF" w:rsidRPr="006D05D9" w:rsidRDefault="00ED59FF" w:rsidP="00C52A57">
      <w:pPr>
        <w:rPr>
          <w:b/>
          <w:bCs/>
          <w:i/>
          <w:iCs/>
          <w:lang w:val="en-GB"/>
        </w:rPr>
      </w:pPr>
    </w:p>
    <w:p w14:paraId="797555BF" w14:textId="77F9BC0E" w:rsidR="006E2C24" w:rsidRPr="006D05D9" w:rsidRDefault="00273368" w:rsidP="00ED59FF">
      <w:pPr>
        <w:ind w:firstLine="284"/>
        <w:rPr>
          <w:lang w:val="en-GB"/>
        </w:rPr>
      </w:pPr>
      <w:r w:rsidRPr="006D05D9">
        <w:rPr>
          <w:lang w:val="en-GB"/>
        </w:rPr>
        <w:lastRenderedPageBreak/>
        <w:t xml:space="preserve">Indicates the level of discomfort of each subject, comparing pre (basal) and post levels of discomfort regarding the use of each experimental condition, original and proposal desk height. </w:t>
      </w:r>
      <w:r w:rsidR="00062BF1" w:rsidRPr="006D05D9">
        <w:rPr>
          <w:lang w:val="en-GB"/>
        </w:rPr>
        <w:t xml:space="preserve">Discomfort data were normalized by subtracting pre-tasks discomfort ratings from </w:t>
      </w:r>
      <w:r w:rsidR="002312EF" w:rsidRPr="006D05D9">
        <w:rPr>
          <w:lang w:val="en-GB"/>
        </w:rPr>
        <w:t>post-tasks</w:t>
      </w:r>
      <w:r w:rsidR="00062BF1" w:rsidRPr="006D05D9">
        <w:rPr>
          <w:lang w:val="en-GB"/>
        </w:rPr>
        <w:t xml:space="preserve"> discomfort ratings obtained during the same experimental condition </w:t>
      </w:r>
      <w:r w:rsidR="00062BF1" w:rsidRPr="006D05D9">
        <w:rPr>
          <w:lang w:val="en-GB"/>
        </w:rPr>
        <w:fldChar w:fldCharType="begin" w:fldLock="1"/>
      </w:r>
      <w:r w:rsidR="00286DAD" w:rsidRPr="006D05D9">
        <w:rPr>
          <w:lang w:val="en-GB"/>
        </w:rPr>
        <w:instrText>ADDIN CSL_CITATION {"citationItems":[{"id":"ITEM-1","itemData":{"DOI":"10.1177/0018720812466672","ISSN":"0018-7208","PMID":"23964416","abstract":"OBJECTIVE: The aim of this experiment was to investigate the effects of anti-fatigue mats on perceived discomfort and behavioral responses (weight-shifting between the feet) during prolonged standing. BACKGROUND: Prolonged standing is a common requirement in the workplace and is a well-known cause of discomfort. Anti-fatigue mats have been shown to reduce discomfort resulting from standing, but no study has identified a particular mat that performs better than others or examined the relationship between discomfort and weight-shifting. METHODS: Participants stood for 4 hours on four commercially available \"anti-fatigue\" mats and a hard surface (control condition). Subjective ratings of discomfort were measured, and in-shoe pressure was recorded and used to evaluate weight-shifting during standing. RESULTS: Compared to the control condition, after 4 hours of standing discomfort was reduced by three of the four mats, but discomfort ratings did not significantly differ among mats. However, significant differences among mats were found in the frequency of weight-shifting, and weight-shifting was positively correlated to discomfort. CONCLUSION: These results suggest that subjective reports of discomfort were not sufficiently sensitive to detect differences among mats for the experimental conditions tested. Behavioral responses, specifically weight-shifting between feet, may provide a more sensitive alternative to subjective reports.","author":[{"dropping-particle":"","family":"Wiggermann","given":"N.","non-dropping-particle":"","parse-names":false,"suffix":""},{"dropping-particle":"","family":"Keyserling","given":"W. M.","non-dropping-particle":"","parse-names":false,"suffix":""}],"container-title":"Human Factors: The Journal of the Human Factors and Ergonomics Society","id":"ITEM-1","issue":"4","issued":{"date-parts":[["2012"]]},"page":"764-775","title":"Effects of Anti-Fatigue Mats on Perceived Discomfort and Weight-Shifting During Prolonged Standing","type":"article-journal","volume":"55"},"uris":["http://www.mendeley.com/documents/?uuid=a5f6fb3d-4e19-45d2-b9e7-c278a358337b"]}],"mendeley":{"formattedCitation":"(Wiggermann and Keyserling, 2012)","plainTextFormattedCitation":"(Wiggermann and Keyserling, 2012)","previouslyFormattedCitation":"(Wiggermann and Keyserling, 2012)"},"properties":{"noteIndex":0},"schema":"https://github.com/citation-style-language/schema/raw/master/csl-citation.json"}</w:instrText>
      </w:r>
      <w:r w:rsidR="00062BF1" w:rsidRPr="006D05D9">
        <w:rPr>
          <w:lang w:val="en-GB"/>
        </w:rPr>
        <w:fldChar w:fldCharType="separate"/>
      </w:r>
      <w:r w:rsidR="00286DAD" w:rsidRPr="006D05D9">
        <w:rPr>
          <w:lang w:val="en-GB"/>
        </w:rPr>
        <w:t>(Wiggermann and Keyserling, 2012)</w:t>
      </w:r>
      <w:r w:rsidR="00062BF1" w:rsidRPr="006D05D9">
        <w:rPr>
          <w:lang w:val="en-GB"/>
        </w:rPr>
        <w:fldChar w:fldCharType="end"/>
      </w:r>
      <w:r w:rsidR="00062BF1" w:rsidRPr="006D05D9">
        <w:rPr>
          <w:lang w:val="en-GB"/>
        </w:rPr>
        <w:t xml:space="preserve">. </w:t>
      </w:r>
      <w:r w:rsidR="00DA5189" w:rsidRPr="006D05D9">
        <w:rPr>
          <w:lang w:val="en-GB"/>
        </w:rPr>
        <w:t xml:space="preserve">Positive values of discomfort against </w:t>
      </w:r>
      <w:r w:rsidR="00F83C29" w:rsidRPr="006D05D9">
        <w:rPr>
          <w:lang w:val="en-GB"/>
        </w:rPr>
        <w:t>baseline</w:t>
      </w:r>
      <w:r w:rsidR="0041363E" w:rsidRPr="006D05D9">
        <w:rPr>
          <w:lang w:val="en-GB"/>
        </w:rPr>
        <w:t>, was interpreted</w:t>
      </w:r>
      <w:r w:rsidR="00F83C29" w:rsidRPr="006D05D9">
        <w:rPr>
          <w:lang w:val="en-GB"/>
        </w:rPr>
        <w:t xml:space="preserve"> </w:t>
      </w:r>
      <w:r w:rsidR="0041363E" w:rsidRPr="006D05D9">
        <w:rPr>
          <w:lang w:val="en-GB"/>
        </w:rPr>
        <w:t>as an</w:t>
      </w:r>
      <w:r w:rsidR="00F83C29" w:rsidRPr="006D05D9">
        <w:rPr>
          <w:lang w:val="en-GB"/>
        </w:rPr>
        <w:t xml:space="preserve"> increase in discomfort.</w:t>
      </w:r>
    </w:p>
    <w:p w14:paraId="457BB230" w14:textId="77777777" w:rsidR="00C52A57" w:rsidRPr="006D05D9" w:rsidRDefault="00C52A57" w:rsidP="00FB4136">
      <w:pPr>
        <w:rPr>
          <w:b/>
          <w:bCs/>
          <w:sz w:val="24"/>
          <w:szCs w:val="24"/>
          <w:lang w:val="en-GB"/>
        </w:rPr>
      </w:pPr>
    </w:p>
    <w:p w14:paraId="6251B395" w14:textId="172D4F00" w:rsidR="00C51486" w:rsidRPr="006D05D9" w:rsidRDefault="00D30469" w:rsidP="00FB4136">
      <w:pPr>
        <w:rPr>
          <w:b/>
          <w:bCs/>
          <w:sz w:val="24"/>
          <w:szCs w:val="24"/>
          <w:lang w:val="en-GB"/>
        </w:rPr>
      </w:pPr>
      <w:r w:rsidRPr="006D05D9">
        <w:rPr>
          <w:b/>
          <w:bCs/>
          <w:sz w:val="24"/>
          <w:szCs w:val="24"/>
          <w:lang w:val="en-GB"/>
        </w:rPr>
        <w:t>2.6 S</w:t>
      </w:r>
      <w:r w:rsidR="00C51486" w:rsidRPr="006D05D9">
        <w:rPr>
          <w:b/>
          <w:bCs/>
          <w:sz w:val="24"/>
          <w:szCs w:val="24"/>
          <w:lang w:val="en-GB"/>
        </w:rPr>
        <w:t>tatistical analysis</w:t>
      </w:r>
    </w:p>
    <w:p w14:paraId="624A89B0" w14:textId="77777777" w:rsidR="00ED59FF" w:rsidRPr="006D05D9" w:rsidRDefault="00ED59FF" w:rsidP="00FB4136">
      <w:pPr>
        <w:rPr>
          <w:lang w:val="en-GB"/>
        </w:rPr>
      </w:pPr>
    </w:p>
    <w:p w14:paraId="61BBE5B4" w14:textId="73501535" w:rsidR="00062E1C" w:rsidRPr="006D05D9" w:rsidRDefault="0034153A" w:rsidP="00ED59FF">
      <w:pPr>
        <w:ind w:firstLine="284"/>
        <w:rPr>
          <w:lang w:val="en-GB"/>
        </w:rPr>
      </w:pPr>
      <w:r w:rsidRPr="006D05D9">
        <w:rPr>
          <w:lang w:val="en-GB"/>
        </w:rPr>
        <w:t>Following the same structure</w:t>
      </w:r>
      <w:r w:rsidR="0074377D" w:rsidRPr="006D05D9">
        <w:rPr>
          <w:lang w:val="en-GB"/>
        </w:rPr>
        <w:t xml:space="preserve">, </w:t>
      </w:r>
      <w:r w:rsidR="00C52A57" w:rsidRPr="006D05D9">
        <w:rPr>
          <w:lang w:val="en-GB"/>
        </w:rPr>
        <w:t>all</w:t>
      </w:r>
      <w:r w:rsidR="00BC22F3" w:rsidRPr="006D05D9">
        <w:rPr>
          <w:lang w:val="en-GB"/>
        </w:rPr>
        <w:t xml:space="preserve"> statistical analysis was performed using GraphPad Prism </w:t>
      </w:r>
      <w:r w:rsidR="00747488" w:rsidRPr="006D05D9">
        <w:rPr>
          <w:lang w:val="en-GB"/>
        </w:rPr>
        <w:t xml:space="preserve">software </w:t>
      </w:r>
      <w:r w:rsidR="00BC22F3" w:rsidRPr="006D05D9">
        <w:rPr>
          <w:lang w:val="en-GB"/>
        </w:rPr>
        <w:t xml:space="preserve">(version 9.3 for Windows, GraphPad Software, San Diego, California USA, </w:t>
      </w:r>
      <w:r w:rsidR="004A4118" w:rsidRPr="006D05D9">
        <w:rPr>
          <w:lang w:val="en-GB"/>
        </w:rPr>
        <w:t>www.graphpad.com</w:t>
      </w:r>
      <w:r w:rsidR="00BC22F3" w:rsidRPr="006D05D9">
        <w:rPr>
          <w:lang w:val="en-GB"/>
        </w:rPr>
        <w:t>).</w:t>
      </w:r>
      <w:r w:rsidR="004A4118" w:rsidRPr="006D05D9">
        <w:rPr>
          <w:lang w:val="en-GB"/>
        </w:rPr>
        <w:t xml:space="preserve"> </w:t>
      </w:r>
      <w:r w:rsidR="004A4118" w:rsidRPr="006D05D9">
        <w:rPr>
          <w:rStyle w:val="nfasis"/>
          <w:i w:val="0"/>
          <w:iCs w:val="0"/>
          <w:lang w:val="en-GB"/>
        </w:rPr>
        <w:t xml:space="preserve">To determine the type of statistical analysis to be used on the </w:t>
      </w:r>
      <w:r w:rsidR="00FB207C" w:rsidRPr="006D05D9">
        <w:rPr>
          <w:rStyle w:val="nfasis"/>
          <w:i w:val="0"/>
          <w:iCs w:val="0"/>
          <w:lang w:val="en-GB"/>
        </w:rPr>
        <w:t>performance data</w:t>
      </w:r>
      <w:r w:rsidR="004A4118" w:rsidRPr="006D05D9">
        <w:rPr>
          <w:rStyle w:val="nfasis"/>
          <w:i w:val="0"/>
          <w:iCs w:val="0"/>
          <w:lang w:val="en-GB"/>
        </w:rPr>
        <w:t xml:space="preserve">, a distribution test was performed for each subset of data </w:t>
      </w:r>
      <w:r w:rsidR="004A4118" w:rsidRPr="006D05D9">
        <w:rPr>
          <w:lang w:val="en-GB"/>
        </w:rPr>
        <w:t>using Anderson-Darling, D’Agostino &amp; Pearson, Shapiro-Wilk, and Kolmogorov-Smirnov tests</w:t>
      </w:r>
      <w:r w:rsidR="00FB207C" w:rsidRPr="006D05D9">
        <w:rPr>
          <w:lang w:val="en-GB"/>
        </w:rPr>
        <w:t xml:space="preserve">. Distribution </w:t>
      </w:r>
      <w:r w:rsidR="00AA2867" w:rsidRPr="006D05D9">
        <w:rPr>
          <w:lang w:val="en-GB"/>
        </w:rPr>
        <w:t xml:space="preserve">for electromyography </w:t>
      </w:r>
      <w:r w:rsidR="00AA2CE6" w:rsidRPr="006D05D9">
        <w:rPr>
          <w:lang w:val="en-GB"/>
        </w:rPr>
        <w:t xml:space="preserve">and kinematics </w:t>
      </w:r>
      <w:r w:rsidR="00AA2867" w:rsidRPr="006D05D9">
        <w:rPr>
          <w:lang w:val="en-GB"/>
        </w:rPr>
        <w:t xml:space="preserve">data was determined using a QQ plot. </w:t>
      </w:r>
    </w:p>
    <w:p w14:paraId="755B791C" w14:textId="77777777" w:rsidR="007776CE" w:rsidRPr="006D05D9" w:rsidRDefault="007776CE" w:rsidP="00FB4136">
      <w:pPr>
        <w:rPr>
          <w:b/>
          <w:bCs/>
          <w:lang w:val="en-GB"/>
        </w:rPr>
      </w:pPr>
    </w:p>
    <w:p w14:paraId="7C73573B" w14:textId="5D4F3716" w:rsidR="00580FBE" w:rsidRPr="006D05D9" w:rsidRDefault="0069260C" w:rsidP="00AA2867">
      <w:pPr>
        <w:rPr>
          <w:b/>
          <w:bCs/>
          <w:lang w:val="en-GB"/>
        </w:rPr>
      </w:pPr>
      <w:r w:rsidRPr="006D05D9">
        <w:rPr>
          <w:b/>
          <w:bCs/>
          <w:lang w:val="en-GB"/>
        </w:rPr>
        <w:t xml:space="preserve">2.6.1 </w:t>
      </w:r>
      <w:r w:rsidR="006E2C24" w:rsidRPr="006D05D9">
        <w:rPr>
          <w:b/>
          <w:bCs/>
          <w:lang w:val="en-GB"/>
        </w:rPr>
        <w:t>Kinematics</w:t>
      </w:r>
      <w:r w:rsidR="004A4118" w:rsidRPr="006D05D9">
        <w:rPr>
          <w:b/>
          <w:bCs/>
          <w:lang w:val="en-GB"/>
        </w:rPr>
        <w:t>.</w:t>
      </w:r>
      <w:r w:rsidR="00E0257D" w:rsidRPr="006D05D9">
        <w:rPr>
          <w:b/>
          <w:bCs/>
          <w:lang w:val="en-GB"/>
        </w:rPr>
        <w:t xml:space="preserve"> </w:t>
      </w:r>
    </w:p>
    <w:p w14:paraId="24EFFE84" w14:textId="77777777" w:rsidR="006A1872" w:rsidRPr="006D05D9" w:rsidRDefault="006A1872" w:rsidP="00ED59FF">
      <w:pPr>
        <w:ind w:firstLine="284"/>
        <w:rPr>
          <w:lang w:val="en-GB"/>
        </w:rPr>
      </w:pPr>
    </w:p>
    <w:p w14:paraId="2D9E5625" w14:textId="74A08049" w:rsidR="00AA2867" w:rsidRPr="006D05D9" w:rsidRDefault="00AA2867" w:rsidP="00ED59FF">
      <w:pPr>
        <w:ind w:firstLine="284"/>
        <w:rPr>
          <w:lang w:val="en-GB"/>
        </w:rPr>
      </w:pPr>
      <w:r w:rsidRPr="006D05D9">
        <w:rPr>
          <w:lang w:val="en-GB"/>
        </w:rPr>
        <w:t xml:space="preserve">Kinematics data follows a Gaussian distribution, and to compare the differences between both conditions </w:t>
      </w:r>
      <w:r w:rsidR="007D344C" w:rsidRPr="006D05D9">
        <w:rPr>
          <w:lang w:val="en-GB"/>
        </w:rPr>
        <w:t>a paired t-test for total angle of movement for each condition, calculated as the mean of the six tasks for each subject, was performed to determine the effect of the condition regarding the overall shoulder activity. Furthermore, to compare the differences between both conditions regarding kinematics during each task</w:t>
      </w:r>
      <w:r w:rsidRPr="006D05D9">
        <w:rPr>
          <w:lang w:val="en-GB"/>
        </w:rPr>
        <w:t>,</w:t>
      </w:r>
      <w:r w:rsidR="00617A31" w:rsidRPr="006D05D9">
        <w:rPr>
          <w:lang w:val="en-GB"/>
        </w:rPr>
        <w:t xml:space="preserve"> </w:t>
      </w:r>
      <w:r w:rsidR="008D1D9D" w:rsidRPr="006D05D9">
        <w:rPr>
          <w:lang w:val="en-GB"/>
        </w:rPr>
        <w:t>Two-way ANOVA for</w:t>
      </w:r>
      <w:r w:rsidR="001911B8" w:rsidRPr="006D05D9">
        <w:rPr>
          <w:lang w:val="en-GB"/>
        </w:rPr>
        <w:t xml:space="preserve"> repeated measured </w:t>
      </w:r>
      <w:r w:rsidRPr="006D05D9">
        <w:rPr>
          <w:lang w:val="en-GB"/>
        </w:rPr>
        <w:t xml:space="preserve">was performed for shoulder flexion and shoulder </w:t>
      </w:r>
      <w:r w:rsidR="004E796B" w:rsidRPr="006D05D9">
        <w:rPr>
          <w:lang w:val="en-GB"/>
        </w:rPr>
        <w:t>abduction</w:t>
      </w:r>
      <w:r w:rsidRPr="006D05D9">
        <w:rPr>
          <w:lang w:val="en-GB"/>
        </w:rPr>
        <w:t xml:space="preserve"> variables, where column factor was set as the experimental condition (desk height) and data was entered as </w:t>
      </w:r>
      <w:r w:rsidR="00C112B4" w:rsidRPr="006D05D9">
        <w:rPr>
          <w:lang w:val="en-GB"/>
        </w:rPr>
        <w:t>means</w:t>
      </w:r>
      <w:r w:rsidRPr="006D05D9">
        <w:rPr>
          <w:lang w:val="en-GB"/>
        </w:rPr>
        <w:t>. Multiple comparisons between tasks and the independent variable were also calculated</w:t>
      </w:r>
      <w:r w:rsidR="00A02290" w:rsidRPr="006D05D9">
        <w:rPr>
          <w:lang w:val="en-GB"/>
        </w:rPr>
        <w:t xml:space="preserve"> </w:t>
      </w:r>
      <w:r w:rsidR="00295D30" w:rsidRPr="006D05D9">
        <w:rPr>
          <w:lang w:val="en-GB"/>
        </w:rPr>
        <w:t xml:space="preserve">using </w:t>
      </w:r>
      <w:r w:rsidR="003A2A3F" w:rsidRPr="006D05D9">
        <w:rPr>
          <w:lang w:val="en-GB"/>
        </w:rPr>
        <w:t>the Sidak</w:t>
      </w:r>
      <w:r w:rsidR="00295D30" w:rsidRPr="006D05D9">
        <w:rPr>
          <w:lang w:val="en-GB"/>
        </w:rPr>
        <w:t xml:space="preserve"> multiple comparisons test</w:t>
      </w:r>
      <w:r w:rsidRPr="006D05D9">
        <w:rPr>
          <w:lang w:val="en-GB"/>
        </w:rPr>
        <w:t>.</w:t>
      </w:r>
      <w:r w:rsidR="009C3098" w:rsidRPr="006D05D9">
        <w:rPr>
          <w:lang w:val="en-GB"/>
        </w:rPr>
        <w:t xml:space="preserve"> </w:t>
      </w:r>
    </w:p>
    <w:p w14:paraId="6C7A9F66" w14:textId="77777777" w:rsidR="00B40A13" w:rsidRPr="006D05D9" w:rsidRDefault="00B40A13" w:rsidP="00C65811">
      <w:pPr>
        <w:rPr>
          <w:b/>
          <w:bCs/>
          <w:lang w:val="en-GB"/>
        </w:rPr>
      </w:pPr>
    </w:p>
    <w:p w14:paraId="7319D361" w14:textId="72E8EA8A" w:rsidR="00580FBE" w:rsidRPr="006D05D9" w:rsidRDefault="0069260C" w:rsidP="00C65811">
      <w:pPr>
        <w:rPr>
          <w:b/>
          <w:bCs/>
          <w:lang w:val="en-GB"/>
        </w:rPr>
      </w:pPr>
      <w:r w:rsidRPr="006D05D9">
        <w:rPr>
          <w:b/>
          <w:bCs/>
          <w:lang w:val="en-GB"/>
        </w:rPr>
        <w:t xml:space="preserve">2.6.2. </w:t>
      </w:r>
      <w:r w:rsidR="006E2C24" w:rsidRPr="006D05D9">
        <w:rPr>
          <w:b/>
          <w:bCs/>
          <w:lang w:val="en-GB"/>
        </w:rPr>
        <w:t>Electromyography</w:t>
      </w:r>
      <w:r w:rsidR="004A4118" w:rsidRPr="006D05D9">
        <w:rPr>
          <w:b/>
          <w:bCs/>
          <w:lang w:val="en-GB"/>
        </w:rPr>
        <w:t xml:space="preserve">. </w:t>
      </w:r>
    </w:p>
    <w:p w14:paraId="62AE53A2" w14:textId="77777777" w:rsidR="00FE5C3F" w:rsidRPr="006D05D9" w:rsidRDefault="00FE5C3F" w:rsidP="00ED59FF">
      <w:pPr>
        <w:ind w:firstLine="284"/>
        <w:rPr>
          <w:lang w:val="en-GB"/>
        </w:rPr>
      </w:pPr>
    </w:p>
    <w:p w14:paraId="7C7C14CC" w14:textId="2D47B52E" w:rsidR="00AA2867" w:rsidRPr="006D05D9" w:rsidRDefault="00295D30" w:rsidP="00ED59FF">
      <w:pPr>
        <w:ind w:firstLine="284"/>
        <w:rPr>
          <w:lang w:val="en-GB"/>
        </w:rPr>
      </w:pPr>
      <w:r w:rsidRPr="006D05D9">
        <w:rPr>
          <w:lang w:val="en-GB"/>
        </w:rPr>
        <w:t xml:space="preserve">QQ plot revealed </w:t>
      </w:r>
      <w:r w:rsidR="00C65811" w:rsidRPr="006D05D9">
        <w:rPr>
          <w:lang w:val="en-GB"/>
        </w:rPr>
        <w:t>a Gaussian distribution for each subjects’ muscles dataset</w:t>
      </w:r>
      <w:r w:rsidR="00AA2867" w:rsidRPr="006D05D9">
        <w:rPr>
          <w:lang w:val="en-GB"/>
        </w:rPr>
        <w:t xml:space="preserve">. </w:t>
      </w:r>
      <w:r w:rsidR="00285AE5" w:rsidRPr="006D05D9">
        <w:rPr>
          <w:lang w:val="en-GB"/>
        </w:rPr>
        <w:t xml:space="preserve">It </w:t>
      </w:r>
      <w:r w:rsidR="00AA2867" w:rsidRPr="006D05D9">
        <w:rPr>
          <w:lang w:val="en-GB"/>
        </w:rPr>
        <w:t>was performed for normalized muscle activity and muscle activity time following the same procedure as for kinematics variables.</w:t>
      </w:r>
      <w:r w:rsidR="00AF2724" w:rsidRPr="006D05D9">
        <w:rPr>
          <w:lang w:val="en-GB"/>
        </w:rPr>
        <w:t xml:space="preserve"> </w:t>
      </w:r>
    </w:p>
    <w:p w14:paraId="419E1DB9" w14:textId="77777777" w:rsidR="004A4118" w:rsidRPr="006D05D9" w:rsidRDefault="004A4118" w:rsidP="00FB4136">
      <w:pPr>
        <w:rPr>
          <w:b/>
          <w:bCs/>
          <w:lang w:val="en-GB"/>
        </w:rPr>
      </w:pPr>
    </w:p>
    <w:p w14:paraId="6418581C" w14:textId="7BCE2A84" w:rsidR="00580FBE" w:rsidRPr="006D05D9" w:rsidRDefault="0069260C" w:rsidP="00AA2867">
      <w:pPr>
        <w:rPr>
          <w:b/>
          <w:bCs/>
          <w:lang w:val="en-GB"/>
        </w:rPr>
      </w:pPr>
      <w:r w:rsidRPr="006D05D9">
        <w:rPr>
          <w:b/>
          <w:bCs/>
          <w:lang w:val="en-GB"/>
        </w:rPr>
        <w:t xml:space="preserve">2.6.3. </w:t>
      </w:r>
      <w:r w:rsidR="006E2C24" w:rsidRPr="006D05D9">
        <w:rPr>
          <w:b/>
          <w:bCs/>
          <w:lang w:val="en-GB"/>
        </w:rPr>
        <w:t>Performance</w:t>
      </w:r>
      <w:r w:rsidR="004A4118" w:rsidRPr="006D05D9">
        <w:rPr>
          <w:b/>
          <w:bCs/>
          <w:lang w:val="en-GB"/>
        </w:rPr>
        <w:t>.</w:t>
      </w:r>
      <w:r w:rsidR="00E0257D" w:rsidRPr="006D05D9">
        <w:rPr>
          <w:b/>
          <w:bCs/>
          <w:lang w:val="en-GB"/>
        </w:rPr>
        <w:t xml:space="preserve"> </w:t>
      </w:r>
    </w:p>
    <w:p w14:paraId="170B51A5" w14:textId="77777777" w:rsidR="00FE5C3F" w:rsidRPr="006D05D9" w:rsidRDefault="00FE5C3F" w:rsidP="00ED59FF">
      <w:pPr>
        <w:ind w:firstLine="284"/>
        <w:rPr>
          <w:lang w:val="en-GB"/>
        </w:rPr>
      </w:pPr>
    </w:p>
    <w:p w14:paraId="060F4E4F" w14:textId="03E8489B" w:rsidR="00AA2867" w:rsidRPr="006D05D9" w:rsidRDefault="00CD4A7A" w:rsidP="00ED59FF">
      <w:pPr>
        <w:ind w:firstLine="284"/>
        <w:rPr>
          <w:lang w:val="en-GB"/>
        </w:rPr>
      </w:pPr>
      <w:r w:rsidRPr="006D05D9">
        <w:rPr>
          <w:lang w:val="en-GB"/>
        </w:rPr>
        <w:t>A</w:t>
      </w:r>
      <w:r w:rsidR="00AA2867" w:rsidRPr="006D05D9">
        <w:rPr>
          <w:lang w:val="en-GB"/>
        </w:rPr>
        <w:t xml:space="preserve"> distribution test was performed, resulting in a Gaussian distribution for each subset of data. To determine the effects of the experimental condition on the performance for each task, </w:t>
      </w:r>
      <w:r w:rsidR="009F12D1" w:rsidRPr="006D05D9">
        <w:rPr>
          <w:lang w:val="en-GB"/>
        </w:rPr>
        <w:t>a</w:t>
      </w:r>
      <w:r w:rsidR="00AA2867" w:rsidRPr="006D05D9">
        <w:rPr>
          <w:lang w:val="en-GB"/>
        </w:rPr>
        <w:t xml:space="preserve"> paired t-test with a confidence level of 95% was performed.</w:t>
      </w:r>
    </w:p>
    <w:p w14:paraId="57CE2BD5" w14:textId="77777777" w:rsidR="004A4118" w:rsidRPr="006D05D9" w:rsidRDefault="004A4118" w:rsidP="00FB4136">
      <w:pPr>
        <w:rPr>
          <w:b/>
          <w:bCs/>
          <w:lang w:val="en-GB"/>
        </w:rPr>
      </w:pPr>
    </w:p>
    <w:p w14:paraId="34DBA20F" w14:textId="36AE1F67" w:rsidR="00580FBE" w:rsidRPr="006D05D9" w:rsidRDefault="0069260C" w:rsidP="00FB5420">
      <w:pPr>
        <w:rPr>
          <w:lang w:val="en-GB"/>
        </w:rPr>
      </w:pPr>
      <w:r w:rsidRPr="006D05D9">
        <w:rPr>
          <w:b/>
          <w:bCs/>
          <w:lang w:val="en-GB"/>
        </w:rPr>
        <w:t xml:space="preserve">2.6.4. </w:t>
      </w:r>
      <w:r w:rsidR="00FB5420" w:rsidRPr="006D05D9">
        <w:rPr>
          <w:b/>
          <w:bCs/>
          <w:lang w:val="en-GB"/>
        </w:rPr>
        <w:t>Preference</w:t>
      </w:r>
      <w:r w:rsidR="004A4118" w:rsidRPr="006D05D9">
        <w:rPr>
          <w:b/>
          <w:bCs/>
          <w:lang w:val="en-GB"/>
        </w:rPr>
        <w:t>.</w:t>
      </w:r>
      <w:r w:rsidR="00E301B1" w:rsidRPr="006D05D9">
        <w:rPr>
          <w:lang w:val="en-GB"/>
        </w:rPr>
        <w:t xml:space="preserve"> </w:t>
      </w:r>
    </w:p>
    <w:p w14:paraId="422B467D" w14:textId="77777777" w:rsidR="009E218B" w:rsidRPr="006D05D9" w:rsidRDefault="009E218B" w:rsidP="00ED59FF">
      <w:pPr>
        <w:ind w:firstLine="284"/>
        <w:rPr>
          <w:lang w:val="en-GB"/>
        </w:rPr>
      </w:pPr>
    </w:p>
    <w:p w14:paraId="39F31106" w14:textId="04FB9261" w:rsidR="00E301B1" w:rsidRPr="006D05D9" w:rsidRDefault="00E42A89" w:rsidP="00ED59FF">
      <w:pPr>
        <w:ind w:firstLine="284"/>
        <w:rPr>
          <w:rFonts w:ascii="Arial" w:eastAsia="Times New Roman" w:hAnsi="Arial" w:cs="Arial"/>
          <w:kern w:val="0"/>
          <w:sz w:val="20"/>
          <w:szCs w:val="20"/>
          <w:lang w:val="en-GB" w:eastAsia="es-ES"/>
          <w14:ligatures w14:val="none"/>
        </w:rPr>
      </w:pPr>
      <w:r w:rsidRPr="006D05D9">
        <w:rPr>
          <w:lang w:val="en-GB"/>
        </w:rPr>
        <w:t xml:space="preserve">Preference data was sorted </w:t>
      </w:r>
      <w:r w:rsidR="0099697F" w:rsidRPr="006D05D9">
        <w:rPr>
          <w:lang w:val="en-GB"/>
        </w:rPr>
        <w:t xml:space="preserve">by their preference regarding condition </w:t>
      </w:r>
      <w:r w:rsidR="00FA0D20" w:rsidRPr="006D05D9">
        <w:rPr>
          <w:lang w:val="en-GB"/>
        </w:rPr>
        <w:t>(Original and Proposal) and preference (1</w:t>
      </w:r>
      <w:r w:rsidR="00FA0D20" w:rsidRPr="006D05D9">
        <w:rPr>
          <w:vertAlign w:val="superscript"/>
          <w:lang w:val="en-GB"/>
        </w:rPr>
        <w:t>st</w:t>
      </w:r>
      <w:r w:rsidR="00FA0D20" w:rsidRPr="006D05D9">
        <w:rPr>
          <w:lang w:val="en-GB"/>
        </w:rPr>
        <w:t xml:space="preserve"> or 2</w:t>
      </w:r>
      <w:r w:rsidR="00FA0D20" w:rsidRPr="006D05D9">
        <w:rPr>
          <w:vertAlign w:val="superscript"/>
          <w:lang w:val="en-GB"/>
        </w:rPr>
        <w:t>nd</w:t>
      </w:r>
      <w:r w:rsidR="00FA0D20" w:rsidRPr="006D05D9">
        <w:rPr>
          <w:lang w:val="en-GB"/>
        </w:rPr>
        <w:t xml:space="preserve">) </w:t>
      </w:r>
      <w:r w:rsidR="0099697F" w:rsidRPr="006D05D9">
        <w:rPr>
          <w:lang w:val="en-GB"/>
        </w:rPr>
        <w:t xml:space="preserve">was presented into a </w:t>
      </w:r>
      <w:r w:rsidR="0020300B" w:rsidRPr="006D05D9">
        <w:rPr>
          <w:lang w:val="en-GB"/>
        </w:rPr>
        <w:t>2x</w:t>
      </w:r>
      <w:r w:rsidR="00FA0D20" w:rsidRPr="006D05D9">
        <w:rPr>
          <w:lang w:val="en-GB"/>
        </w:rPr>
        <w:t>2</w:t>
      </w:r>
      <w:r w:rsidR="0020300B" w:rsidRPr="006D05D9">
        <w:rPr>
          <w:lang w:val="en-GB"/>
        </w:rPr>
        <w:t xml:space="preserve"> contingency table</w:t>
      </w:r>
      <w:r w:rsidR="00C6631D" w:rsidRPr="006D05D9">
        <w:rPr>
          <w:lang w:val="en-GB"/>
        </w:rPr>
        <w:t xml:space="preserve">. </w:t>
      </w:r>
      <w:r w:rsidR="00C17088" w:rsidRPr="006D05D9">
        <w:rPr>
          <w:lang w:val="en-GB"/>
        </w:rPr>
        <w:t xml:space="preserve">A Chi-square test was performed to determine the relation between these two factors. </w:t>
      </w:r>
    </w:p>
    <w:p w14:paraId="4B04E80F" w14:textId="77777777" w:rsidR="00FB5420" w:rsidRPr="006D05D9" w:rsidRDefault="00FB5420" w:rsidP="00FB4136">
      <w:pPr>
        <w:rPr>
          <w:b/>
          <w:bCs/>
          <w:lang w:val="en-GB"/>
        </w:rPr>
      </w:pPr>
    </w:p>
    <w:p w14:paraId="150AE309" w14:textId="77777777" w:rsidR="000369A5" w:rsidRPr="006D05D9" w:rsidRDefault="0069260C" w:rsidP="00D67377">
      <w:pPr>
        <w:rPr>
          <w:b/>
          <w:bCs/>
          <w:lang w:val="en-GB"/>
        </w:rPr>
      </w:pPr>
      <w:r w:rsidRPr="006D05D9">
        <w:rPr>
          <w:b/>
          <w:bCs/>
          <w:lang w:val="en-GB"/>
        </w:rPr>
        <w:t xml:space="preserve">2.6.5. </w:t>
      </w:r>
      <w:r w:rsidR="006E2C24" w:rsidRPr="006D05D9">
        <w:rPr>
          <w:b/>
          <w:bCs/>
          <w:lang w:val="en-GB"/>
        </w:rPr>
        <w:t>Discomfort</w:t>
      </w:r>
      <w:r w:rsidR="004A4118" w:rsidRPr="006D05D9">
        <w:rPr>
          <w:b/>
          <w:bCs/>
          <w:lang w:val="en-GB"/>
        </w:rPr>
        <w:t>.</w:t>
      </w:r>
      <w:r w:rsidR="00E0257D" w:rsidRPr="006D05D9">
        <w:rPr>
          <w:b/>
          <w:bCs/>
          <w:lang w:val="en-GB"/>
        </w:rPr>
        <w:t xml:space="preserve"> </w:t>
      </w:r>
    </w:p>
    <w:p w14:paraId="47B9EFE3" w14:textId="77777777" w:rsidR="009E218B" w:rsidRPr="006D05D9" w:rsidRDefault="009E218B" w:rsidP="00ED59FF">
      <w:pPr>
        <w:ind w:firstLine="284"/>
        <w:rPr>
          <w:lang w:val="en-GB"/>
        </w:rPr>
      </w:pPr>
    </w:p>
    <w:p w14:paraId="3CA4058E" w14:textId="634C0D08" w:rsidR="000434ED" w:rsidRPr="006D05D9" w:rsidRDefault="00EB190D" w:rsidP="00ED59FF">
      <w:pPr>
        <w:ind w:firstLine="284"/>
        <w:rPr>
          <w:lang w:val="en-GB"/>
        </w:rPr>
      </w:pPr>
      <w:r w:rsidRPr="006D05D9">
        <w:rPr>
          <w:lang w:val="en-GB"/>
        </w:rPr>
        <w:t xml:space="preserve">Discomfort after the execution of tasks was measured against baseline for </w:t>
      </w:r>
      <w:r w:rsidR="00825418" w:rsidRPr="006D05D9">
        <w:rPr>
          <w:lang w:val="en-GB"/>
        </w:rPr>
        <w:t>five</w:t>
      </w:r>
      <w:r w:rsidR="001A38E2" w:rsidRPr="006D05D9">
        <w:rPr>
          <w:lang w:val="en-GB"/>
        </w:rPr>
        <w:t xml:space="preserve"> regions of the body, </w:t>
      </w:r>
      <w:r w:rsidR="00D67377" w:rsidRPr="006D05D9">
        <w:rPr>
          <w:lang w:val="en-GB"/>
        </w:rPr>
        <w:t>Head and Neck, Shoulder and Arm, Elbow and Forearm, Wrist and Hand</w:t>
      </w:r>
      <w:r w:rsidR="00825418" w:rsidRPr="006D05D9">
        <w:rPr>
          <w:lang w:val="en-GB"/>
        </w:rPr>
        <w:t xml:space="preserve"> and</w:t>
      </w:r>
      <w:r w:rsidR="00D67377" w:rsidRPr="006D05D9">
        <w:rPr>
          <w:lang w:val="en-GB"/>
        </w:rPr>
        <w:t xml:space="preserve"> Lower Back</w:t>
      </w:r>
      <w:r w:rsidR="00825418" w:rsidRPr="006D05D9">
        <w:rPr>
          <w:lang w:val="en-GB"/>
        </w:rPr>
        <w:t>.</w:t>
      </w:r>
      <w:r w:rsidR="00841B56" w:rsidRPr="006D05D9">
        <w:rPr>
          <w:lang w:val="en-GB"/>
        </w:rPr>
        <w:t xml:space="preserve"> </w:t>
      </w:r>
      <w:r w:rsidR="002A5835" w:rsidRPr="006D05D9">
        <w:rPr>
          <w:rStyle w:val="hgkelc"/>
          <w:lang w:val="en-GB"/>
        </w:rPr>
        <w:lastRenderedPageBreak/>
        <w:t>Wilcoxon signed-rank</w:t>
      </w:r>
      <w:r w:rsidR="002A5835" w:rsidRPr="006D05D9">
        <w:rPr>
          <w:lang w:val="en-GB"/>
        </w:rPr>
        <w:t xml:space="preserve"> </w:t>
      </w:r>
      <w:r w:rsidR="00E10A60" w:rsidRPr="006D05D9">
        <w:rPr>
          <w:lang w:val="en-GB"/>
        </w:rPr>
        <w:t xml:space="preserve">test for paired sample was performed to determine the </w:t>
      </w:r>
      <w:r w:rsidR="002A5835" w:rsidRPr="006D05D9">
        <w:rPr>
          <w:lang w:val="en-GB"/>
        </w:rPr>
        <w:t xml:space="preserve">effects of desk height regarding discomfort. </w:t>
      </w:r>
      <w:r w:rsidR="008A7472" w:rsidRPr="006D05D9">
        <w:rPr>
          <w:lang w:val="en-GB"/>
        </w:rPr>
        <w:t xml:space="preserve"> </w:t>
      </w:r>
    </w:p>
    <w:p w14:paraId="67C335C8" w14:textId="77777777" w:rsidR="004A5CB8" w:rsidRPr="006D05D9" w:rsidRDefault="004A5CB8" w:rsidP="00FB4136">
      <w:pPr>
        <w:rPr>
          <w:lang w:val="en-GB"/>
        </w:rPr>
      </w:pPr>
    </w:p>
    <w:p w14:paraId="7A2FB278" w14:textId="77777777" w:rsidR="002506FF" w:rsidRPr="006D05D9" w:rsidRDefault="002506FF" w:rsidP="005C7D01">
      <w:pPr>
        <w:rPr>
          <w:b/>
          <w:bCs/>
          <w:sz w:val="26"/>
          <w:szCs w:val="26"/>
          <w:lang w:val="en-GB"/>
        </w:rPr>
      </w:pPr>
    </w:p>
    <w:p w14:paraId="7FDB8E83" w14:textId="01E6FD9E" w:rsidR="00464EAC" w:rsidRPr="006D05D9" w:rsidRDefault="005C7D01" w:rsidP="005C7D01">
      <w:pPr>
        <w:rPr>
          <w:b/>
          <w:bCs/>
          <w:sz w:val="26"/>
          <w:szCs w:val="26"/>
          <w:lang w:val="en-GB"/>
        </w:rPr>
      </w:pPr>
      <w:r w:rsidRPr="006D05D9">
        <w:rPr>
          <w:b/>
          <w:bCs/>
          <w:sz w:val="26"/>
          <w:szCs w:val="26"/>
          <w:lang w:val="en-GB"/>
        </w:rPr>
        <w:t xml:space="preserve">3. </w:t>
      </w:r>
      <w:r w:rsidR="008A0730" w:rsidRPr="006D05D9">
        <w:rPr>
          <w:b/>
          <w:bCs/>
          <w:sz w:val="26"/>
          <w:szCs w:val="26"/>
          <w:lang w:val="en-GB"/>
        </w:rPr>
        <w:t>Results</w:t>
      </w:r>
      <w:r w:rsidRPr="006D05D9">
        <w:rPr>
          <w:b/>
          <w:bCs/>
          <w:sz w:val="26"/>
          <w:szCs w:val="26"/>
          <w:lang w:val="en-GB"/>
        </w:rPr>
        <w:t>.</w:t>
      </w:r>
    </w:p>
    <w:p w14:paraId="546407FB" w14:textId="77777777" w:rsidR="00616D5A" w:rsidRPr="006D05D9" w:rsidRDefault="00616D5A" w:rsidP="00AF5B6E">
      <w:pPr>
        <w:rPr>
          <w:b/>
          <w:bCs/>
          <w:lang w:val="en-GB"/>
        </w:rPr>
      </w:pPr>
    </w:p>
    <w:p w14:paraId="58D2EA40" w14:textId="3E0F6E06" w:rsidR="00616D5A" w:rsidRPr="006D05D9" w:rsidRDefault="00562D8D" w:rsidP="00AF5B6E">
      <w:pPr>
        <w:rPr>
          <w:b/>
          <w:bCs/>
          <w:sz w:val="24"/>
          <w:szCs w:val="24"/>
          <w:lang w:val="en-GB"/>
        </w:rPr>
      </w:pPr>
      <w:r w:rsidRPr="006D05D9">
        <w:rPr>
          <w:b/>
          <w:bCs/>
          <w:sz w:val="24"/>
          <w:szCs w:val="24"/>
          <w:lang w:val="en-GB"/>
        </w:rPr>
        <w:t>3.1</w:t>
      </w:r>
      <w:r w:rsidR="006855C9" w:rsidRPr="006D05D9">
        <w:rPr>
          <w:b/>
          <w:bCs/>
          <w:sz w:val="24"/>
          <w:szCs w:val="24"/>
          <w:lang w:val="en-GB"/>
        </w:rPr>
        <w:t>.</w:t>
      </w:r>
      <w:r w:rsidRPr="006D05D9">
        <w:rPr>
          <w:b/>
          <w:bCs/>
          <w:sz w:val="24"/>
          <w:szCs w:val="24"/>
          <w:lang w:val="en-GB"/>
        </w:rPr>
        <w:t xml:space="preserve"> Kinematics. </w:t>
      </w:r>
    </w:p>
    <w:p w14:paraId="4D8C4C25" w14:textId="77777777" w:rsidR="006855C9" w:rsidRPr="006D05D9" w:rsidRDefault="006855C9" w:rsidP="006855C9">
      <w:pPr>
        <w:ind w:firstLine="284"/>
        <w:rPr>
          <w:rStyle w:val="nfasis"/>
          <w:rFonts w:eastAsiaTheme="minorEastAsia"/>
          <w:i w:val="0"/>
          <w:iCs w:val="0"/>
          <w:lang w:val="en-GB"/>
        </w:rPr>
      </w:pPr>
      <w:bookmarkStart w:id="3" w:name="OLE_LINK5"/>
    </w:p>
    <w:p w14:paraId="6B6B204B" w14:textId="0D89E2CA" w:rsidR="008A5529" w:rsidRPr="006D05D9" w:rsidRDefault="00E038E6" w:rsidP="006855C9">
      <w:pPr>
        <w:ind w:firstLine="284"/>
        <w:rPr>
          <w:rStyle w:val="nfasis"/>
          <w:rFonts w:eastAsiaTheme="minorEastAsia" w:cstheme="minorHAnsi"/>
          <w:i w:val="0"/>
          <w:iCs w:val="0"/>
          <w:lang w:val="en-GB"/>
        </w:rPr>
      </w:pPr>
      <w:r w:rsidRPr="006D05D9">
        <w:rPr>
          <w:rStyle w:val="nfasis"/>
          <w:rFonts w:eastAsiaTheme="minorEastAsia" w:cstheme="minorHAnsi"/>
          <w:i w:val="0"/>
          <w:iCs w:val="0"/>
          <w:lang w:val="en-GB"/>
        </w:rPr>
        <w:t>A two-way ANOVA revealed that there was a statistically significant</w:t>
      </w:r>
      <w:r w:rsidR="00DA55E5" w:rsidRPr="006D05D9">
        <w:rPr>
          <w:rStyle w:val="nfasis"/>
          <w:rFonts w:eastAsiaTheme="minorEastAsia" w:cstheme="minorHAnsi"/>
          <w:i w:val="0"/>
          <w:iCs w:val="0"/>
          <w:lang w:val="en-GB"/>
        </w:rPr>
        <w:t xml:space="preserve"> </w:t>
      </w:r>
      <w:r w:rsidR="00B91CD9" w:rsidRPr="006D05D9">
        <w:rPr>
          <w:rStyle w:val="nfasis"/>
          <w:rFonts w:eastAsiaTheme="minorEastAsia" w:cstheme="minorHAnsi"/>
          <w:i w:val="0"/>
          <w:iCs w:val="0"/>
          <w:lang w:val="en-GB"/>
        </w:rPr>
        <w:t xml:space="preserve">interaction between the effects </w:t>
      </w:r>
      <w:bookmarkStart w:id="4" w:name="OLE_LINK3"/>
      <w:r w:rsidR="00B91CD9" w:rsidRPr="006D05D9">
        <w:rPr>
          <w:rStyle w:val="nfasis"/>
          <w:rFonts w:eastAsiaTheme="minorEastAsia" w:cstheme="minorHAnsi"/>
          <w:i w:val="0"/>
          <w:iCs w:val="0"/>
          <w:lang w:val="en-GB"/>
        </w:rPr>
        <w:t xml:space="preserve">of desk height and </w:t>
      </w:r>
      <w:r w:rsidR="00CD0887" w:rsidRPr="006D05D9">
        <w:rPr>
          <w:rStyle w:val="nfasis"/>
          <w:rFonts w:eastAsiaTheme="minorEastAsia" w:cstheme="minorHAnsi"/>
          <w:i w:val="0"/>
          <w:iCs w:val="0"/>
          <w:lang w:val="en-GB"/>
        </w:rPr>
        <w:t xml:space="preserve">tasks </w:t>
      </w:r>
      <w:bookmarkEnd w:id="4"/>
      <w:r w:rsidR="00CD0887" w:rsidRPr="006D05D9">
        <w:rPr>
          <w:rStyle w:val="nfasis"/>
          <w:rFonts w:eastAsiaTheme="minorEastAsia" w:cstheme="minorHAnsi"/>
          <w:i w:val="0"/>
          <w:iCs w:val="0"/>
          <w:lang w:val="en-GB"/>
        </w:rPr>
        <w:t xml:space="preserve">only for </w:t>
      </w:r>
      <w:r w:rsidR="00B91CD9" w:rsidRPr="006D05D9">
        <w:rPr>
          <w:rStyle w:val="nfasis"/>
          <w:rFonts w:eastAsiaTheme="minorEastAsia" w:cstheme="minorHAnsi"/>
          <w:i w:val="0"/>
          <w:iCs w:val="0"/>
          <w:lang w:val="en-GB"/>
        </w:rPr>
        <w:t>shoulder flexion angles</w:t>
      </w:r>
      <w:r w:rsidR="0054476C" w:rsidRPr="006D05D9">
        <w:rPr>
          <w:rStyle w:val="nfasis"/>
          <w:rFonts w:eastAsiaTheme="minorEastAsia" w:cstheme="minorHAnsi"/>
          <w:i w:val="0"/>
          <w:iCs w:val="0"/>
          <w:lang w:val="en-GB"/>
        </w:rPr>
        <w:t xml:space="preserve"> </w:t>
      </w:r>
      <m:oMath>
        <m:r>
          <m:rPr>
            <m:sty m:val="p"/>
          </m:rPr>
          <w:rPr>
            <w:rStyle w:val="nfasis"/>
            <w:rFonts w:ascii="Cambria Math" w:hAnsi="Cambria Math" w:cstheme="minorHAnsi"/>
            <w:lang w:val="en-GB"/>
          </w:rPr>
          <m:t>(</m:t>
        </m:r>
        <m:sSub>
          <m:sSubPr>
            <m:ctrlPr>
              <w:rPr>
                <w:rStyle w:val="nfasis"/>
                <w:rFonts w:ascii="Cambria Math" w:hAnsi="Cambria Math" w:cstheme="minorHAnsi"/>
                <w:i w:val="0"/>
                <w:iCs w:val="0"/>
                <w:lang w:val="en-GB"/>
              </w:rPr>
            </m:ctrlPr>
          </m:sSubPr>
          <m:e>
            <m:r>
              <m:rPr>
                <m:sty m:val="p"/>
              </m:rPr>
              <w:rPr>
                <w:rStyle w:val="nfasis"/>
                <w:rFonts w:ascii="Cambria Math" w:hAnsi="Cambria Math" w:cstheme="minorHAnsi"/>
                <w:lang w:val="en-GB"/>
              </w:rPr>
              <m:t>F</m:t>
            </m:r>
          </m:e>
          <m:sub>
            <m:d>
              <m:dPr>
                <m:ctrlPr>
                  <w:rPr>
                    <w:rStyle w:val="nfasis"/>
                    <w:rFonts w:ascii="Cambria Math" w:hAnsi="Cambria Math" w:cstheme="minorHAnsi"/>
                    <w:i w:val="0"/>
                    <w:iCs w:val="0"/>
                    <w:lang w:val="en-GB"/>
                  </w:rPr>
                </m:ctrlPr>
              </m:dPr>
              <m:e>
                <m:r>
                  <m:rPr>
                    <m:sty m:val="p"/>
                  </m:rPr>
                  <w:rPr>
                    <w:rStyle w:val="nfasis"/>
                    <w:rFonts w:ascii="Cambria Math" w:hAnsi="Cambria Math" w:cstheme="minorHAnsi"/>
                    <w:lang w:val="en-GB"/>
                  </w:rPr>
                  <m:t>6,198</m:t>
                </m:r>
              </m:e>
            </m:d>
          </m:sub>
        </m:sSub>
        <m:r>
          <m:rPr>
            <m:sty m:val="p"/>
          </m:rPr>
          <w:rPr>
            <w:rStyle w:val="nfasis"/>
            <w:rFonts w:ascii="Cambria Math" w:hAnsi="Cambria Math" w:cstheme="minorHAnsi"/>
            <w:lang w:val="en-GB"/>
          </w:rPr>
          <m:t>=7.172, p&lt;.001)</m:t>
        </m:r>
      </m:oMath>
      <w:r w:rsidR="0054476C" w:rsidRPr="006D05D9">
        <w:rPr>
          <w:rStyle w:val="nfasis"/>
          <w:rFonts w:eastAsiaTheme="minorEastAsia" w:cstheme="minorHAnsi"/>
          <w:i w:val="0"/>
          <w:iCs w:val="0"/>
          <w:lang w:val="en-GB"/>
        </w:rPr>
        <w:t>.</w:t>
      </w:r>
      <w:r w:rsidR="00AE3039" w:rsidRPr="006D05D9">
        <w:rPr>
          <w:rStyle w:val="nfasis"/>
          <w:rFonts w:eastAsiaTheme="minorEastAsia" w:cstheme="minorHAnsi"/>
          <w:i w:val="0"/>
          <w:iCs w:val="0"/>
          <w:lang w:val="en-GB"/>
        </w:rPr>
        <w:t xml:space="preserve"> </w:t>
      </w:r>
      <w:r w:rsidR="006F6875" w:rsidRPr="006D05D9">
        <w:rPr>
          <w:rStyle w:val="nfasis"/>
          <w:rFonts w:eastAsiaTheme="minorEastAsia" w:cstheme="minorHAnsi"/>
          <w:i w:val="0"/>
          <w:iCs w:val="0"/>
          <w:lang w:val="en-GB"/>
        </w:rPr>
        <w:t xml:space="preserve">Moreover, simple main effects analysis showed that </w:t>
      </w:r>
      <w:r w:rsidR="000727E9" w:rsidRPr="006D05D9">
        <w:rPr>
          <w:rStyle w:val="nfasis"/>
          <w:rFonts w:eastAsiaTheme="minorEastAsia" w:cstheme="minorHAnsi"/>
          <w:i w:val="0"/>
          <w:iCs w:val="0"/>
          <w:lang w:val="en-GB"/>
        </w:rPr>
        <w:t xml:space="preserve">desk height and task did have a statistically significant effect on </w:t>
      </w:r>
      <w:r w:rsidR="0020586D" w:rsidRPr="006D05D9">
        <w:rPr>
          <w:rStyle w:val="nfasis"/>
          <w:rFonts w:eastAsiaTheme="minorEastAsia" w:cstheme="minorHAnsi"/>
          <w:i w:val="0"/>
          <w:iCs w:val="0"/>
          <w:lang w:val="en-GB"/>
        </w:rPr>
        <w:t xml:space="preserve">both shoulder flexion and shoulder </w:t>
      </w:r>
      <w:r w:rsidR="004E796B" w:rsidRPr="006D05D9">
        <w:rPr>
          <w:rStyle w:val="nfasis"/>
          <w:rFonts w:eastAsiaTheme="minorEastAsia" w:cstheme="minorHAnsi"/>
          <w:i w:val="0"/>
          <w:iCs w:val="0"/>
          <w:lang w:val="en-GB"/>
        </w:rPr>
        <w:t>abduction</w:t>
      </w:r>
      <w:r w:rsidR="0020586D" w:rsidRPr="006D05D9">
        <w:rPr>
          <w:rStyle w:val="nfasis"/>
          <w:rFonts w:eastAsiaTheme="minorEastAsia" w:cstheme="minorHAnsi"/>
          <w:i w:val="0"/>
          <w:iCs w:val="0"/>
          <w:lang w:val="en-GB"/>
        </w:rPr>
        <w:t xml:space="preserve"> angles (all </w:t>
      </w:r>
      <m:oMath>
        <m:r>
          <m:rPr>
            <m:sty m:val="p"/>
          </m:rPr>
          <w:rPr>
            <w:rStyle w:val="nfasis"/>
            <w:rFonts w:ascii="Cambria Math" w:eastAsiaTheme="minorEastAsia" w:hAnsi="Cambria Math" w:cstheme="minorHAnsi"/>
            <w:lang w:val="en-GB"/>
          </w:rPr>
          <m:t>p&lt;.001)</m:t>
        </m:r>
      </m:oMath>
      <w:r w:rsidR="00090F1F" w:rsidRPr="006D05D9">
        <w:rPr>
          <w:rStyle w:val="nfasis"/>
          <w:rFonts w:eastAsiaTheme="minorEastAsia" w:cstheme="minorHAnsi"/>
          <w:i w:val="0"/>
          <w:iCs w:val="0"/>
          <w:lang w:val="en-GB"/>
        </w:rPr>
        <w:t>.</w:t>
      </w:r>
    </w:p>
    <w:bookmarkEnd w:id="3"/>
    <w:p w14:paraId="55EE4580" w14:textId="77777777" w:rsidR="006855C9" w:rsidRPr="006D05D9" w:rsidRDefault="006855C9" w:rsidP="006855C9">
      <w:pPr>
        <w:ind w:firstLine="284"/>
        <w:rPr>
          <w:lang w:val="en-GB"/>
        </w:rPr>
      </w:pPr>
    </w:p>
    <w:p w14:paraId="22056BF0" w14:textId="3C1436C1" w:rsidR="00B7274E" w:rsidRPr="006D05D9" w:rsidRDefault="000C749A" w:rsidP="006855C9">
      <w:pPr>
        <w:ind w:firstLine="284"/>
        <w:rPr>
          <w:rStyle w:val="nfasis"/>
          <w:rFonts w:eastAsiaTheme="minorEastAsia" w:cstheme="minorHAnsi"/>
          <w:i w:val="0"/>
          <w:iCs w:val="0"/>
          <w:lang w:val="en-GB"/>
        </w:rPr>
      </w:pPr>
      <w:r w:rsidRPr="006D05D9">
        <w:rPr>
          <w:rFonts w:cstheme="minorHAnsi"/>
          <w:lang w:val="en-GB"/>
        </w:rPr>
        <w:t xml:space="preserve">Figure </w:t>
      </w:r>
      <w:r w:rsidR="00092C3E" w:rsidRPr="006D05D9">
        <w:rPr>
          <w:rFonts w:cstheme="minorHAnsi"/>
          <w:lang w:val="en-GB"/>
        </w:rPr>
        <w:t>3</w:t>
      </w:r>
      <w:r w:rsidRPr="006D05D9">
        <w:rPr>
          <w:rFonts w:cstheme="minorHAnsi"/>
          <w:lang w:val="en-GB"/>
        </w:rPr>
        <w:t xml:space="preserve"> shows the results of </w:t>
      </w:r>
      <w:proofErr w:type="spellStart"/>
      <w:r w:rsidR="005A4F0E" w:rsidRPr="006D05D9">
        <w:rPr>
          <w:rStyle w:val="nfasis"/>
          <w:rFonts w:cstheme="minorHAnsi"/>
          <w:i w:val="0"/>
          <w:iCs w:val="0"/>
          <w:lang w:val="en-GB"/>
        </w:rPr>
        <w:t>Šidák</w:t>
      </w:r>
      <w:proofErr w:type="spellEnd"/>
      <w:r w:rsidR="005A4F0E" w:rsidRPr="006D05D9">
        <w:rPr>
          <w:rStyle w:val="nfasis"/>
          <w:rFonts w:cstheme="minorHAnsi"/>
          <w:i w:val="0"/>
          <w:iCs w:val="0"/>
          <w:lang w:val="en-GB"/>
        </w:rPr>
        <w:t xml:space="preserve"> test for multiple comparisons</w:t>
      </w:r>
      <w:r w:rsidRPr="006D05D9">
        <w:rPr>
          <w:rStyle w:val="nfasis"/>
          <w:rFonts w:cstheme="minorHAnsi"/>
          <w:i w:val="0"/>
          <w:iCs w:val="0"/>
          <w:lang w:val="en-GB"/>
        </w:rPr>
        <w:t>, where</w:t>
      </w:r>
      <w:r w:rsidR="005A4F0E" w:rsidRPr="006D05D9">
        <w:rPr>
          <w:rStyle w:val="nfasis"/>
          <w:rFonts w:cstheme="minorHAnsi"/>
          <w:i w:val="0"/>
          <w:iCs w:val="0"/>
          <w:lang w:val="en-GB"/>
        </w:rPr>
        <w:t xml:space="preserve"> </w:t>
      </w:r>
      <w:r w:rsidR="00C44EFA" w:rsidRPr="006D05D9">
        <w:rPr>
          <w:rStyle w:val="nfasis"/>
          <w:rFonts w:cstheme="minorHAnsi"/>
          <w:i w:val="0"/>
          <w:iCs w:val="0"/>
          <w:lang w:val="en-GB"/>
        </w:rPr>
        <w:t>there is a significant difference between conditions for Reading</w:t>
      </w:r>
      <m:oMath>
        <m:r>
          <m:rPr>
            <m:sty m:val="p"/>
          </m:rPr>
          <w:rPr>
            <w:rStyle w:val="nfasis"/>
            <w:rFonts w:ascii="Cambria Math" w:hAnsi="Cambria Math" w:cstheme="minorHAnsi"/>
            <w:lang w:val="en-GB"/>
          </w:rPr>
          <m:t xml:space="preserve"> (p&lt;.001)</m:t>
        </m:r>
      </m:oMath>
      <w:r w:rsidR="00C44EFA" w:rsidRPr="006D05D9">
        <w:rPr>
          <w:rStyle w:val="nfasis"/>
          <w:rFonts w:cstheme="minorHAnsi"/>
          <w:i w:val="0"/>
          <w:iCs w:val="0"/>
          <w:lang w:val="en-GB"/>
        </w:rPr>
        <w:t>,</w:t>
      </w:r>
      <w:r w:rsidR="00FC5988" w:rsidRPr="006D05D9">
        <w:rPr>
          <w:rStyle w:val="nfasis"/>
          <w:rFonts w:cstheme="minorHAnsi"/>
          <w:i w:val="0"/>
          <w:iCs w:val="0"/>
          <w:lang w:val="en-GB"/>
        </w:rPr>
        <w:t xml:space="preserve"> </w:t>
      </w:r>
      <w:r w:rsidR="008E62FC" w:rsidRPr="006D05D9">
        <w:rPr>
          <w:rStyle w:val="nfasis"/>
          <w:rFonts w:cstheme="minorHAnsi"/>
          <w:i w:val="0"/>
          <w:iCs w:val="0"/>
          <w:lang w:val="en-GB"/>
        </w:rPr>
        <w:t>Typing</w:t>
      </w:r>
      <w:r w:rsidR="00F33841" w:rsidRPr="006D05D9">
        <w:rPr>
          <w:rStyle w:val="nfasis"/>
          <w:rFonts w:cstheme="minorHAnsi"/>
          <w:i w:val="0"/>
          <w:iCs w:val="0"/>
          <w:lang w:val="en-GB"/>
        </w:rPr>
        <w:t xml:space="preserve"> </w:t>
      </w:r>
      <m:oMath>
        <m:r>
          <m:rPr>
            <m:sty m:val="p"/>
          </m:rPr>
          <w:rPr>
            <w:rStyle w:val="nfasis"/>
            <w:rFonts w:ascii="Cambria Math" w:hAnsi="Cambria Math" w:cstheme="minorHAnsi"/>
            <w:lang w:val="en-GB"/>
          </w:rPr>
          <m:t>(p&lt;.001)</m:t>
        </m:r>
      </m:oMath>
      <w:r w:rsidR="00C44EFA" w:rsidRPr="006D05D9">
        <w:rPr>
          <w:rStyle w:val="nfasis"/>
          <w:rFonts w:cstheme="minorHAnsi"/>
          <w:i w:val="0"/>
          <w:iCs w:val="0"/>
          <w:lang w:val="en-GB"/>
        </w:rPr>
        <w:t xml:space="preserve">, </w:t>
      </w:r>
      <w:r w:rsidRPr="006D05D9">
        <w:rPr>
          <w:rStyle w:val="nfasis"/>
          <w:rFonts w:cstheme="minorHAnsi"/>
          <w:i w:val="0"/>
          <w:iCs w:val="0"/>
          <w:lang w:val="en-GB"/>
        </w:rPr>
        <w:t>D</w:t>
      </w:r>
      <w:r w:rsidR="00CA08AF" w:rsidRPr="006D05D9">
        <w:rPr>
          <w:rStyle w:val="nfasis"/>
          <w:rFonts w:cstheme="minorHAnsi"/>
          <w:i w:val="0"/>
          <w:iCs w:val="0"/>
          <w:lang w:val="en-GB"/>
        </w:rPr>
        <w:t>evice usage</w:t>
      </w:r>
      <w:r w:rsidR="00C44EFA" w:rsidRPr="006D05D9">
        <w:rPr>
          <w:rStyle w:val="nfasis"/>
          <w:rFonts w:cstheme="minorHAnsi"/>
          <w:i w:val="0"/>
          <w:iCs w:val="0"/>
          <w:lang w:val="en-GB"/>
        </w:rPr>
        <w:t xml:space="preserve"> for both </w:t>
      </w:r>
      <w:r w:rsidRPr="006D05D9">
        <w:rPr>
          <w:rStyle w:val="nfasis"/>
          <w:rFonts w:cstheme="minorHAnsi"/>
          <w:i w:val="0"/>
          <w:iCs w:val="0"/>
          <w:lang w:val="en-GB"/>
        </w:rPr>
        <w:t>PC</w:t>
      </w:r>
      <w:r w:rsidR="00F33841" w:rsidRPr="006D05D9">
        <w:rPr>
          <w:rStyle w:val="nfasis"/>
          <w:rFonts w:cstheme="minorHAnsi"/>
          <w:i w:val="0"/>
          <w:iCs w:val="0"/>
          <w:lang w:val="en-GB"/>
        </w:rPr>
        <w:t xml:space="preserve"> </w:t>
      </w:r>
      <m:oMath>
        <m:r>
          <m:rPr>
            <m:sty m:val="p"/>
          </m:rPr>
          <w:rPr>
            <w:rStyle w:val="nfasis"/>
            <w:rFonts w:ascii="Cambria Math" w:hAnsi="Cambria Math" w:cstheme="minorHAnsi"/>
            <w:lang w:val="en-GB"/>
          </w:rPr>
          <m:t>(p&lt;.001)</m:t>
        </m:r>
      </m:oMath>
      <w:r w:rsidR="00F33841" w:rsidRPr="006D05D9">
        <w:rPr>
          <w:rStyle w:val="nfasis"/>
          <w:rFonts w:cstheme="minorHAnsi"/>
          <w:i w:val="0"/>
          <w:iCs w:val="0"/>
          <w:lang w:val="en-GB"/>
        </w:rPr>
        <w:t>,</w:t>
      </w:r>
      <w:r w:rsidR="00C44EFA" w:rsidRPr="006D05D9">
        <w:rPr>
          <w:rStyle w:val="nfasis"/>
          <w:rFonts w:cstheme="minorHAnsi"/>
          <w:i w:val="0"/>
          <w:iCs w:val="0"/>
          <w:lang w:val="en-GB"/>
        </w:rPr>
        <w:t xml:space="preserve"> and </w:t>
      </w:r>
      <w:r w:rsidRPr="006D05D9">
        <w:rPr>
          <w:rStyle w:val="nfasis"/>
          <w:rFonts w:cstheme="minorHAnsi"/>
          <w:i w:val="0"/>
          <w:iCs w:val="0"/>
          <w:lang w:val="en-GB"/>
        </w:rPr>
        <w:t>T</w:t>
      </w:r>
      <w:r w:rsidR="00C44EFA" w:rsidRPr="006D05D9">
        <w:rPr>
          <w:rStyle w:val="nfasis"/>
          <w:rFonts w:cstheme="minorHAnsi"/>
          <w:i w:val="0"/>
          <w:iCs w:val="0"/>
          <w:lang w:val="en-GB"/>
        </w:rPr>
        <w:t>ablet</w:t>
      </w:r>
      <w:r w:rsidR="00F33841" w:rsidRPr="006D05D9">
        <w:rPr>
          <w:rStyle w:val="nfasis"/>
          <w:rFonts w:cstheme="minorHAnsi"/>
          <w:i w:val="0"/>
          <w:iCs w:val="0"/>
          <w:lang w:val="en-GB"/>
        </w:rPr>
        <w:t xml:space="preserve"> </w:t>
      </w:r>
      <m:oMath>
        <m:r>
          <m:rPr>
            <m:sty m:val="p"/>
          </m:rPr>
          <w:rPr>
            <w:rStyle w:val="nfasis"/>
            <w:rFonts w:ascii="Cambria Math" w:hAnsi="Cambria Math" w:cstheme="minorHAnsi"/>
            <w:lang w:val="en-GB"/>
          </w:rPr>
          <m:t>(p=.003)</m:t>
        </m:r>
      </m:oMath>
      <w:r w:rsidR="00F33841" w:rsidRPr="006D05D9">
        <w:rPr>
          <w:rStyle w:val="nfasis"/>
          <w:rFonts w:cstheme="minorHAnsi"/>
          <w:i w:val="0"/>
          <w:iCs w:val="0"/>
          <w:lang w:val="en-GB"/>
        </w:rPr>
        <w:t xml:space="preserve"> </w:t>
      </w:r>
      <w:r w:rsidR="00C44EFA" w:rsidRPr="006D05D9">
        <w:rPr>
          <w:rStyle w:val="nfasis"/>
          <w:rFonts w:cstheme="minorHAnsi"/>
          <w:i w:val="0"/>
          <w:iCs w:val="0"/>
          <w:lang w:val="en-GB"/>
        </w:rPr>
        <w:t xml:space="preserve">for shoulder flexion, as well as for Typing  for Shoulder </w:t>
      </w:r>
      <w:r w:rsidR="004E796B" w:rsidRPr="006D05D9">
        <w:rPr>
          <w:rStyle w:val="nfasis"/>
          <w:rFonts w:cstheme="minorHAnsi"/>
          <w:i w:val="0"/>
          <w:iCs w:val="0"/>
          <w:lang w:val="en-GB"/>
        </w:rPr>
        <w:t>abduction</w:t>
      </w:r>
      <w:r w:rsidR="00F33841" w:rsidRPr="006D05D9">
        <w:rPr>
          <w:rStyle w:val="nfasis"/>
          <w:rFonts w:cstheme="minorHAnsi"/>
          <w:i w:val="0"/>
          <w:iCs w:val="0"/>
          <w:lang w:val="en-GB"/>
        </w:rPr>
        <w:t xml:space="preserve"> </w:t>
      </w:r>
      <m:oMath>
        <m:r>
          <m:rPr>
            <m:sty m:val="p"/>
          </m:rPr>
          <w:rPr>
            <w:rStyle w:val="nfasis"/>
            <w:rFonts w:ascii="Cambria Math" w:hAnsi="Cambria Math" w:cstheme="minorHAnsi"/>
            <w:lang w:val="en-GB"/>
          </w:rPr>
          <m:t>(p=.001)</m:t>
        </m:r>
      </m:oMath>
      <w:r w:rsidR="00B7274E" w:rsidRPr="006D05D9">
        <w:rPr>
          <w:rStyle w:val="nfasis"/>
          <w:rFonts w:eastAsiaTheme="minorEastAsia" w:cstheme="minorHAnsi"/>
          <w:i w:val="0"/>
          <w:iCs w:val="0"/>
          <w:lang w:val="en-GB"/>
        </w:rPr>
        <w:t xml:space="preserve">. </w:t>
      </w:r>
    </w:p>
    <w:p w14:paraId="6B5234C7" w14:textId="6E856838" w:rsidR="00EC517B" w:rsidRPr="006D05D9" w:rsidRDefault="00EC517B" w:rsidP="006855C9">
      <w:pPr>
        <w:ind w:firstLine="284"/>
        <w:rPr>
          <w:rStyle w:val="nfasis"/>
          <w:rFonts w:eastAsiaTheme="minorEastAsia" w:cstheme="minorHAnsi"/>
          <w:b/>
          <w:bCs/>
          <w:i w:val="0"/>
          <w:iCs w:val="0"/>
          <w:lang w:val="en-GB"/>
        </w:rPr>
      </w:pPr>
      <w:r w:rsidRPr="006D05D9">
        <w:rPr>
          <w:noProof/>
          <w:lang w:val="en-GB"/>
        </w:rPr>
        <w:drawing>
          <wp:anchor distT="0" distB="0" distL="114300" distR="114300" simplePos="0" relativeHeight="251663360" behindDoc="1" locked="0" layoutInCell="1" allowOverlap="1" wp14:anchorId="42FF4D81" wp14:editId="2A2FA382">
            <wp:simplePos x="0" y="0"/>
            <wp:positionH relativeFrom="margin">
              <wp:align>left</wp:align>
            </wp:positionH>
            <wp:positionV relativeFrom="paragraph">
              <wp:posOffset>299085</wp:posOffset>
            </wp:positionV>
            <wp:extent cx="5612130" cy="2525395"/>
            <wp:effectExtent l="19050" t="19050" r="26670" b="27305"/>
            <wp:wrapTight wrapText="bothSides">
              <wp:wrapPolygon edited="0">
                <wp:start x="-73" y="-163"/>
                <wp:lineTo x="-73" y="21671"/>
                <wp:lineTo x="21629" y="21671"/>
                <wp:lineTo x="21629" y="-163"/>
                <wp:lineTo x="-73" y="-163"/>
              </wp:wrapPolygon>
            </wp:wrapTight>
            <wp:docPr id="272437476"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37476" name="Imagen 1" descr="Gráfico,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253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692F1C4" w14:textId="0CD55A6F" w:rsidR="005153AC" w:rsidRPr="006D05D9" w:rsidRDefault="00A42222" w:rsidP="00EC517B">
      <w:pPr>
        <w:rPr>
          <w:lang w:val="en-GB"/>
        </w:rPr>
      </w:pPr>
      <w:r w:rsidRPr="006D05D9">
        <w:rPr>
          <w:lang w:val="en-GB"/>
        </w:rPr>
        <w:t xml:space="preserve"> </w:t>
      </w:r>
      <w:r w:rsidR="00180038" w:rsidRPr="006D05D9">
        <w:rPr>
          <w:lang w:val="en-GB"/>
        </w:rPr>
        <w:t xml:space="preserve"> </w:t>
      </w:r>
      <w:r w:rsidR="00B575D3" w:rsidRPr="006D05D9">
        <w:rPr>
          <w:sz w:val="20"/>
          <w:szCs w:val="20"/>
          <w:lang w:val="en-GB"/>
        </w:rPr>
        <w:t xml:space="preserve">Figure </w:t>
      </w:r>
      <w:r w:rsidR="00092C3E" w:rsidRPr="006D05D9">
        <w:rPr>
          <w:sz w:val="20"/>
          <w:szCs w:val="20"/>
          <w:lang w:val="en-GB"/>
        </w:rPr>
        <w:t>3</w:t>
      </w:r>
      <w:r w:rsidR="00B575D3" w:rsidRPr="006D05D9">
        <w:rPr>
          <w:sz w:val="20"/>
          <w:szCs w:val="20"/>
          <w:lang w:val="en-GB"/>
        </w:rPr>
        <w:t xml:space="preserve">. Shoulder Kinematics. </w:t>
      </w:r>
      <w:r w:rsidR="005153AC" w:rsidRPr="006D05D9">
        <w:rPr>
          <w:sz w:val="20"/>
          <w:szCs w:val="20"/>
          <w:lang w:val="en-GB"/>
        </w:rPr>
        <w:t xml:space="preserve">Differences between both experimental conditions regarding shoulder flexion angle and shoulder </w:t>
      </w:r>
      <w:r w:rsidR="004E796B" w:rsidRPr="006D05D9">
        <w:rPr>
          <w:sz w:val="20"/>
          <w:szCs w:val="20"/>
          <w:lang w:val="en-GB"/>
        </w:rPr>
        <w:t>abduction</w:t>
      </w:r>
      <w:r w:rsidR="005153AC" w:rsidRPr="006D05D9">
        <w:rPr>
          <w:sz w:val="20"/>
          <w:szCs w:val="20"/>
          <w:lang w:val="en-GB"/>
        </w:rPr>
        <w:t xml:space="preserve"> angle for each of the six tasks</w:t>
      </w:r>
      <w:r w:rsidR="00760833" w:rsidRPr="006D05D9">
        <w:rPr>
          <w:sz w:val="20"/>
          <w:szCs w:val="20"/>
          <w:lang w:val="en-GB"/>
        </w:rPr>
        <w:t>.</w:t>
      </w:r>
      <w:r w:rsidR="00180038" w:rsidRPr="006D05D9">
        <w:rPr>
          <w:sz w:val="20"/>
          <w:szCs w:val="20"/>
          <w:lang w:val="en-GB"/>
        </w:rPr>
        <w:t xml:space="preserve"> Tasks: </w:t>
      </w:r>
      <w:r w:rsidR="009552B6" w:rsidRPr="006D05D9">
        <w:rPr>
          <w:sz w:val="20"/>
          <w:szCs w:val="20"/>
          <w:lang w:val="en-GB"/>
        </w:rPr>
        <w:t>1. Writing</w:t>
      </w:r>
      <w:r w:rsidR="000D285B" w:rsidRPr="006D05D9">
        <w:rPr>
          <w:sz w:val="20"/>
          <w:szCs w:val="20"/>
          <w:lang w:val="en-GB"/>
        </w:rPr>
        <w:t>;</w:t>
      </w:r>
      <w:r w:rsidR="009552B6" w:rsidRPr="006D05D9">
        <w:rPr>
          <w:sz w:val="20"/>
          <w:szCs w:val="20"/>
          <w:lang w:val="en-GB"/>
        </w:rPr>
        <w:t xml:space="preserve"> 2. Reading</w:t>
      </w:r>
      <w:r w:rsidR="000D285B" w:rsidRPr="006D05D9">
        <w:rPr>
          <w:sz w:val="20"/>
          <w:szCs w:val="20"/>
          <w:lang w:val="en-GB"/>
        </w:rPr>
        <w:t>;</w:t>
      </w:r>
      <w:r w:rsidR="009552B6" w:rsidRPr="006D05D9">
        <w:rPr>
          <w:sz w:val="20"/>
          <w:szCs w:val="20"/>
          <w:lang w:val="en-GB"/>
        </w:rPr>
        <w:t xml:space="preserve"> 3. Typing</w:t>
      </w:r>
      <w:r w:rsidR="000D285B" w:rsidRPr="006D05D9">
        <w:rPr>
          <w:sz w:val="20"/>
          <w:szCs w:val="20"/>
          <w:lang w:val="en-GB"/>
        </w:rPr>
        <w:t>;</w:t>
      </w:r>
      <w:r w:rsidR="009552B6" w:rsidRPr="006D05D9">
        <w:rPr>
          <w:sz w:val="20"/>
          <w:szCs w:val="20"/>
          <w:lang w:val="en-GB"/>
        </w:rPr>
        <w:t xml:space="preserve"> 4. Device usage (PC)</w:t>
      </w:r>
      <w:r w:rsidR="000D285B" w:rsidRPr="006D05D9">
        <w:rPr>
          <w:sz w:val="20"/>
          <w:szCs w:val="20"/>
          <w:lang w:val="en-GB"/>
        </w:rPr>
        <w:t>;</w:t>
      </w:r>
      <w:r w:rsidR="009552B6" w:rsidRPr="006D05D9">
        <w:rPr>
          <w:sz w:val="20"/>
          <w:szCs w:val="20"/>
          <w:lang w:val="en-GB"/>
        </w:rPr>
        <w:t xml:space="preserve"> 5. Device usage (</w:t>
      </w:r>
      <w:r w:rsidR="000D285B" w:rsidRPr="006D05D9">
        <w:rPr>
          <w:sz w:val="20"/>
          <w:szCs w:val="20"/>
          <w:lang w:val="en-GB"/>
        </w:rPr>
        <w:t>Tablet); 6. Object manipulation; 7. Total</w:t>
      </w:r>
      <w:r w:rsidR="00DB0FF1" w:rsidRPr="006D05D9">
        <w:rPr>
          <w:sz w:val="20"/>
          <w:szCs w:val="20"/>
          <w:lang w:val="en-GB"/>
        </w:rPr>
        <w:t>.</w:t>
      </w:r>
    </w:p>
    <w:p w14:paraId="3181817B" w14:textId="77777777" w:rsidR="00252055" w:rsidRPr="006D05D9" w:rsidRDefault="00252055" w:rsidP="00B575D3">
      <w:pPr>
        <w:rPr>
          <w:b/>
          <w:bCs/>
          <w:sz w:val="24"/>
          <w:szCs w:val="24"/>
          <w:lang w:val="en-GB"/>
        </w:rPr>
      </w:pPr>
    </w:p>
    <w:p w14:paraId="34717D6B" w14:textId="461F602A" w:rsidR="00616D5A" w:rsidRPr="006D05D9" w:rsidRDefault="00562D8D" w:rsidP="00B575D3">
      <w:pPr>
        <w:rPr>
          <w:b/>
          <w:bCs/>
          <w:sz w:val="24"/>
          <w:szCs w:val="24"/>
          <w:lang w:val="en-GB"/>
        </w:rPr>
      </w:pPr>
      <w:r w:rsidRPr="006D05D9">
        <w:rPr>
          <w:b/>
          <w:bCs/>
          <w:sz w:val="24"/>
          <w:szCs w:val="24"/>
          <w:lang w:val="en-GB"/>
        </w:rPr>
        <w:t>3.2</w:t>
      </w:r>
      <w:r w:rsidR="00CA0161" w:rsidRPr="006D05D9">
        <w:rPr>
          <w:b/>
          <w:bCs/>
          <w:sz w:val="24"/>
          <w:szCs w:val="24"/>
          <w:lang w:val="en-GB"/>
        </w:rPr>
        <w:t>.</w:t>
      </w:r>
      <w:r w:rsidRPr="006D05D9">
        <w:rPr>
          <w:b/>
          <w:bCs/>
          <w:sz w:val="24"/>
          <w:szCs w:val="24"/>
          <w:lang w:val="en-GB"/>
        </w:rPr>
        <w:t xml:space="preserve"> Electromyography.</w:t>
      </w:r>
      <w:r w:rsidR="00F70026" w:rsidRPr="006D05D9">
        <w:rPr>
          <w:b/>
          <w:bCs/>
          <w:sz w:val="24"/>
          <w:szCs w:val="24"/>
          <w:lang w:val="en-GB"/>
        </w:rPr>
        <w:t xml:space="preserve"> </w:t>
      </w:r>
    </w:p>
    <w:p w14:paraId="5738105E" w14:textId="77777777" w:rsidR="00CA0161" w:rsidRPr="006D05D9" w:rsidRDefault="00CA0161" w:rsidP="00CA0161">
      <w:pPr>
        <w:ind w:firstLine="284"/>
        <w:rPr>
          <w:lang w:val="en-GB"/>
        </w:rPr>
      </w:pPr>
    </w:p>
    <w:p w14:paraId="5B08BBD5" w14:textId="43FEA9FF" w:rsidR="009A3ECB" w:rsidRPr="006D05D9" w:rsidRDefault="009A3ECB" w:rsidP="009A3ECB">
      <w:pPr>
        <w:ind w:firstLine="284"/>
        <w:rPr>
          <w:rFonts w:cstheme="minorHAnsi"/>
          <w:lang w:val="en-GB"/>
        </w:rPr>
      </w:pPr>
      <w:r w:rsidRPr="006D05D9">
        <w:rPr>
          <w:rFonts w:cstheme="minorHAnsi"/>
          <w:lang w:val="en-GB"/>
        </w:rPr>
        <w:t xml:space="preserve">Results indicate that there was not a statistically significant interaction between the effects of desk height and task for muscle activity on any of the six measured muscles. Figure </w:t>
      </w:r>
      <w:r w:rsidR="00092C3E" w:rsidRPr="006D05D9">
        <w:rPr>
          <w:rFonts w:cstheme="minorHAnsi"/>
          <w:lang w:val="en-GB"/>
        </w:rPr>
        <w:t>4</w:t>
      </w:r>
      <w:r w:rsidRPr="006D05D9">
        <w:rPr>
          <w:rFonts w:cstheme="minorHAnsi"/>
          <w:lang w:val="en-GB"/>
        </w:rPr>
        <w:t xml:space="preserve"> shows the results of the </w:t>
      </w:r>
      <w:proofErr w:type="spellStart"/>
      <w:r w:rsidRPr="006D05D9">
        <w:rPr>
          <w:rFonts w:cstheme="minorHAnsi"/>
          <w:lang w:val="en-GB"/>
        </w:rPr>
        <w:t>Šidák</w:t>
      </w:r>
      <w:proofErr w:type="spellEnd"/>
      <w:r w:rsidRPr="006D05D9">
        <w:rPr>
          <w:rFonts w:cstheme="minorHAnsi"/>
          <w:lang w:val="en-GB"/>
        </w:rPr>
        <w:t xml:space="preserve"> test for multiple comparisons, where statistical differences between task and condition were found for</w:t>
      </w:r>
      <w:r w:rsidR="001B0B97" w:rsidRPr="006D05D9">
        <w:rPr>
          <w:rFonts w:cstheme="minorHAnsi"/>
          <w:lang w:val="en-GB"/>
        </w:rPr>
        <w:t xml:space="preserve">: </w:t>
      </w:r>
      <w:r w:rsidRPr="006D05D9">
        <w:rPr>
          <w:rFonts w:cstheme="minorHAnsi"/>
          <w:lang w:val="en-GB"/>
        </w:rPr>
        <w:t xml:space="preserve">Anterior Deltoids at reading task </w:t>
      </w:r>
      <m:oMath>
        <m:d>
          <m:dPr>
            <m:ctrlPr>
              <w:rPr>
                <w:rFonts w:ascii="Cambria Math" w:hAnsi="Cambria Math" w:cstheme="minorHAnsi"/>
                <w:lang w:val="en-GB"/>
              </w:rPr>
            </m:ctrlPr>
          </m:dPr>
          <m:e>
            <m:r>
              <m:rPr>
                <m:sty m:val="p"/>
              </m:rPr>
              <w:rPr>
                <w:rFonts w:ascii="Cambria Math" w:hAnsi="Cambria Math" w:cstheme="minorHAnsi"/>
                <w:lang w:val="en-GB"/>
              </w:rPr>
              <m:t>p=.015</m:t>
            </m:r>
          </m:e>
        </m:d>
      </m:oMath>
      <w:r w:rsidR="008E2A70" w:rsidRPr="006D05D9">
        <w:rPr>
          <w:rFonts w:cstheme="minorHAnsi"/>
          <w:lang w:val="en-GB"/>
        </w:rPr>
        <w:t xml:space="preserve">; </w:t>
      </w:r>
      <w:r w:rsidRPr="006D05D9">
        <w:rPr>
          <w:rFonts w:cstheme="minorHAnsi"/>
          <w:lang w:val="en-GB"/>
        </w:rPr>
        <w:t xml:space="preserve"> Superior Trapezius at writing </w:t>
      </w:r>
      <m:oMath>
        <m:r>
          <m:rPr>
            <m:sty m:val="p"/>
          </m:rPr>
          <w:rPr>
            <w:rFonts w:ascii="Cambria Math" w:hAnsi="Cambria Math" w:cstheme="minorHAnsi"/>
            <w:lang w:val="en-GB"/>
          </w:rPr>
          <m:t>(p=.015)</m:t>
        </m:r>
      </m:oMath>
      <w:r w:rsidRPr="006D05D9">
        <w:rPr>
          <w:rFonts w:cstheme="minorHAnsi"/>
          <w:lang w:val="en-GB"/>
        </w:rPr>
        <w:t xml:space="preserve"> and use of electronic device (tablet) </w:t>
      </w:r>
      <m:oMath>
        <m:r>
          <m:rPr>
            <m:sty m:val="p"/>
          </m:rPr>
          <w:rPr>
            <w:rFonts w:ascii="Cambria Math" w:hAnsi="Cambria Math" w:cstheme="minorHAnsi"/>
            <w:lang w:val="en-GB"/>
          </w:rPr>
          <m:t>(p=.002)</m:t>
        </m:r>
      </m:oMath>
      <w:r w:rsidRPr="006D05D9">
        <w:rPr>
          <w:rFonts w:cstheme="minorHAnsi"/>
          <w:lang w:val="en-GB"/>
        </w:rPr>
        <w:t xml:space="preserve"> tasks</w:t>
      </w:r>
      <w:r w:rsidR="00A5695E" w:rsidRPr="006D05D9">
        <w:rPr>
          <w:rFonts w:cstheme="minorHAnsi"/>
          <w:lang w:val="en-GB"/>
        </w:rPr>
        <w:t>.</w:t>
      </w:r>
      <w:r w:rsidR="00314651" w:rsidRPr="006D05D9">
        <w:rPr>
          <w:rFonts w:cstheme="minorHAnsi"/>
          <w:lang w:val="en-GB"/>
        </w:rPr>
        <w:t xml:space="preserve"> </w:t>
      </w:r>
      <w:r w:rsidR="00A5695E" w:rsidRPr="006D05D9">
        <w:rPr>
          <w:rFonts w:cstheme="minorHAnsi"/>
          <w:lang w:val="en-GB"/>
        </w:rPr>
        <w:t>F</w:t>
      </w:r>
      <w:r w:rsidRPr="006D05D9">
        <w:rPr>
          <w:rFonts w:cstheme="minorHAnsi"/>
          <w:lang w:val="en-GB"/>
        </w:rPr>
        <w:t>or Medial</w:t>
      </w:r>
      <w:r w:rsidR="00B80376" w:rsidRPr="006D05D9">
        <w:rPr>
          <w:rFonts w:cstheme="minorHAnsi"/>
          <w:lang w:val="en-GB"/>
        </w:rPr>
        <w:t xml:space="preserve"> </w:t>
      </w:r>
      <m:oMath>
        <m:r>
          <m:rPr>
            <m:sty m:val="p"/>
          </m:rPr>
          <w:rPr>
            <w:rFonts w:ascii="Cambria Math" w:hAnsi="Cambria Math" w:cstheme="minorHAnsi"/>
            <w:lang w:val="en-GB"/>
          </w:rPr>
          <m:t>(p=.001)</m:t>
        </m:r>
      </m:oMath>
      <w:r w:rsidR="00314651" w:rsidRPr="006D05D9">
        <w:rPr>
          <w:rFonts w:cstheme="minorHAnsi"/>
          <w:lang w:val="en-GB"/>
        </w:rPr>
        <w:t xml:space="preserve"> </w:t>
      </w:r>
      <w:r w:rsidRPr="006D05D9">
        <w:rPr>
          <w:rFonts w:cstheme="minorHAnsi"/>
          <w:lang w:val="en-GB"/>
        </w:rPr>
        <w:t>and Inferior Trapezius</w:t>
      </w:r>
      <w:r w:rsidR="00B80376" w:rsidRPr="006D05D9">
        <w:rPr>
          <w:rFonts w:cstheme="minorHAnsi"/>
          <w:lang w:val="en-GB"/>
        </w:rPr>
        <w:t xml:space="preserve"> </w:t>
      </w:r>
      <m:oMath>
        <m:d>
          <m:dPr>
            <m:ctrlPr>
              <w:rPr>
                <w:rFonts w:ascii="Cambria Math" w:hAnsi="Cambria Math" w:cstheme="minorHAnsi"/>
                <w:lang w:val="en-GB"/>
              </w:rPr>
            </m:ctrlPr>
          </m:dPr>
          <m:e>
            <m:r>
              <m:rPr>
                <m:sty m:val="p"/>
              </m:rPr>
              <w:rPr>
                <w:rFonts w:ascii="Cambria Math" w:hAnsi="Cambria Math" w:cstheme="minorHAnsi"/>
                <w:lang w:val="en-GB"/>
              </w:rPr>
              <m:t>p=.004</m:t>
            </m:r>
          </m:e>
        </m:d>
      </m:oMath>
      <w:r w:rsidR="00A5695E" w:rsidRPr="006D05D9">
        <w:rPr>
          <w:rFonts w:cstheme="minorHAnsi"/>
          <w:lang w:val="en-GB"/>
        </w:rPr>
        <w:t>, significant differences were found</w:t>
      </w:r>
      <w:r w:rsidRPr="006D05D9">
        <w:rPr>
          <w:rFonts w:cstheme="minorHAnsi"/>
          <w:lang w:val="en-GB"/>
        </w:rPr>
        <w:t xml:space="preserve"> at object manipulation task</w:t>
      </w:r>
      <w:r w:rsidR="00532B01" w:rsidRPr="006D05D9">
        <w:rPr>
          <w:rFonts w:cstheme="minorHAnsi"/>
          <w:lang w:val="en-GB"/>
        </w:rPr>
        <w:t xml:space="preserve">. </w:t>
      </w:r>
      <w:r w:rsidR="003F4A83" w:rsidRPr="006D05D9">
        <w:rPr>
          <w:rFonts w:cstheme="minorHAnsi"/>
          <w:lang w:val="en-GB"/>
        </w:rPr>
        <w:t>F</w:t>
      </w:r>
      <w:r w:rsidRPr="006D05D9">
        <w:rPr>
          <w:rFonts w:cstheme="minorHAnsi"/>
          <w:lang w:val="en-GB"/>
        </w:rPr>
        <w:t>or Serratus Anterior</w:t>
      </w:r>
      <w:r w:rsidR="003F4A83" w:rsidRPr="006D05D9">
        <w:rPr>
          <w:rFonts w:cstheme="minorHAnsi"/>
          <w:lang w:val="en-GB"/>
        </w:rPr>
        <w:t>, significant differences were found</w:t>
      </w:r>
      <w:r w:rsidRPr="006D05D9">
        <w:rPr>
          <w:rFonts w:cstheme="minorHAnsi"/>
          <w:lang w:val="en-GB"/>
        </w:rPr>
        <w:t xml:space="preserve"> at use of electronic device (tablet) task </w:t>
      </w:r>
      <m:oMath>
        <m:r>
          <m:rPr>
            <m:sty m:val="p"/>
          </m:rPr>
          <w:rPr>
            <w:rFonts w:ascii="Cambria Math" w:hAnsi="Cambria Math" w:cstheme="minorHAnsi"/>
            <w:lang w:val="en-GB"/>
          </w:rPr>
          <m:t>(p=.014)</m:t>
        </m:r>
      </m:oMath>
      <w:r w:rsidRPr="006D05D9">
        <w:rPr>
          <w:rFonts w:cstheme="minorHAnsi"/>
          <w:lang w:val="en-GB"/>
        </w:rPr>
        <w:t>.</w:t>
      </w:r>
    </w:p>
    <w:p w14:paraId="10A5F856" w14:textId="3B9ADF24" w:rsidR="009A3ECB" w:rsidRPr="006D05D9" w:rsidRDefault="009A3ECB" w:rsidP="009A3ECB">
      <w:pPr>
        <w:rPr>
          <w:sz w:val="20"/>
          <w:szCs w:val="20"/>
          <w:lang w:val="en-GB"/>
        </w:rPr>
      </w:pPr>
      <w:r w:rsidRPr="006D05D9">
        <w:rPr>
          <w:noProof/>
          <w:sz w:val="20"/>
          <w:szCs w:val="20"/>
          <w:lang w:val="en-GB"/>
        </w:rPr>
        <w:lastRenderedPageBreak/>
        <w:drawing>
          <wp:anchor distT="0" distB="0" distL="114300" distR="114300" simplePos="0" relativeHeight="251662336" behindDoc="0" locked="0" layoutInCell="1" allowOverlap="1" wp14:anchorId="65897333" wp14:editId="26E14B13">
            <wp:simplePos x="0" y="0"/>
            <wp:positionH relativeFrom="margin">
              <wp:align>center</wp:align>
            </wp:positionH>
            <wp:positionV relativeFrom="margin">
              <wp:align>top</wp:align>
            </wp:positionV>
            <wp:extent cx="5612130" cy="3289300"/>
            <wp:effectExtent l="19050" t="19050" r="26670" b="25400"/>
            <wp:wrapSquare wrapText="bothSides"/>
            <wp:docPr id="1055691359" name="Picture 2" descr="A group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91359" name="Picture 2" descr="A group of black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289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6D05D9">
        <w:rPr>
          <w:sz w:val="20"/>
          <w:szCs w:val="20"/>
          <w:lang w:val="en-GB"/>
        </w:rPr>
        <w:t xml:space="preserve">Figure </w:t>
      </w:r>
      <w:r w:rsidR="00092C3E" w:rsidRPr="006D05D9">
        <w:rPr>
          <w:sz w:val="20"/>
          <w:szCs w:val="20"/>
          <w:lang w:val="en-GB"/>
        </w:rPr>
        <w:t>4</w:t>
      </w:r>
      <w:r w:rsidRPr="006D05D9">
        <w:rPr>
          <w:sz w:val="20"/>
          <w:szCs w:val="20"/>
          <w:lang w:val="en-GB"/>
        </w:rPr>
        <w:t xml:space="preserve">. Muscle Activity </w:t>
      </w:r>
      <w:proofErr w:type="spellStart"/>
      <w:r w:rsidRPr="006D05D9">
        <w:rPr>
          <w:sz w:val="20"/>
          <w:szCs w:val="20"/>
          <w:lang w:val="en-GB"/>
        </w:rPr>
        <w:t>sEMG</w:t>
      </w:r>
      <w:proofErr w:type="spellEnd"/>
      <w:r w:rsidRPr="006D05D9">
        <w:rPr>
          <w:sz w:val="20"/>
          <w:szCs w:val="20"/>
          <w:lang w:val="en-GB"/>
        </w:rPr>
        <w:t xml:space="preserve"> Normalized against </w:t>
      </w:r>
      <w:proofErr w:type="spellStart"/>
      <w:r w:rsidRPr="006D05D9">
        <w:rPr>
          <w:sz w:val="20"/>
          <w:szCs w:val="20"/>
          <w:lang w:val="en-GB"/>
        </w:rPr>
        <w:t>iMVC</w:t>
      </w:r>
      <w:proofErr w:type="spellEnd"/>
      <w:r w:rsidRPr="006D05D9">
        <w:rPr>
          <w:sz w:val="20"/>
          <w:szCs w:val="20"/>
          <w:lang w:val="en-GB"/>
        </w:rPr>
        <w:t xml:space="preserve">. Differences between both experimental conditions regarding normalized electromyographical activity presented as % </w:t>
      </w:r>
      <w:proofErr w:type="spellStart"/>
      <w:r w:rsidRPr="006D05D9">
        <w:rPr>
          <w:sz w:val="20"/>
          <w:szCs w:val="20"/>
          <w:lang w:val="en-GB"/>
        </w:rPr>
        <w:t>iMVC</w:t>
      </w:r>
      <w:proofErr w:type="spellEnd"/>
      <w:r w:rsidRPr="006D05D9">
        <w:rPr>
          <w:sz w:val="20"/>
          <w:szCs w:val="20"/>
          <w:lang w:val="en-GB"/>
        </w:rPr>
        <w:t xml:space="preserve">. </w:t>
      </w:r>
      <w:bookmarkStart w:id="5" w:name="OLE_LINK6"/>
      <w:r w:rsidRPr="006D05D9">
        <w:rPr>
          <w:sz w:val="20"/>
          <w:szCs w:val="20"/>
          <w:lang w:val="en-GB"/>
        </w:rPr>
        <w:t>Tasks: 1. Writing; 2. Reading; 3. Typing; 4. Device usage (PC); 5. Device usage (Tablet); 6. Object manipulation; 7. Total</w:t>
      </w:r>
      <w:bookmarkEnd w:id="5"/>
    </w:p>
    <w:p w14:paraId="7FE0BDE8" w14:textId="77777777" w:rsidR="00F94289" w:rsidRPr="006D05D9" w:rsidRDefault="00F94289" w:rsidP="00E313C8">
      <w:pPr>
        <w:rPr>
          <w:lang w:val="en-GB"/>
        </w:rPr>
      </w:pPr>
    </w:p>
    <w:p w14:paraId="61EF76EA" w14:textId="1B7ACED6" w:rsidR="00F94289" w:rsidRPr="006D05D9" w:rsidRDefault="00F94289" w:rsidP="005B7802">
      <w:pPr>
        <w:ind w:firstLine="284"/>
        <w:rPr>
          <w:lang w:val="en-GB"/>
        </w:rPr>
      </w:pPr>
      <w:r w:rsidRPr="006D05D9">
        <w:rPr>
          <w:rFonts w:eastAsiaTheme="minorEastAsia"/>
          <w:lang w:val="en-GB"/>
        </w:rPr>
        <w:t>In terms of muscle activity and inactivity periods, there is no</w:t>
      </w:r>
      <w:r w:rsidRPr="006D05D9">
        <w:rPr>
          <w:lang w:val="en-GB"/>
        </w:rPr>
        <w:t xml:space="preserve"> statistically significant difference between conditions for all tested muscles, as well as no difference regarding task and condition, as shown in </w:t>
      </w:r>
      <w:r w:rsidR="006D31BF" w:rsidRPr="006D05D9">
        <w:rPr>
          <w:lang w:val="en-GB"/>
        </w:rPr>
        <w:t>F</w:t>
      </w:r>
      <w:r w:rsidRPr="006D05D9">
        <w:rPr>
          <w:lang w:val="en-GB"/>
        </w:rPr>
        <w:t xml:space="preserve">igure </w:t>
      </w:r>
      <w:r w:rsidR="00092C3E" w:rsidRPr="006D05D9">
        <w:rPr>
          <w:lang w:val="en-GB"/>
        </w:rPr>
        <w:t>5</w:t>
      </w:r>
      <w:r w:rsidRPr="006D05D9">
        <w:rPr>
          <w:lang w:val="en-GB"/>
        </w:rPr>
        <w:t>.</w:t>
      </w:r>
    </w:p>
    <w:p w14:paraId="29DE2655" w14:textId="77777777" w:rsidR="005B7802" w:rsidRPr="006D05D9" w:rsidRDefault="005B7802" w:rsidP="005B7802">
      <w:pPr>
        <w:ind w:firstLine="284"/>
        <w:rPr>
          <w:lang w:val="en-GB"/>
        </w:rPr>
      </w:pPr>
    </w:p>
    <w:p w14:paraId="725C9994" w14:textId="411D521E" w:rsidR="001F14F2" w:rsidRPr="006D05D9" w:rsidRDefault="00BF0399" w:rsidP="001F14F2">
      <w:pPr>
        <w:keepNext/>
        <w:jc w:val="center"/>
        <w:rPr>
          <w:lang w:val="en-GB"/>
        </w:rPr>
      </w:pPr>
      <w:r w:rsidRPr="006D05D9">
        <w:rPr>
          <w:noProof/>
          <w:lang w:val="en-GB"/>
        </w:rPr>
        <w:drawing>
          <wp:inline distT="0" distB="0" distL="0" distR="0" wp14:anchorId="4E36D438" wp14:editId="7DA0EF87">
            <wp:extent cx="4794375" cy="2772000"/>
            <wp:effectExtent l="19050" t="19050" r="25400" b="28575"/>
            <wp:docPr id="76152395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23959" name="Picture 2" descr="A screenshot of a graph&#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7" t="3290" r="4312" b="1638"/>
                    <a:stretch/>
                  </pic:blipFill>
                  <pic:spPr bwMode="auto">
                    <a:xfrm>
                      <a:off x="0" y="0"/>
                      <a:ext cx="4794375" cy="2772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92A80B9" w14:textId="13BE8F7A" w:rsidR="00B744C3" w:rsidRPr="006D05D9" w:rsidRDefault="001F14F2" w:rsidP="007941BC">
      <w:pPr>
        <w:rPr>
          <w:sz w:val="20"/>
          <w:szCs w:val="20"/>
          <w:lang w:val="en-GB"/>
        </w:rPr>
      </w:pPr>
      <w:r w:rsidRPr="006D05D9">
        <w:rPr>
          <w:sz w:val="20"/>
          <w:szCs w:val="20"/>
          <w:lang w:val="en-GB"/>
        </w:rPr>
        <w:t xml:space="preserve">Figure </w:t>
      </w:r>
      <w:r w:rsidR="00092C3E" w:rsidRPr="006D05D9">
        <w:rPr>
          <w:sz w:val="20"/>
          <w:szCs w:val="20"/>
          <w:lang w:val="en-GB"/>
        </w:rPr>
        <w:t>5</w:t>
      </w:r>
      <w:r w:rsidRPr="006D05D9">
        <w:rPr>
          <w:sz w:val="20"/>
          <w:szCs w:val="20"/>
          <w:lang w:val="en-GB"/>
        </w:rPr>
        <w:t>. Muscle Activity</w:t>
      </w:r>
      <w:r w:rsidR="007941BC" w:rsidRPr="006D05D9">
        <w:rPr>
          <w:sz w:val="20"/>
          <w:szCs w:val="20"/>
          <w:lang w:val="en-GB"/>
        </w:rPr>
        <w:t xml:space="preserve"> </w:t>
      </w:r>
      <w:r w:rsidR="00F94289" w:rsidRPr="006D05D9">
        <w:rPr>
          <w:sz w:val="20"/>
          <w:szCs w:val="20"/>
          <w:lang w:val="en-GB"/>
        </w:rPr>
        <w:t>period</w:t>
      </w:r>
      <w:r w:rsidR="007941BC" w:rsidRPr="006D05D9">
        <w:rPr>
          <w:sz w:val="20"/>
          <w:szCs w:val="20"/>
          <w:lang w:val="en-GB"/>
        </w:rPr>
        <w:t>.</w:t>
      </w:r>
      <w:r w:rsidR="00F94289" w:rsidRPr="006D05D9">
        <w:rPr>
          <w:sz w:val="20"/>
          <w:szCs w:val="20"/>
          <w:lang w:val="en-GB"/>
        </w:rPr>
        <w:t xml:space="preserve"> </w:t>
      </w:r>
      <w:r w:rsidR="00270EC9" w:rsidRPr="006D05D9">
        <w:rPr>
          <w:sz w:val="20"/>
          <w:szCs w:val="20"/>
          <w:lang w:val="en-GB"/>
        </w:rPr>
        <w:t>Low and Moderate levels of muscle a</w:t>
      </w:r>
      <w:r w:rsidR="009766F2" w:rsidRPr="006D05D9">
        <w:rPr>
          <w:sz w:val="20"/>
          <w:szCs w:val="20"/>
          <w:lang w:val="en-GB"/>
        </w:rPr>
        <w:t>ctivity of each target measured muscle during each task measured in seconds.</w:t>
      </w:r>
      <w:r w:rsidR="00270EC9" w:rsidRPr="006D05D9">
        <w:rPr>
          <w:sz w:val="20"/>
          <w:szCs w:val="20"/>
          <w:lang w:val="en-GB"/>
        </w:rPr>
        <w:t xml:space="preserve"> </w:t>
      </w:r>
      <w:r w:rsidR="00BF0399" w:rsidRPr="006D05D9">
        <w:rPr>
          <w:sz w:val="20"/>
          <w:szCs w:val="20"/>
          <w:lang w:val="en-GB"/>
        </w:rPr>
        <w:t>Tasks: 1. Writing; 2. Reading; 3. Typing; 4. Device usage (PC); 5. Device usage (Tablet); 6. Object manipulation; 7. Total</w:t>
      </w:r>
    </w:p>
    <w:p w14:paraId="5CB85380" w14:textId="77777777" w:rsidR="00244E3E" w:rsidRPr="006D05D9" w:rsidRDefault="00244E3E" w:rsidP="007941BC">
      <w:pPr>
        <w:rPr>
          <w:sz w:val="20"/>
          <w:szCs w:val="20"/>
          <w:lang w:val="en-GB"/>
        </w:rPr>
      </w:pPr>
    </w:p>
    <w:p w14:paraId="0671CA98" w14:textId="77777777" w:rsidR="00CA58C2" w:rsidRPr="006D05D9" w:rsidRDefault="00CA58C2" w:rsidP="007941BC">
      <w:pPr>
        <w:rPr>
          <w:sz w:val="20"/>
          <w:szCs w:val="20"/>
          <w:lang w:val="en-GB"/>
        </w:rPr>
      </w:pPr>
    </w:p>
    <w:p w14:paraId="7842CF07" w14:textId="703F74D4" w:rsidR="00616D5A" w:rsidRPr="006D05D9" w:rsidRDefault="00244E3E" w:rsidP="007941BC">
      <w:pPr>
        <w:rPr>
          <w:b/>
          <w:bCs/>
          <w:sz w:val="24"/>
          <w:szCs w:val="24"/>
          <w:lang w:val="en-GB"/>
        </w:rPr>
      </w:pPr>
      <w:r w:rsidRPr="006D05D9">
        <w:rPr>
          <w:b/>
          <w:bCs/>
          <w:sz w:val="24"/>
          <w:szCs w:val="24"/>
          <w:lang w:val="en-GB"/>
        </w:rPr>
        <w:lastRenderedPageBreak/>
        <w:t>3.3. Performance</w:t>
      </w:r>
      <w:r w:rsidR="00A73D19" w:rsidRPr="006D05D9">
        <w:rPr>
          <w:b/>
          <w:bCs/>
          <w:sz w:val="24"/>
          <w:szCs w:val="24"/>
          <w:lang w:val="en-GB"/>
        </w:rPr>
        <w:t xml:space="preserve">. </w:t>
      </w:r>
    </w:p>
    <w:p w14:paraId="6B7F196A" w14:textId="5D14A631" w:rsidR="000A6C12" w:rsidRPr="006D05D9" w:rsidRDefault="000A6C12" w:rsidP="007941BC">
      <w:pPr>
        <w:rPr>
          <w:lang w:val="en-GB"/>
        </w:rPr>
      </w:pPr>
    </w:p>
    <w:p w14:paraId="3C43DEC9" w14:textId="6354BA25" w:rsidR="00BE3384" w:rsidRPr="006D05D9" w:rsidRDefault="00BC54E8" w:rsidP="00BE3384">
      <w:pPr>
        <w:ind w:firstLine="284"/>
        <w:rPr>
          <w:lang w:val="en-GB"/>
        </w:rPr>
      </w:pPr>
      <w:r w:rsidRPr="006D05D9">
        <w:rPr>
          <w:lang w:val="en-GB"/>
        </w:rPr>
        <w:t xml:space="preserve">Statistical analysis shows that there </w:t>
      </w:r>
      <w:r w:rsidR="00844A9E" w:rsidRPr="006D05D9">
        <w:rPr>
          <w:lang w:val="en-GB"/>
        </w:rPr>
        <w:t>are</w:t>
      </w:r>
      <w:r w:rsidRPr="006D05D9">
        <w:rPr>
          <w:lang w:val="en-GB"/>
        </w:rPr>
        <w:t xml:space="preserve"> no significant differences between </w:t>
      </w:r>
      <w:r w:rsidR="00844A9E" w:rsidRPr="006D05D9">
        <w:rPr>
          <w:lang w:val="en-GB"/>
        </w:rPr>
        <w:t>the two tested conditions for the different performance</w:t>
      </w:r>
      <w:r w:rsidR="006D31BF" w:rsidRPr="006D05D9">
        <w:rPr>
          <w:lang w:val="en-GB"/>
        </w:rPr>
        <w:t>-</w:t>
      </w:r>
      <w:r w:rsidR="00844A9E" w:rsidRPr="006D05D9">
        <w:rPr>
          <w:lang w:val="en-GB"/>
        </w:rPr>
        <w:t xml:space="preserve">measured variables. Figure </w:t>
      </w:r>
      <w:r w:rsidR="00E00E7C" w:rsidRPr="006D05D9">
        <w:rPr>
          <w:lang w:val="en-GB"/>
        </w:rPr>
        <w:t>6</w:t>
      </w:r>
      <w:r w:rsidR="00844A9E" w:rsidRPr="006D05D9">
        <w:rPr>
          <w:lang w:val="en-GB"/>
        </w:rPr>
        <w:t xml:space="preserve"> shows each </w:t>
      </w:r>
      <w:r w:rsidR="00AA5F81" w:rsidRPr="006D05D9">
        <w:rPr>
          <w:lang w:val="en-GB"/>
        </w:rPr>
        <w:t>variable regarding both desk height conditions.</w:t>
      </w:r>
    </w:p>
    <w:p w14:paraId="65CC91FE" w14:textId="0C86E9E2" w:rsidR="00BE3384" w:rsidRPr="006D05D9" w:rsidRDefault="00BE3384" w:rsidP="00BE3384">
      <w:pPr>
        <w:ind w:firstLine="284"/>
        <w:rPr>
          <w:lang w:val="en-GB"/>
        </w:rPr>
      </w:pPr>
      <w:r w:rsidRPr="006D05D9">
        <w:rPr>
          <w:noProof/>
          <w:lang w:val="en-GB"/>
        </w:rPr>
        <w:drawing>
          <wp:anchor distT="0" distB="0" distL="114300" distR="114300" simplePos="0" relativeHeight="251658240" behindDoc="1" locked="0" layoutInCell="1" allowOverlap="1" wp14:anchorId="7D0B2279" wp14:editId="7DCA21BF">
            <wp:simplePos x="0" y="0"/>
            <wp:positionH relativeFrom="margin">
              <wp:align>center</wp:align>
            </wp:positionH>
            <wp:positionV relativeFrom="paragraph">
              <wp:posOffset>114300</wp:posOffset>
            </wp:positionV>
            <wp:extent cx="4453039" cy="3312000"/>
            <wp:effectExtent l="19050" t="19050" r="24130" b="22225"/>
            <wp:wrapSquare wrapText="bothSides"/>
            <wp:docPr id="1664265248" name="Picture 7"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65248" name="Picture 7" descr="A black background with whit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3039" cy="3312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479AEE9" w14:textId="7D572E6B" w:rsidR="00B744C3" w:rsidRPr="006D05D9" w:rsidRDefault="00EC5B8A" w:rsidP="00BE3384">
      <w:pPr>
        <w:ind w:firstLine="284"/>
        <w:rPr>
          <w:sz w:val="20"/>
          <w:szCs w:val="20"/>
          <w:lang w:val="en-GB"/>
        </w:rPr>
      </w:pPr>
      <w:r w:rsidRPr="006D05D9">
        <w:rPr>
          <w:sz w:val="20"/>
          <w:szCs w:val="20"/>
          <w:lang w:val="en-GB"/>
        </w:rPr>
        <w:t xml:space="preserve">Figure </w:t>
      </w:r>
      <w:r w:rsidR="00E00E7C" w:rsidRPr="006D05D9">
        <w:rPr>
          <w:sz w:val="20"/>
          <w:szCs w:val="20"/>
          <w:lang w:val="en-GB"/>
        </w:rPr>
        <w:t>6</w:t>
      </w:r>
      <w:r w:rsidRPr="006D05D9">
        <w:rPr>
          <w:sz w:val="20"/>
          <w:szCs w:val="20"/>
          <w:lang w:val="en-GB"/>
        </w:rPr>
        <w:t xml:space="preserve">. Performance. </w:t>
      </w:r>
      <w:r w:rsidR="002B3012" w:rsidRPr="006D05D9">
        <w:rPr>
          <w:sz w:val="20"/>
          <w:szCs w:val="20"/>
          <w:lang w:val="en-GB"/>
        </w:rPr>
        <w:t xml:space="preserve">Performance for writing and reading tasks were measured as Words per Minute, whereas Throughput and Time were measured for </w:t>
      </w:r>
      <w:r w:rsidR="003D47C3" w:rsidRPr="006D05D9">
        <w:rPr>
          <w:sz w:val="20"/>
          <w:szCs w:val="20"/>
          <w:lang w:val="en-GB"/>
        </w:rPr>
        <w:t xml:space="preserve">the </w:t>
      </w:r>
      <w:r w:rsidR="00042652" w:rsidRPr="006D05D9">
        <w:rPr>
          <w:sz w:val="20"/>
          <w:szCs w:val="20"/>
          <w:lang w:val="en-GB"/>
        </w:rPr>
        <w:t>use of digital devices and object manipulation tasks respectively.</w:t>
      </w:r>
    </w:p>
    <w:p w14:paraId="7089BD09" w14:textId="7527A236" w:rsidR="00E60B10" w:rsidRPr="006D05D9" w:rsidRDefault="00E60B10" w:rsidP="00EC5B8A">
      <w:pPr>
        <w:rPr>
          <w:lang w:val="en-GB"/>
        </w:rPr>
      </w:pPr>
    </w:p>
    <w:p w14:paraId="0DDBB8F1" w14:textId="77777777" w:rsidR="00113B5E" w:rsidRPr="006D05D9" w:rsidRDefault="00113B5E" w:rsidP="00EC5B8A">
      <w:pPr>
        <w:rPr>
          <w:lang w:val="en-GB"/>
        </w:rPr>
      </w:pPr>
    </w:p>
    <w:p w14:paraId="432DEC38" w14:textId="0971A3A8" w:rsidR="008A6746" w:rsidRPr="006D05D9" w:rsidRDefault="00E60B10" w:rsidP="00EC5B8A">
      <w:pPr>
        <w:rPr>
          <w:b/>
          <w:bCs/>
          <w:sz w:val="24"/>
          <w:szCs w:val="24"/>
          <w:lang w:val="en-GB"/>
        </w:rPr>
      </w:pPr>
      <w:r w:rsidRPr="006D05D9">
        <w:rPr>
          <w:b/>
          <w:bCs/>
          <w:sz w:val="24"/>
          <w:szCs w:val="24"/>
          <w:lang w:val="en-GB"/>
        </w:rPr>
        <w:t>3.4</w:t>
      </w:r>
      <w:r w:rsidR="000A0312" w:rsidRPr="006D05D9">
        <w:rPr>
          <w:b/>
          <w:bCs/>
          <w:sz w:val="24"/>
          <w:szCs w:val="24"/>
          <w:lang w:val="en-GB"/>
        </w:rPr>
        <w:t xml:space="preserve">. </w:t>
      </w:r>
      <w:r w:rsidRPr="006D05D9">
        <w:rPr>
          <w:b/>
          <w:bCs/>
          <w:sz w:val="24"/>
          <w:szCs w:val="24"/>
          <w:lang w:val="en-GB"/>
        </w:rPr>
        <w:t>Preference.</w:t>
      </w:r>
      <w:r w:rsidR="00504BA2" w:rsidRPr="006D05D9">
        <w:rPr>
          <w:b/>
          <w:bCs/>
          <w:sz w:val="24"/>
          <w:szCs w:val="24"/>
          <w:lang w:val="en-GB"/>
        </w:rPr>
        <w:t xml:space="preserve"> </w:t>
      </w:r>
    </w:p>
    <w:p w14:paraId="09400E17" w14:textId="77777777" w:rsidR="000A6C12" w:rsidRPr="006D05D9" w:rsidRDefault="000A6C12" w:rsidP="008179DA">
      <w:pPr>
        <w:rPr>
          <w:lang w:val="en-GB"/>
        </w:rPr>
      </w:pPr>
    </w:p>
    <w:p w14:paraId="1FF4ACE8" w14:textId="74482D93" w:rsidR="002E2A8E" w:rsidRPr="006D05D9" w:rsidRDefault="002E2A8E" w:rsidP="00113B5E">
      <w:pPr>
        <w:ind w:firstLine="284"/>
        <w:rPr>
          <w:lang w:val="en-GB"/>
        </w:rPr>
      </w:pPr>
      <w:r w:rsidRPr="006D05D9">
        <w:rPr>
          <w:lang w:val="en-GB"/>
        </w:rPr>
        <w:t>Descriptive analysis shows that 53% of subjects (n:18) preferred the proposed desk height and the other 47% of subjects</w:t>
      </w:r>
      <w:r w:rsidR="00EE0BD1" w:rsidRPr="006D05D9">
        <w:rPr>
          <w:lang w:val="en-GB"/>
        </w:rPr>
        <w:t xml:space="preserve"> (n:16)</w:t>
      </w:r>
      <w:r w:rsidRPr="006D05D9">
        <w:rPr>
          <w:lang w:val="en-GB"/>
        </w:rPr>
        <w:t xml:space="preserve"> preferred the original desk height. By applying the Chi-square test it was established that there is not dependency between </w:t>
      </w:r>
      <w:r w:rsidR="00EE0BD1" w:rsidRPr="006D05D9">
        <w:rPr>
          <w:lang w:val="en-GB"/>
        </w:rPr>
        <w:t>condition (Original and Proposal) and preference (1</w:t>
      </w:r>
      <w:r w:rsidR="00EE0BD1" w:rsidRPr="006D05D9">
        <w:rPr>
          <w:vertAlign w:val="superscript"/>
          <w:lang w:val="en-GB"/>
        </w:rPr>
        <w:t>st</w:t>
      </w:r>
      <w:r w:rsidR="00EE0BD1" w:rsidRPr="006D05D9">
        <w:rPr>
          <w:lang w:val="en-GB"/>
        </w:rPr>
        <w:t xml:space="preserve"> or 2</w:t>
      </w:r>
      <w:r w:rsidR="00EE0BD1" w:rsidRPr="006D05D9">
        <w:rPr>
          <w:vertAlign w:val="superscript"/>
          <w:lang w:val="en-GB"/>
        </w:rPr>
        <w:t>nd</w:t>
      </w:r>
      <w:r w:rsidR="00EE0BD1" w:rsidRPr="006D05D9">
        <w:rPr>
          <w:lang w:val="en-GB"/>
        </w:rPr>
        <w:t>)</w:t>
      </w:r>
      <w:r w:rsidRPr="006D05D9">
        <w:rPr>
          <w:lang w:val="en-GB"/>
        </w:rPr>
        <w:t xml:space="preserve"> (</w:t>
      </w:r>
      <w:r w:rsidRPr="006D05D9">
        <w:rPr>
          <w:i/>
          <w:iCs/>
          <w:lang w:val="en-GB"/>
        </w:rPr>
        <w:t>X</w:t>
      </w:r>
      <w:r w:rsidRPr="006D05D9">
        <w:rPr>
          <w:vertAlign w:val="superscript"/>
          <w:lang w:val="en-GB"/>
        </w:rPr>
        <w:t>2</w:t>
      </w:r>
      <w:r w:rsidRPr="006D05D9">
        <w:rPr>
          <w:lang w:val="en-GB"/>
        </w:rPr>
        <w:t xml:space="preserve"> = </w:t>
      </w:r>
      <w:r w:rsidR="00EE0BD1" w:rsidRPr="006D05D9">
        <w:rPr>
          <w:lang w:val="en-GB"/>
        </w:rPr>
        <w:t>0.2353</w:t>
      </w:r>
      <w:r w:rsidRPr="006D05D9">
        <w:rPr>
          <w:lang w:val="en-GB"/>
        </w:rPr>
        <w:t>, p-value</w:t>
      </w:r>
      <w:r w:rsidR="0064292B" w:rsidRPr="006D05D9">
        <w:rPr>
          <w:lang w:val="en-GB"/>
        </w:rPr>
        <w:t xml:space="preserve"> = .6276)</w:t>
      </w:r>
      <w:r w:rsidRPr="006D05D9">
        <w:rPr>
          <w:lang w:val="en-GB"/>
        </w:rPr>
        <w:t>.</w:t>
      </w:r>
    </w:p>
    <w:p w14:paraId="12375E5B" w14:textId="77777777" w:rsidR="002C3CB7" w:rsidRPr="006D05D9" w:rsidRDefault="002C3CB7" w:rsidP="002C3CB7">
      <w:pPr>
        <w:ind w:firstLine="284"/>
        <w:rPr>
          <w:lang w:val="en-GB"/>
        </w:rPr>
      </w:pPr>
    </w:p>
    <w:p w14:paraId="09DEBBFF" w14:textId="77777777" w:rsidR="00273368" w:rsidRPr="006D05D9" w:rsidRDefault="00273368" w:rsidP="00F84763">
      <w:pPr>
        <w:rPr>
          <w:sz w:val="18"/>
          <w:szCs w:val="18"/>
          <w:lang w:val="en-GB"/>
        </w:rPr>
      </w:pPr>
    </w:p>
    <w:p w14:paraId="3A1C02DD" w14:textId="447CFC10" w:rsidR="00F84763" w:rsidRPr="006D05D9" w:rsidRDefault="008A6746" w:rsidP="00F84763">
      <w:pPr>
        <w:rPr>
          <w:b/>
          <w:bCs/>
          <w:sz w:val="24"/>
          <w:szCs w:val="24"/>
          <w:lang w:val="en-GB"/>
        </w:rPr>
      </w:pPr>
      <w:r w:rsidRPr="006D05D9">
        <w:rPr>
          <w:b/>
          <w:bCs/>
          <w:sz w:val="24"/>
          <w:szCs w:val="24"/>
          <w:lang w:val="en-GB"/>
        </w:rPr>
        <w:t xml:space="preserve">3.5 Discomfort. </w:t>
      </w:r>
    </w:p>
    <w:p w14:paraId="757A22DF" w14:textId="77777777" w:rsidR="00113B5E" w:rsidRPr="006D05D9" w:rsidRDefault="00113B5E" w:rsidP="00CD20F0">
      <w:pPr>
        <w:ind w:firstLine="284"/>
        <w:rPr>
          <w:highlight w:val="yellow"/>
          <w:lang w:val="en-GB"/>
        </w:rPr>
      </w:pPr>
    </w:p>
    <w:p w14:paraId="25E0D7FD" w14:textId="2B41422F" w:rsidR="00F81AC6" w:rsidRPr="006D05D9" w:rsidRDefault="00725D93" w:rsidP="00CD20F0">
      <w:pPr>
        <w:ind w:firstLine="284"/>
        <w:rPr>
          <w:rFonts w:cstheme="minorHAnsi"/>
          <w:lang w:val="en-GB"/>
        </w:rPr>
      </w:pPr>
      <w:r w:rsidRPr="006D05D9">
        <w:rPr>
          <w:rFonts w:cstheme="minorHAnsi"/>
          <w:lang w:val="en-GB"/>
        </w:rPr>
        <w:t xml:space="preserve">A total of </w:t>
      </w:r>
      <w:r w:rsidR="008C3CAF">
        <w:rPr>
          <w:rFonts w:cstheme="minorHAnsi"/>
          <w:lang w:val="en-GB"/>
        </w:rPr>
        <w:t>22</w:t>
      </w:r>
      <w:r w:rsidR="00B85570" w:rsidRPr="006D05D9">
        <w:rPr>
          <w:rFonts w:cstheme="minorHAnsi"/>
          <w:lang w:val="en-GB"/>
        </w:rPr>
        <w:t xml:space="preserve"> </w:t>
      </w:r>
      <w:r w:rsidR="0035140A">
        <w:rPr>
          <w:rFonts w:cstheme="minorHAnsi"/>
          <w:lang w:val="en-GB"/>
        </w:rPr>
        <w:t>participants</w:t>
      </w:r>
      <w:r w:rsidR="008C3CAF" w:rsidRPr="006D05D9">
        <w:rPr>
          <w:rFonts w:cstheme="minorHAnsi"/>
          <w:lang w:val="en-GB"/>
        </w:rPr>
        <w:t xml:space="preserve"> </w:t>
      </w:r>
      <w:r w:rsidR="00B85570" w:rsidRPr="006D05D9">
        <w:rPr>
          <w:rFonts w:cstheme="minorHAnsi"/>
          <w:lang w:val="en-GB"/>
        </w:rPr>
        <w:t xml:space="preserve">reported </w:t>
      </w:r>
      <w:r w:rsidR="00262DF7" w:rsidRPr="006D05D9">
        <w:rPr>
          <w:rFonts w:cstheme="minorHAnsi"/>
          <w:lang w:val="en-GB"/>
        </w:rPr>
        <w:t>discomfort</w:t>
      </w:r>
      <w:r w:rsidR="00D0708B" w:rsidRPr="006D05D9">
        <w:rPr>
          <w:rFonts w:cstheme="minorHAnsi"/>
          <w:lang w:val="en-GB"/>
        </w:rPr>
        <w:t xml:space="preserve">. Of those, </w:t>
      </w:r>
      <w:r w:rsidR="003B1D30" w:rsidRPr="006D05D9">
        <w:rPr>
          <w:rFonts w:cstheme="minorHAnsi"/>
          <w:lang w:val="en-GB"/>
        </w:rPr>
        <w:t xml:space="preserve">19 </w:t>
      </w:r>
      <w:r w:rsidRPr="006D05D9">
        <w:rPr>
          <w:rFonts w:cstheme="minorHAnsi"/>
          <w:lang w:val="en-GB"/>
        </w:rPr>
        <w:t xml:space="preserve">reported </w:t>
      </w:r>
      <w:r w:rsidR="00113B5E" w:rsidRPr="006D05D9">
        <w:rPr>
          <w:rFonts w:cstheme="minorHAnsi"/>
          <w:lang w:val="en-GB"/>
        </w:rPr>
        <w:t>discomforts</w:t>
      </w:r>
      <w:r w:rsidRPr="006D05D9">
        <w:rPr>
          <w:rFonts w:cstheme="minorHAnsi"/>
          <w:lang w:val="en-GB"/>
        </w:rPr>
        <w:t xml:space="preserve"> in at least one body region after the use of the original desk height, while 17 subjects reported discomfort for the proposal condition.</w:t>
      </w:r>
      <w:r w:rsidR="008C3CAF">
        <w:rPr>
          <w:rFonts w:cstheme="minorHAnsi"/>
          <w:lang w:val="en-GB"/>
        </w:rPr>
        <w:t xml:space="preserve"> </w:t>
      </w:r>
      <w:r w:rsidR="00F81AC6" w:rsidRPr="006D05D9">
        <w:rPr>
          <w:rFonts w:cstheme="minorHAnsi"/>
          <w:lang w:val="en-GB"/>
        </w:rPr>
        <w:t xml:space="preserve">The severity of </w:t>
      </w:r>
      <w:r w:rsidR="00B16A06" w:rsidRPr="006D05D9">
        <w:rPr>
          <w:rFonts w:cstheme="minorHAnsi"/>
          <w:lang w:val="en-GB"/>
        </w:rPr>
        <w:t xml:space="preserve">postural discomfort in the participants while executing the </w:t>
      </w:r>
      <w:r w:rsidR="00113B5E" w:rsidRPr="006D05D9">
        <w:rPr>
          <w:rFonts w:cstheme="minorHAnsi"/>
          <w:lang w:val="en-GB"/>
        </w:rPr>
        <w:t>assigned</w:t>
      </w:r>
      <w:r w:rsidR="00B16A06" w:rsidRPr="006D05D9">
        <w:rPr>
          <w:rFonts w:cstheme="minorHAnsi"/>
          <w:lang w:val="en-GB"/>
        </w:rPr>
        <w:t xml:space="preserve"> tasks </w:t>
      </w:r>
      <w:r w:rsidR="00212BDC" w:rsidRPr="006D05D9">
        <w:rPr>
          <w:rFonts w:cstheme="minorHAnsi"/>
          <w:lang w:val="en-GB"/>
        </w:rPr>
        <w:t xml:space="preserve">while working with either desk height is presented in table </w:t>
      </w:r>
      <w:r w:rsidR="00AD006C" w:rsidRPr="006D05D9">
        <w:rPr>
          <w:rFonts w:cstheme="minorHAnsi"/>
          <w:lang w:val="en-GB"/>
        </w:rPr>
        <w:t>2</w:t>
      </w:r>
      <w:r w:rsidR="00212BDC" w:rsidRPr="006D05D9">
        <w:rPr>
          <w:rFonts w:cstheme="minorHAnsi"/>
          <w:lang w:val="en-GB"/>
        </w:rPr>
        <w:t>.</w:t>
      </w:r>
      <w:r w:rsidR="00865C4D" w:rsidRPr="006D05D9">
        <w:rPr>
          <w:rFonts w:cstheme="minorHAnsi"/>
          <w:lang w:val="en-GB"/>
        </w:rPr>
        <w:t xml:space="preserve"> </w:t>
      </w:r>
      <w:r w:rsidR="00624770" w:rsidRPr="006D05D9">
        <w:rPr>
          <w:rFonts w:cstheme="minorHAnsi"/>
          <w:lang w:val="en-GB"/>
        </w:rPr>
        <w:t>A Wilcoxon signed rank test revealed that there was no significant effect of desk height on change in discomfort</w:t>
      </w:r>
      <w:r w:rsidR="0014663F" w:rsidRPr="006D05D9">
        <w:rPr>
          <w:rFonts w:cstheme="minorHAnsi"/>
          <w:lang w:val="en-GB"/>
        </w:rPr>
        <w:t xml:space="preserve"> (table 2)</w:t>
      </w:r>
      <w:r w:rsidR="00624770" w:rsidRPr="006D05D9">
        <w:rPr>
          <w:rFonts w:cstheme="minorHAnsi"/>
          <w:lang w:val="en-GB"/>
        </w:rPr>
        <w:t>.</w:t>
      </w:r>
    </w:p>
    <w:p w14:paraId="7729F3AF" w14:textId="19B2D2B4" w:rsidR="008F0FAC" w:rsidRPr="006D05D9" w:rsidRDefault="008F0FAC">
      <w:pPr>
        <w:spacing w:after="160" w:line="259" w:lineRule="auto"/>
        <w:jc w:val="left"/>
        <w:rPr>
          <w:rFonts w:cstheme="minorHAnsi"/>
          <w:lang w:val="en-GB"/>
        </w:rPr>
      </w:pPr>
    </w:p>
    <w:p w14:paraId="45A0C9C9" w14:textId="77777777" w:rsidR="00113B5E" w:rsidRPr="006D05D9" w:rsidRDefault="00113B5E">
      <w:pPr>
        <w:spacing w:after="160" w:line="259" w:lineRule="auto"/>
        <w:jc w:val="left"/>
        <w:rPr>
          <w:sz w:val="20"/>
          <w:szCs w:val="20"/>
          <w:lang w:val="en-GB"/>
        </w:rPr>
      </w:pPr>
      <w:r w:rsidRPr="006D05D9">
        <w:rPr>
          <w:i/>
          <w:iCs/>
          <w:sz w:val="20"/>
          <w:szCs w:val="20"/>
          <w:lang w:val="en-GB"/>
        </w:rPr>
        <w:br w:type="page"/>
      </w:r>
    </w:p>
    <w:p w14:paraId="3D76B7CB" w14:textId="2C45C81A" w:rsidR="009A3BAB" w:rsidRPr="006D05D9" w:rsidRDefault="00CD20F0" w:rsidP="00E816F7">
      <w:pPr>
        <w:pStyle w:val="Descripcin"/>
        <w:jc w:val="center"/>
        <w:rPr>
          <w:lang w:val="en-GB"/>
        </w:rPr>
      </w:pPr>
      <w:r w:rsidRPr="006D05D9">
        <w:rPr>
          <w:i w:val="0"/>
          <w:iCs w:val="0"/>
          <w:color w:val="auto"/>
          <w:sz w:val="20"/>
          <w:szCs w:val="20"/>
          <w:lang w:val="en-GB"/>
        </w:rPr>
        <w:lastRenderedPageBreak/>
        <w:t>Table 2. Discomfort</w:t>
      </w:r>
      <w:r w:rsidR="009B5B5D" w:rsidRPr="006D05D9">
        <w:rPr>
          <w:i w:val="0"/>
          <w:iCs w:val="0"/>
          <w:color w:val="auto"/>
          <w:sz w:val="20"/>
          <w:szCs w:val="20"/>
          <w:lang w:val="en-GB"/>
        </w:rPr>
        <w:t xml:space="preserve"> </w:t>
      </w:r>
      <w:r w:rsidR="00E816F7" w:rsidRPr="006D05D9">
        <w:rPr>
          <w:i w:val="0"/>
          <w:iCs w:val="0"/>
          <w:color w:val="auto"/>
          <w:sz w:val="20"/>
          <w:szCs w:val="20"/>
          <w:lang w:val="en-GB"/>
        </w:rPr>
        <w:t>ratings</w:t>
      </w:r>
      <w:r w:rsidR="008C3CAF">
        <w:rPr>
          <w:i w:val="0"/>
          <w:iCs w:val="0"/>
          <w:color w:val="auto"/>
          <w:sz w:val="20"/>
          <w:szCs w:val="20"/>
          <w:lang w:val="en-GB"/>
        </w:rPr>
        <w:t xml:space="preserve"> (in points)</w:t>
      </w:r>
      <w:r w:rsidR="00E816F7" w:rsidRPr="006D05D9">
        <w:rPr>
          <w:i w:val="0"/>
          <w:iCs w:val="0"/>
          <w:color w:val="auto"/>
          <w:sz w:val="20"/>
          <w:szCs w:val="20"/>
          <w:lang w:val="en-GB"/>
        </w:rPr>
        <w:t>.</w:t>
      </w:r>
    </w:p>
    <w:tbl>
      <w:tblPr>
        <w:tblW w:w="8185" w:type="dxa"/>
        <w:jc w:val="center"/>
        <w:tblCellMar>
          <w:left w:w="70" w:type="dxa"/>
          <w:right w:w="70" w:type="dxa"/>
        </w:tblCellMar>
        <w:tblLook w:val="04A0" w:firstRow="1" w:lastRow="0" w:firstColumn="1" w:lastColumn="0" w:noHBand="0" w:noVBand="1"/>
      </w:tblPr>
      <w:tblGrid>
        <w:gridCol w:w="1975"/>
        <w:gridCol w:w="1980"/>
        <w:gridCol w:w="2070"/>
        <w:gridCol w:w="1080"/>
        <w:gridCol w:w="1080"/>
      </w:tblGrid>
      <w:tr w:rsidR="009A3BAB" w:rsidRPr="006D05D9" w14:paraId="709ABBDD" w14:textId="77777777" w:rsidTr="009A3BAB">
        <w:trPr>
          <w:trHeight w:val="300"/>
          <w:jc w:val="center"/>
        </w:trPr>
        <w:tc>
          <w:tcPr>
            <w:tcW w:w="1975" w:type="dxa"/>
            <w:vMerge w:val="restart"/>
            <w:tcBorders>
              <w:top w:val="single" w:sz="4" w:space="0" w:color="auto"/>
              <w:bottom w:val="single" w:sz="4" w:space="0" w:color="auto"/>
            </w:tcBorders>
            <w:shd w:val="clear" w:color="auto" w:fill="auto"/>
            <w:noWrap/>
            <w:vAlign w:val="center"/>
            <w:hideMark/>
          </w:tcPr>
          <w:p w14:paraId="5D9F116E" w14:textId="77777777" w:rsidR="009A3BAB" w:rsidRPr="006D05D9" w:rsidRDefault="009A3BAB" w:rsidP="009A3BAB">
            <w:pPr>
              <w:jc w:val="left"/>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Body regions</w:t>
            </w:r>
          </w:p>
        </w:tc>
        <w:tc>
          <w:tcPr>
            <w:tcW w:w="6210" w:type="dxa"/>
            <w:gridSpan w:val="4"/>
            <w:tcBorders>
              <w:top w:val="single" w:sz="4" w:space="0" w:color="auto"/>
              <w:bottom w:val="single" w:sz="4" w:space="0" w:color="auto"/>
            </w:tcBorders>
            <w:shd w:val="clear" w:color="auto" w:fill="auto"/>
            <w:noWrap/>
            <w:vAlign w:val="center"/>
            <w:hideMark/>
          </w:tcPr>
          <w:p w14:paraId="3A6C8799" w14:textId="0D7D12B6" w:rsidR="009A3BAB" w:rsidRPr="006D05D9" w:rsidRDefault="00CD20F0" w:rsidP="009A3BAB">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D</w:t>
            </w:r>
            <w:r w:rsidR="009A3BAB" w:rsidRPr="006D05D9">
              <w:rPr>
                <w:rFonts w:eastAsia="Times New Roman" w:cstheme="minorHAnsi"/>
                <w:color w:val="000000"/>
                <w:kern w:val="0"/>
                <w:sz w:val="18"/>
                <w:szCs w:val="18"/>
                <w:lang w:val="en-GB" w:eastAsia="es-ES"/>
                <w14:ligatures w14:val="none"/>
              </w:rPr>
              <w:t>iscomfort</w:t>
            </w:r>
          </w:p>
        </w:tc>
      </w:tr>
      <w:tr w:rsidR="009A3BAB" w:rsidRPr="006D05D9" w14:paraId="18D2F7C4" w14:textId="77777777" w:rsidTr="009A3BAB">
        <w:trPr>
          <w:trHeight w:val="300"/>
          <w:jc w:val="center"/>
        </w:trPr>
        <w:tc>
          <w:tcPr>
            <w:tcW w:w="1975" w:type="dxa"/>
            <w:vMerge/>
            <w:tcBorders>
              <w:top w:val="single" w:sz="4" w:space="0" w:color="auto"/>
              <w:bottom w:val="single" w:sz="4" w:space="0" w:color="auto"/>
            </w:tcBorders>
            <w:vAlign w:val="center"/>
            <w:hideMark/>
          </w:tcPr>
          <w:p w14:paraId="7B2611D4" w14:textId="77777777" w:rsidR="009A3BAB" w:rsidRPr="006D05D9" w:rsidRDefault="009A3BAB" w:rsidP="009A3BAB">
            <w:pPr>
              <w:jc w:val="left"/>
              <w:rPr>
                <w:rFonts w:eastAsia="Times New Roman" w:cstheme="minorHAnsi"/>
                <w:color w:val="000000"/>
                <w:kern w:val="0"/>
                <w:sz w:val="18"/>
                <w:szCs w:val="18"/>
                <w:lang w:val="en-GB" w:eastAsia="es-ES"/>
                <w14:ligatures w14:val="none"/>
              </w:rPr>
            </w:pPr>
          </w:p>
        </w:tc>
        <w:tc>
          <w:tcPr>
            <w:tcW w:w="1980" w:type="dxa"/>
            <w:tcBorders>
              <w:top w:val="single" w:sz="4" w:space="0" w:color="auto"/>
              <w:bottom w:val="single" w:sz="4" w:space="0" w:color="auto"/>
            </w:tcBorders>
            <w:shd w:val="clear" w:color="auto" w:fill="auto"/>
            <w:noWrap/>
            <w:vAlign w:val="center"/>
            <w:hideMark/>
          </w:tcPr>
          <w:p w14:paraId="7E86FEA7" w14:textId="432F64AC" w:rsidR="009A3BAB" w:rsidRPr="006D05D9" w:rsidRDefault="009A3BAB" w:rsidP="009A3BAB">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Original Desk Height</w:t>
            </w:r>
          </w:p>
        </w:tc>
        <w:tc>
          <w:tcPr>
            <w:tcW w:w="2070" w:type="dxa"/>
            <w:tcBorders>
              <w:top w:val="single" w:sz="4" w:space="0" w:color="auto"/>
              <w:bottom w:val="single" w:sz="4" w:space="0" w:color="auto"/>
            </w:tcBorders>
            <w:shd w:val="clear" w:color="auto" w:fill="auto"/>
            <w:noWrap/>
            <w:vAlign w:val="center"/>
            <w:hideMark/>
          </w:tcPr>
          <w:p w14:paraId="1BE44AA0" w14:textId="72808940" w:rsidR="009A3BAB" w:rsidRPr="006D05D9" w:rsidRDefault="009A3BAB" w:rsidP="009A3BAB">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Proposal Desk Height</w:t>
            </w:r>
          </w:p>
        </w:tc>
        <w:tc>
          <w:tcPr>
            <w:tcW w:w="1080" w:type="dxa"/>
            <w:tcBorders>
              <w:top w:val="single" w:sz="4" w:space="0" w:color="auto"/>
              <w:bottom w:val="single" w:sz="4" w:space="0" w:color="auto"/>
            </w:tcBorders>
            <w:shd w:val="clear" w:color="auto" w:fill="auto"/>
            <w:noWrap/>
            <w:vAlign w:val="center"/>
            <w:hideMark/>
          </w:tcPr>
          <w:p w14:paraId="200F9CA4" w14:textId="77777777" w:rsidR="009A3BAB" w:rsidRPr="006D05D9" w:rsidRDefault="009A3BAB" w:rsidP="009A3BAB">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p-value</w:t>
            </w:r>
          </w:p>
        </w:tc>
        <w:tc>
          <w:tcPr>
            <w:tcW w:w="1080" w:type="dxa"/>
            <w:tcBorders>
              <w:top w:val="single" w:sz="4" w:space="0" w:color="auto"/>
              <w:bottom w:val="single" w:sz="4" w:space="0" w:color="auto"/>
            </w:tcBorders>
            <w:shd w:val="clear" w:color="auto" w:fill="auto"/>
            <w:noWrap/>
            <w:vAlign w:val="center"/>
            <w:hideMark/>
          </w:tcPr>
          <w:p w14:paraId="11F9021E" w14:textId="7B4DBB8F" w:rsidR="009A3BAB" w:rsidRPr="006D05D9" w:rsidRDefault="00363CC8" w:rsidP="009A3BAB">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S</w:t>
            </w:r>
            <w:r w:rsidR="009A3BAB" w:rsidRPr="006D05D9">
              <w:rPr>
                <w:rFonts w:eastAsia="Times New Roman" w:cstheme="minorHAnsi"/>
                <w:color w:val="000000"/>
                <w:kern w:val="0"/>
                <w:sz w:val="18"/>
                <w:szCs w:val="18"/>
                <w:lang w:val="en-GB" w:eastAsia="es-ES"/>
                <w14:ligatures w14:val="none"/>
              </w:rPr>
              <w:t>ummary</w:t>
            </w:r>
          </w:p>
        </w:tc>
      </w:tr>
      <w:tr w:rsidR="00363CC8" w:rsidRPr="006D05D9" w14:paraId="5DF88560" w14:textId="77777777" w:rsidTr="00DD3AFD">
        <w:trPr>
          <w:trHeight w:val="300"/>
          <w:jc w:val="center"/>
        </w:trPr>
        <w:tc>
          <w:tcPr>
            <w:tcW w:w="1975" w:type="dxa"/>
            <w:tcBorders>
              <w:top w:val="single" w:sz="4" w:space="0" w:color="auto"/>
            </w:tcBorders>
            <w:shd w:val="clear" w:color="auto" w:fill="auto"/>
            <w:vAlign w:val="center"/>
            <w:hideMark/>
          </w:tcPr>
          <w:p w14:paraId="7077DCE3" w14:textId="77777777" w:rsidR="00363CC8" w:rsidRPr="006D05D9" w:rsidRDefault="00363CC8" w:rsidP="00363CC8">
            <w:pPr>
              <w:jc w:val="left"/>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Head and Neck</w:t>
            </w:r>
          </w:p>
        </w:tc>
        <w:tc>
          <w:tcPr>
            <w:tcW w:w="1980" w:type="dxa"/>
            <w:tcBorders>
              <w:top w:val="single" w:sz="4" w:space="0" w:color="auto"/>
            </w:tcBorders>
            <w:shd w:val="clear" w:color="auto" w:fill="auto"/>
            <w:noWrap/>
            <w:vAlign w:val="center"/>
            <w:hideMark/>
          </w:tcPr>
          <w:p w14:paraId="4161E3A1"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0.147</w:t>
            </w:r>
          </w:p>
        </w:tc>
        <w:tc>
          <w:tcPr>
            <w:tcW w:w="2070" w:type="dxa"/>
            <w:tcBorders>
              <w:top w:val="single" w:sz="4" w:space="0" w:color="auto"/>
            </w:tcBorders>
            <w:shd w:val="clear" w:color="auto" w:fill="auto"/>
            <w:noWrap/>
            <w:vAlign w:val="center"/>
            <w:hideMark/>
          </w:tcPr>
          <w:p w14:paraId="6366785E"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0.147</w:t>
            </w:r>
          </w:p>
        </w:tc>
        <w:tc>
          <w:tcPr>
            <w:tcW w:w="1080" w:type="dxa"/>
            <w:tcBorders>
              <w:top w:val="single" w:sz="4" w:space="0" w:color="auto"/>
            </w:tcBorders>
            <w:shd w:val="clear" w:color="auto" w:fill="auto"/>
            <w:noWrap/>
            <w:vAlign w:val="center"/>
            <w:hideMark/>
          </w:tcPr>
          <w:p w14:paraId="6D24A907" w14:textId="74ACB2F3" w:rsidR="00363CC8" w:rsidRPr="006D05D9" w:rsidRDefault="00363CC8" w:rsidP="00363CC8">
            <w:pPr>
              <w:jc w:val="center"/>
              <w:rPr>
                <w:rFonts w:cstheme="minorHAnsi"/>
                <w:sz w:val="18"/>
                <w:szCs w:val="18"/>
                <w:lang w:val="en-GB"/>
              </w:rPr>
            </w:pPr>
            <w:r w:rsidRPr="006D05D9">
              <w:rPr>
                <w:rFonts w:cstheme="minorHAnsi"/>
                <w:sz w:val="18"/>
                <w:szCs w:val="18"/>
                <w:lang w:val="en-GB"/>
              </w:rPr>
              <w:t>.875</w:t>
            </w:r>
          </w:p>
        </w:tc>
        <w:tc>
          <w:tcPr>
            <w:tcW w:w="1080" w:type="dxa"/>
            <w:tcBorders>
              <w:top w:val="single" w:sz="4" w:space="0" w:color="auto"/>
            </w:tcBorders>
            <w:shd w:val="clear" w:color="auto" w:fill="auto"/>
            <w:noWrap/>
            <w:vAlign w:val="bottom"/>
            <w:hideMark/>
          </w:tcPr>
          <w:p w14:paraId="32756D8D" w14:textId="50AA9D12"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cstheme="minorHAnsi"/>
                <w:sz w:val="18"/>
                <w:szCs w:val="18"/>
                <w:lang w:val="en-GB"/>
              </w:rPr>
              <w:t>ns</w:t>
            </w:r>
          </w:p>
        </w:tc>
      </w:tr>
      <w:tr w:rsidR="00363CC8" w:rsidRPr="006D05D9" w14:paraId="41D35F89" w14:textId="77777777" w:rsidTr="00DD3AFD">
        <w:trPr>
          <w:trHeight w:val="300"/>
          <w:jc w:val="center"/>
        </w:trPr>
        <w:tc>
          <w:tcPr>
            <w:tcW w:w="1975" w:type="dxa"/>
            <w:shd w:val="clear" w:color="auto" w:fill="auto"/>
            <w:vAlign w:val="center"/>
            <w:hideMark/>
          </w:tcPr>
          <w:p w14:paraId="222194D6" w14:textId="4E2D415A" w:rsidR="00363CC8" w:rsidRPr="006D05D9" w:rsidRDefault="00363CC8" w:rsidP="00363CC8">
            <w:pPr>
              <w:jc w:val="left"/>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Shoulder and Arm</w:t>
            </w:r>
          </w:p>
        </w:tc>
        <w:tc>
          <w:tcPr>
            <w:tcW w:w="1980" w:type="dxa"/>
            <w:shd w:val="clear" w:color="auto" w:fill="auto"/>
            <w:noWrap/>
            <w:vAlign w:val="center"/>
            <w:hideMark/>
          </w:tcPr>
          <w:p w14:paraId="7D578ADD"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-0.029</w:t>
            </w:r>
          </w:p>
        </w:tc>
        <w:tc>
          <w:tcPr>
            <w:tcW w:w="2070" w:type="dxa"/>
            <w:shd w:val="clear" w:color="auto" w:fill="auto"/>
            <w:noWrap/>
            <w:vAlign w:val="center"/>
            <w:hideMark/>
          </w:tcPr>
          <w:p w14:paraId="2277382C"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0.382</w:t>
            </w:r>
          </w:p>
        </w:tc>
        <w:tc>
          <w:tcPr>
            <w:tcW w:w="1080" w:type="dxa"/>
            <w:shd w:val="clear" w:color="auto" w:fill="auto"/>
            <w:noWrap/>
            <w:vAlign w:val="center"/>
            <w:hideMark/>
          </w:tcPr>
          <w:p w14:paraId="52B2BB70" w14:textId="624DF3A0" w:rsidR="00363CC8" w:rsidRPr="006D05D9" w:rsidRDefault="00363CC8" w:rsidP="00363CC8">
            <w:pPr>
              <w:jc w:val="center"/>
              <w:rPr>
                <w:rFonts w:cstheme="minorHAnsi"/>
                <w:sz w:val="18"/>
                <w:szCs w:val="18"/>
                <w:lang w:val="en-GB"/>
              </w:rPr>
            </w:pPr>
            <w:r w:rsidRPr="006D05D9">
              <w:rPr>
                <w:rFonts w:cstheme="minorHAnsi"/>
                <w:sz w:val="18"/>
                <w:szCs w:val="18"/>
                <w:lang w:val="en-GB"/>
              </w:rPr>
              <w:t>.141</w:t>
            </w:r>
          </w:p>
        </w:tc>
        <w:tc>
          <w:tcPr>
            <w:tcW w:w="1080" w:type="dxa"/>
            <w:shd w:val="clear" w:color="auto" w:fill="auto"/>
            <w:noWrap/>
            <w:vAlign w:val="bottom"/>
            <w:hideMark/>
          </w:tcPr>
          <w:p w14:paraId="2DCD8E28" w14:textId="3C588C63"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cstheme="minorHAnsi"/>
                <w:sz w:val="18"/>
                <w:szCs w:val="18"/>
                <w:lang w:val="en-GB"/>
              </w:rPr>
              <w:t>ns</w:t>
            </w:r>
          </w:p>
        </w:tc>
      </w:tr>
      <w:tr w:rsidR="00363CC8" w:rsidRPr="006D05D9" w14:paraId="3C7460F1" w14:textId="77777777" w:rsidTr="00DD3AFD">
        <w:trPr>
          <w:trHeight w:val="300"/>
          <w:jc w:val="center"/>
        </w:trPr>
        <w:tc>
          <w:tcPr>
            <w:tcW w:w="1975" w:type="dxa"/>
            <w:shd w:val="clear" w:color="auto" w:fill="auto"/>
            <w:vAlign w:val="center"/>
            <w:hideMark/>
          </w:tcPr>
          <w:p w14:paraId="6504DDCA" w14:textId="77777777" w:rsidR="00363CC8" w:rsidRPr="006D05D9" w:rsidRDefault="00363CC8" w:rsidP="00363CC8">
            <w:pPr>
              <w:jc w:val="left"/>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Elbow and Forearm</w:t>
            </w:r>
          </w:p>
        </w:tc>
        <w:tc>
          <w:tcPr>
            <w:tcW w:w="1980" w:type="dxa"/>
            <w:shd w:val="clear" w:color="auto" w:fill="auto"/>
            <w:noWrap/>
            <w:vAlign w:val="center"/>
            <w:hideMark/>
          </w:tcPr>
          <w:p w14:paraId="06BD721E"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0.029</w:t>
            </w:r>
          </w:p>
        </w:tc>
        <w:tc>
          <w:tcPr>
            <w:tcW w:w="2070" w:type="dxa"/>
            <w:shd w:val="clear" w:color="auto" w:fill="auto"/>
            <w:noWrap/>
            <w:vAlign w:val="center"/>
            <w:hideMark/>
          </w:tcPr>
          <w:p w14:paraId="2CCF934F"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0.147</w:t>
            </w:r>
          </w:p>
        </w:tc>
        <w:tc>
          <w:tcPr>
            <w:tcW w:w="1080" w:type="dxa"/>
            <w:shd w:val="clear" w:color="auto" w:fill="auto"/>
            <w:noWrap/>
            <w:vAlign w:val="center"/>
            <w:hideMark/>
          </w:tcPr>
          <w:p w14:paraId="32531032" w14:textId="61D3A6DE" w:rsidR="00363CC8" w:rsidRPr="006D05D9" w:rsidRDefault="00363CC8" w:rsidP="00363CC8">
            <w:pPr>
              <w:jc w:val="center"/>
              <w:rPr>
                <w:rFonts w:cstheme="minorHAnsi"/>
                <w:sz w:val="18"/>
                <w:szCs w:val="18"/>
                <w:lang w:val="en-GB"/>
              </w:rPr>
            </w:pPr>
            <w:r w:rsidRPr="006D05D9">
              <w:rPr>
                <w:rFonts w:cstheme="minorHAnsi"/>
                <w:sz w:val="18"/>
                <w:szCs w:val="18"/>
                <w:lang w:val="en-GB"/>
              </w:rPr>
              <w:t>.500</w:t>
            </w:r>
          </w:p>
        </w:tc>
        <w:tc>
          <w:tcPr>
            <w:tcW w:w="1080" w:type="dxa"/>
            <w:shd w:val="clear" w:color="auto" w:fill="auto"/>
            <w:noWrap/>
            <w:vAlign w:val="bottom"/>
            <w:hideMark/>
          </w:tcPr>
          <w:p w14:paraId="37A1277B" w14:textId="2C0E8B6E"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cstheme="minorHAnsi"/>
                <w:sz w:val="18"/>
                <w:szCs w:val="18"/>
                <w:lang w:val="en-GB"/>
              </w:rPr>
              <w:t>ns</w:t>
            </w:r>
          </w:p>
        </w:tc>
      </w:tr>
      <w:tr w:rsidR="00363CC8" w:rsidRPr="006D05D9" w14:paraId="41930A07" w14:textId="77777777" w:rsidTr="00DD3AFD">
        <w:trPr>
          <w:trHeight w:val="300"/>
          <w:jc w:val="center"/>
        </w:trPr>
        <w:tc>
          <w:tcPr>
            <w:tcW w:w="1975" w:type="dxa"/>
            <w:shd w:val="clear" w:color="auto" w:fill="auto"/>
            <w:vAlign w:val="center"/>
            <w:hideMark/>
          </w:tcPr>
          <w:p w14:paraId="57B7CD6C" w14:textId="77777777" w:rsidR="00363CC8" w:rsidRPr="006D05D9" w:rsidRDefault="00363CC8" w:rsidP="00363CC8">
            <w:pPr>
              <w:jc w:val="left"/>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Wrist and Hand</w:t>
            </w:r>
          </w:p>
        </w:tc>
        <w:tc>
          <w:tcPr>
            <w:tcW w:w="1980" w:type="dxa"/>
            <w:shd w:val="clear" w:color="auto" w:fill="auto"/>
            <w:noWrap/>
            <w:vAlign w:val="center"/>
            <w:hideMark/>
          </w:tcPr>
          <w:p w14:paraId="41509A33"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0.147</w:t>
            </w:r>
          </w:p>
        </w:tc>
        <w:tc>
          <w:tcPr>
            <w:tcW w:w="2070" w:type="dxa"/>
            <w:shd w:val="clear" w:color="auto" w:fill="auto"/>
            <w:noWrap/>
            <w:vAlign w:val="center"/>
            <w:hideMark/>
          </w:tcPr>
          <w:p w14:paraId="4C387AEE"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0.088</w:t>
            </w:r>
          </w:p>
        </w:tc>
        <w:tc>
          <w:tcPr>
            <w:tcW w:w="1080" w:type="dxa"/>
            <w:shd w:val="clear" w:color="auto" w:fill="auto"/>
            <w:noWrap/>
            <w:vAlign w:val="center"/>
            <w:hideMark/>
          </w:tcPr>
          <w:p w14:paraId="2DD0E596" w14:textId="1F4221E4" w:rsidR="00363CC8" w:rsidRPr="006D05D9" w:rsidRDefault="00363CC8" w:rsidP="00363CC8">
            <w:pPr>
              <w:jc w:val="center"/>
              <w:rPr>
                <w:rFonts w:cstheme="minorHAnsi"/>
                <w:sz w:val="18"/>
                <w:szCs w:val="18"/>
                <w:lang w:val="en-GB"/>
              </w:rPr>
            </w:pPr>
            <w:r w:rsidRPr="006D05D9">
              <w:rPr>
                <w:rFonts w:cstheme="minorHAnsi"/>
                <w:sz w:val="18"/>
                <w:szCs w:val="18"/>
                <w:lang w:val="en-GB"/>
              </w:rPr>
              <w:t>.688</w:t>
            </w:r>
          </w:p>
        </w:tc>
        <w:tc>
          <w:tcPr>
            <w:tcW w:w="1080" w:type="dxa"/>
            <w:shd w:val="clear" w:color="auto" w:fill="auto"/>
            <w:noWrap/>
            <w:vAlign w:val="bottom"/>
            <w:hideMark/>
          </w:tcPr>
          <w:p w14:paraId="42047F43" w14:textId="4507D028"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cstheme="minorHAnsi"/>
                <w:sz w:val="18"/>
                <w:szCs w:val="18"/>
                <w:lang w:val="en-GB"/>
              </w:rPr>
              <w:t>ns</w:t>
            </w:r>
          </w:p>
        </w:tc>
      </w:tr>
      <w:tr w:rsidR="00363CC8" w:rsidRPr="006D05D9" w14:paraId="0D8B7564" w14:textId="77777777" w:rsidTr="00990692">
        <w:trPr>
          <w:trHeight w:val="300"/>
          <w:jc w:val="center"/>
        </w:trPr>
        <w:tc>
          <w:tcPr>
            <w:tcW w:w="1975" w:type="dxa"/>
            <w:tcBorders>
              <w:bottom w:val="single" w:sz="4" w:space="0" w:color="auto"/>
            </w:tcBorders>
            <w:shd w:val="clear" w:color="auto" w:fill="auto"/>
            <w:vAlign w:val="center"/>
            <w:hideMark/>
          </w:tcPr>
          <w:p w14:paraId="40F47C78" w14:textId="77777777" w:rsidR="00363CC8" w:rsidRPr="006D05D9" w:rsidRDefault="00363CC8" w:rsidP="00363CC8">
            <w:pPr>
              <w:jc w:val="left"/>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Lower Back</w:t>
            </w:r>
          </w:p>
        </w:tc>
        <w:tc>
          <w:tcPr>
            <w:tcW w:w="1980" w:type="dxa"/>
            <w:tcBorders>
              <w:bottom w:val="single" w:sz="4" w:space="0" w:color="auto"/>
            </w:tcBorders>
            <w:shd w:val="clear" w:color="auto" w:fill="auto"/>
            <w:noWrap/>
            <w:vAlign w:val="center"/>
            <w:hideMark/>
          </w:tcPr>
          <w:p w14:paraId="7E57DDD5"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0.441</w:t>
            </w:r>
          </w:p>
        </w:tc>
        <w:tc>
          <w:tcPr>
            <w:tcW w:w="2070" w:type="dxa"/>
            <w:tcBorders>
              <w:bottom w:val="single" w:sz="4" w:space="0" w:color="auto"/>
            </w:tcBorders>
            <w:shd w:val="clear" w:color="auto" w:fill="auto"/>
            <w:noWrap/>
            <w:vAlign w:val="center"/>
            <w:hideMark/>
          </w:tcPr>
          <w:p w14:paraId="0BE63735" w14:textId="77777777"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eastAsia="Times New Roman" w:cstheme="minorHAnsi"/>
                <w:color w:val="000000"/>
                <w:kern w:val="0"/>
                <w:sz w:val="18"/>
                <w:szCs w:val="18"/>
                <w:lang w:val="en-GB" w:eastAsia="es-ES"/>
                <w14:ligatures w14:val="none"/>
              </w:rPr>
              <w:t>0.324</w:t>
            </w:r>
          </w:p>
        </w:tc>
        <w:tc>
          <w:tcPr>
            <w:tcW w:w="1080" w:type="dxa"/>
            <w:tcBorders>
              <w:bottom w:val="single" w:sz="4" w:space="0" w:color="auto"/>
            </w:tcBorders>
            <w:shd w:val="clear" w:color="auto" w:fill="auto"/>
            <w:noWrap/>
            <w:vAlign w:val="center"/>
            <w:hideMark/>
          </w:tcPr>
          <w:p w14:paraId="19E0A56D" w14:textId="4FB5B4E2" w:rsidR="00363CC8" w:rsidRPr="006D05D9" w:rsidRDefault="00363CC8" w:rsidP="00363CC8">
            <w:pPr>
              <w:jc w:val="center"/>
              <w:rPr>
                <w:rFonts w:cstheme="minorHAnsi"/>
                <w:sz w:val="18"/>
                <w:szCs w:val="18"/>
                <w:lang w:val="en-GB"/>
              </w:rPr>
            </w:pPr>
            <w:r w:rsidRPr="006D05D9">
              <w:rPr>
                <w:rFonts w:cstheme="minorHAnsi"/>
                <w:sz w:val="18"/>
                <w:szCs w:val="18"/>
                <w:lang w:val="en-GB"/>
              </w:rPr>
              <w:t>.738</w:t>
            </w:r>
          </w:p>
        </w:tc>
        <w:tc>
          <w:tcPr>
            <w:tcW w:w="1080" w:type="dxa"/>
            <w:tcBorders>
              <w:bottom w:val="single" w:sz="4" w:space="0" w:color="auto"/>
            </w:tcBorders>
            <w:shd w:val="clear" w:color="auto" w:fill="auto"/>
            <w:noWrap/>
            <w:vAlign w:val="bottom"/>
            <w:hideMark/>
          </w:tcPr>
          <w:p w14:paraId="5A3710C7" w14:textId="57C95629" w:rsidR="00363CC8" w:rsidRPr="006D05D9" w:rsidRDefault="00363CC8" w:rsidP="00363CC8">
            <w:pPr>
              <w:jc w:val="center"/>
              <w:rPr>
                <w:rFonts w:eastAsia="Times New Roman" w:cstheme="minorHAnsi"/>
                <w:color w:val="000000"/>
                <w:kern w:val="0"/>
                <w:sz w:val="18"/>
                <w:szCs w:val="18"/>
                <w:lang w:val="en-GB" w:eastAsia="es-ES"/>
                <w14:ligatures w14:val="none"/>
              </w:rPr>
            </w:pPr>
            <w:r w:rsidRPr="006D05D9">
              <w:rPr>
                <w:rFonts w:cstheme="minorHAnsi"/>
                <w:sz w:val="18"/>
                <w:szCs w:val="18"/>
                <w:lang w:val="en-GB"/>
              </w:rPr>
              <w:t>ns</w:t>
            </w:r>
          </w:p>
        </w:tc>
      </w:tr>
    </w:tbl>
    <w:p w14:paraId="4A1BD55E" w14:textId="77777777" w:rsidR="00662BEA" w:rsidRPr="006D05D9" w:rsidRDefault="00662BEA" w:rsidP="00FB4136">
      <w:pPr>
        <w:rPr>
          <w:b/>
          <w:bCs/>
          <w:sz w:val="26"/>
          <w:szCs w:val="26"/>
          <w:lang w:val="en-GB"/>
        </w:rPr>
      </w:pPr>
    </w:p>
    <w:p w14:paraId="21DAD327" w14:textId="77777777" w:rsidR="00BD0C21" w:rsidRPr="006D05D9" w:rsidRDefault="00BD0C21" w:rsidP="00FB4136">
      <w:pPr>
        <w:rPr>
          <w:b/>
          <w:bCs/>
          <w:sz w:val="26"/>
          <w:szCs w:val="26"/>
          <w:lang w:val="en-GB"/>
        </w:rPr>
      </w:pPr>
    </w:p>
    <w:p w14:paraId="7F0A11E0" w14:textId="73912239" w:rsidR="008A0730" w:rsidRPr="006D05D9" w:rsidRDefault="008A0730" w:rsidP="00FB4136">
      <w:pPr>
        <w:rPr>
          <w:b/>
          <w:bCs/>
          <w:sz w:val="26"/>
          <w:szCs w:val="26"/>
          <w:lang w:val="en-GB"/>
        </w:rPr>
      </w:pPr>
      <w:r w:rsidRPr="006D05D9">
        <w:rPr>
          <w:b/>
          <w:bCs/>
          <w:sz w:val="26"/>
          <w:szCs w:val="26"/>
          <w:lang w:val="en-GB"/>
        </w:rPr>
        <w:t>4. Discussion</w:t>
      </w:r>
    </w:p>
    <w:p w14:paraId="4B8BC37D" w14:textId="77777777" w:rsidR="006F468D" w:rsidRPr="006D05D9" w:rsidRDefault="006F468D" w:rsidP="00FB4136">
      <w:pPr>
        <w:rPr>
          <w:lang w:val="en-GB"/>
        </w:rPr>
      </w:pPr>
    </w:p>
    <w:p w14:paraId="3C558AC9" w14:textId="77777777" w:rsidR="004C396D" w:rsidRPr="006D05D9" w:rsidRDefault="004C396D" w:rsidP="00C05019">
      <w:pPr>
        <w:rPr>
          <w:b/>
          <w:bCs/>
          <w:sz w:val="24"/>
          <w:szCs w:val="24"/>
          <w:lang w:val="en-GB"/>
        </w:rPr>
      </w:pPr>
    </w:p>
    <w:p w14:paraId="32B8A431" w14:textId="41AD9C64" w:rsidR="00C05019" w:rsidRPr="006D05D9" w:rsidRDefault="00C05019" w:rsidP="00C05019">
      <w:pPr>
        <w:rPr>
          <w:b/>
          <w:bCs/>
          <w:sz w:val="24"/>
          <w:szCs w:val="24"/>
          <w:lang w:val="en-GB"/>
        </w:rPr>
      </w:pPr>
      <w:r w:rsidRPr="006D05D9">
        <w:rPr>
          <w:b/>
          <w:bCs/>
          <w:sz w:val="24"/>
          <w:szCs w:val="24"/>
          <w:lang w:val="en-GB"/>
        </w:rPr>
        <w:t xml:space="preserve">4.1. Kinematics. </w:t>
      </w:r>
    </w:p>
    <w:p w14:paraId="6E8F101D" w14:textId="77777777" w:rsidR="00C05019" w:rsidRPr="006D05D9" w:rsidRDefault="00C05019" w:rsidP="00C05019">
      <w:pPr>
        <w:rPr>
          <w:lang w:val="en-GB"/>
        </w:rPr>
      </w:pPr>
    </w:p>
    <w:p w14:paraId="6D89DF2D" w14:textId="5C63AD56" w:rsidR="00A34CE8" w:rsidRPr="006D05D9" w:rsidRDefault="0057195A" w:rsidP="00BE3384">
      <w:pPr>
        <w:ind w:firstLine="284"/>
        <w:rPr>
          <w:lang w:val="en-GB"/>
        </w:rPr>
      </w:pPr>
      <w:r w:rsidRPr="006D05D9">
        <w:rPr>
          <w:rFonts w:cstheme="minorHAnsi"/>
          <w:lang w:val="en-GB"/>
        </w:rPr>
        <w:t xml:space="preserve">As expected, the desk height proposal presented greater angles in both flexion and abduction. Although this </w:t>
      </w:r>
      <w:r w:rsidR="00011C87" w:rsidRPr="006D05D9">
        <w:rPr>
          <w:rFonts w:cstheme="minorHAnsi"/>
          <w:lang w:val="en-GB"/>
        </w:rPr>
        <w:t>could in theory</w:t>
      </w:r>
      <w:r w:rsidRPr="006D05D9">
        <w:rPr>
          <w:rFonts w:cstheme="minorHAnsi"/>
          <w:lang w:val="en-GB"/>
        </w:rPr>
        <w:t xml:space="preserve"> present a greater strain on the shoulder joint and muscles, the</w:t>
      </w:r>
      <w:r w:rsidR="00011C87" w:rsidRPr="006D05D9">
        <w:rPr>
          <w:rFonts w:cstheme="minorHAnsi"/>
          <w:lang w:val="en-GB"/>
        </w:rPr>
        <w:t xml:space="preserve"> current</w:t>
      </w:r>
      <w:r w:rsidRPr="006D05D9">
        <w:rPr>
          <w:rFonts w:cstheme="minorHAnsi"/>
          <w:lang w:val="en-GB"/>
        </w:rPr>
        <w:t xml:space="preserve"> study</w:t>
      </w:r>
      <w:r w:rsidR="00D474C3" w:rsidRPr="006D05D9">
        <w:rPr>
          <w:rFonts w:cstheme="minorHAnsi"/>
          <w:lang w:val="en-GB"/>
        </w:rPr>
        <w:t xml:space="preserve"> used a desk depth</w:t>
      </w:r>
      <w:r w:rsidR="000F37C4" w:rsidRPr="006D05D9">
        <w:rPr>
          <w:rFonts w:cstheme="minorHAnsi"/>
          <w:lang w:val="en-GB"/>
        </w:rPr>
        <w:t xml:space="preserve"> of 80 cm coupled with a "free" posture instructed to the subjects</w:t>
      </w:r>
      <w:r w:rsidR="00F00828" w:rsidRPr="006D05D9">
        <w:rPr>
          <w:rFonts w:cstheme="minorHAnsi"/>
          <w:lang w:val="en-GB"/>
        </w:rPr>
        <w:t xml:space="preserve">, </w:t>
      </w:r>
      <w:r w:rsidR="00A01E28" w:rsidRPr="006D05D9">
        <w:rPr>
          <w:rFonts w:cstheme="minorHAnsi"/>
          <w:lang w:val="en-GB"/>
        </w:rPr>
        <w:t>which</w:t>
      </w:r>
      <w:r w:rsidR="00F00828" w:rsidRPr="006D05D9">
        <w:rPr>
          <w:rFonts w:cstheme="minorHAnsi"/>
          <w:lang w:val="en-GB"/>
        </w:rPr>
        <w:t xml:space="preserve"> allowed them to naturally sit with the forearms fully </w:t>
      </w:r>
      <w:r w:rsidR="00A01E28" w:rsidRPr="006D05D9">
        <w:rPr>
          <w:rFonts w:cstheme="minorHAnsi"/>
          <w:lang w:val="en-GB"/>
        </w:rPr>
        <w:t>supported</w:t>
      </w:r>
      <w:r w:rsidR="00F00828" w:rsidRPr="006D05D9">
        <w:rPr>
          <w:rFonts w:cstheme="minorHAnsi"/>
          <w:lang w:val="en-GB"/>
        </w:rPr>
        <w:t xml:space="preserve"> </w:t>
      </w:r>
      <w:r w:rsidR="0043122B" w:rsidRPr="006D05D9">
        <w:rPr>
          <w:rFonts w:cstheme="minorHAnsi"/>
          <w:lang w:val="en-GB"/>
        </w:rPr>
        <w:t>on</w:t>
      </w:r>
      <w:r w:rsidR="00F00828" w:rsidRPr="006D05D9">
        <w:rPr>
          <w:rFonts w:cstheme="minorHAnsi"/>
          <w:lang w:val="en-GB"/>
        </w:rPr>
        <w:t xml:space="preserve"> the desk </w:t>
      </w:r>
      <w:r w:rsidR="0043122B" w:rsidRPr="006D05D9">
        <w:rPr>
          <w:rFonts w:cstheme="minorHAnsi"/>
          <w:lang w:val="en-GB"/>
        </w:rPr>
        <w:t>surface. It</w:t>
      </w:r>
      <w:r w:rsidRPr="006D05D9">
        <w:rPr>
          <w:rFonts w:cstheme="minorHAnsi"/>
          <w:lang w:val="en-GB"/>
        </w:rPr>
        <w:t xml:space="preserve"> was possible to determine that most of</w:t>
      </w:r>
      <w:r w:rsidRPr="006D05D9">
        <w:rPr>
          <w:lang w:val="en-GB"/>
        </w:rPr>
        <w:t xml:space="preserve"> the time the participants performed the activities with support from the forearms</w:t>
      </w:r>
      <w:r w:rsidR="00BE3384" w:rsidRPr="006D05D9">
        <w:rPr>
          <w:lang w:val="en-GB"/>
        </w:rPr>
        <w:t xml:space="preserve"> </w:t>
      </w:r>
      <w:r w:rsidR="00A42D69" w:rsidRPr="006D05D9">
        <w:rPr>
          <w:lang w:val="en-GB"/>
        </w:rPr>
        <w:t xml:space="preserve">in both height desk conditions </w:t>
      </w:r>
      <w:r w:rsidR="00BE3384" w:rsidRPr="006D05D9">
        <w:rPr>
          <w:lang w:val="en-GB"/>
        </w:rPr>
        <w:t xml:space="preserve">(figure </w:t>
      </w:r>
      <w:r w:rsidR="00E00E7C" w:rsidRPr="006D05D9">
        <w:rPr>
          <w:lang w:val="en-GB"/>
        </w:rPr>
        <w:t>7</w:t>
      </w:r>
      <w:r w:rsidR="00BE3384" w:rsidRPr="006D05D9">
        <w:rPr>
          <w:lang w:val="en-GB"/>
        </w:rPr>
        <w:t>)</w:t>
      </w:r>
      <w:r w:rsidRPr="006D05D9">
        <w:rPr>
          <w:lang w:val="en-GB"/>
        </w:rPr>
        <w:t>.</w:t>
      </w:r>
      <w:r w:rsidR="000324D3" w:rsidRPr="006D05D9">
        <w:rPr>
          <w:lang w:val="en-GB"/>
        </w:rPr>
        <w:t xml:space="preserve"> </w:t>
      </w:r>
      <w:r w:rsidR="006623AB" w:rsidRPr="006D05D9">
        <w:rPr>
          <w:lang w:val="en-GB"/>
        </w:rPr>
        <w:t xml:space="preserve">Traditionally, the </w:t>
      </w:r>
      <w:r w:rsidR="00CA26A2" w:rsidRPr="006D05D9">
        <w:rPr>
          <w:lang w:val="en-GB"/>
        </w:rPr>
        <w:t>original</w:t>
      </w:r>
      <w:r w:rsidR="00587961" w:rsidRPr="006D05D9">
        <w:rPr>
          <w:lang w:val="en-GB"/>
        </w:rPr>
        <w:t xml:space="preserve"> equation by Chaffin and Anderson was conceived with the use </w:t>
      </w:r>
      <w:r w:rsidR="00AB04CF" w:rsidRPr="006D05D9">
        <w:rPr>
          <w:lang w:val="en-GB"/>
        </w:rPr>
        <w:t>of typing</w:t>
      </w:r>
      <w:r w:rsidR="001B7AEF" w:rsidRPr="006D05D9">
        <w:rPr>
          <w:lang w:val="en-GB"/>
        </w:rPr>
        <w:t xml:space="preserve"> machines and the initial desktop computer set up, that </w:t>
      </w:r>
      <w:r w:rsidR="00CA26A2" w:rsidRPr="006D05D9">
        <w:rPr>
          <w:lang w:val="en-GB"/>
        </w:rPr>
        <w:t>relied</w:t>
      </w:r>
      <w:r w:rsidR="001B7AEF" w:rsidRPr="006D05D9">
        <w:rPr>
          <w:lang w:val="en-GB"/>
        </w:rPr>
        <w:t xml:space="preserve"> on the assumption of a lower desk height due to subjects using </w:t>
      </w:r>
      <w:r w:rsidR="001E4AEA" w:rsidRPr="006D05D9">
        <w:rPr>
          <w:lang w:val="en-GB"/>
        </w:rPr>
        <w:t xml:space="preserve">either a </w:t>
      </w:r>
      <w:r w:rsidR="00CA26A2" w:rsidRPr="006D05D9">
        <w:rPr>
          <w:lang w:val="en-GB"/>
        </w:rPr>
        <w:t>typing</w:t>
      </w:r>
      <w:r w:rsidR="001E4AEA" w:rsidRPr="006D05D9">
        <w:rPr>
          <w:lang w:val="en-GB"/>
        </w:rPr>
        <w:t xml:space="preserve"> machine desk or the use of chair </w:t>
      </w:r>
      <w:r w:rsidR="000044CE" w:rsidRPr="006D05D9">
        <w:rPr>
          <w:lang w:val="en-GB"/>
        </w:rPr>
        <w:t xml:space="preserve">armrest for </w:t>
      </w:r>
      <w:r w:rsidR="001E4AEA" w:rsidRPr="006D05D9">
        <w:rPr>
          <w:lang w:val="en-GB"/>
        </w:rPr>
        <w:t>forearm sup</w:t>
      </w:r>
      <w:r w:rsidR="000044CE" w:rsidRPr="006D05D9">
        <w:rPr>
          <w:lang w:val="en-GB"/>
        </w:rPr>
        <w:t>p</w:t>
      </w:r>
      <w:r w:rsidR="001E4AEA" w:rsidRPr="006D05D9">
        <w:rPr>
          <w:lang w:val="en-GB"/>
        </w:rPr>
        <w:t>o</w:t>
      </w:r>
      <w:r w:rsidR="000044CE" w:rsidRPr="006D05D9">
        <w:rPr>
          <w:lang w:val="en-GB"/>
        </w:rPr>
        <w:t xml:space="preserve">rt, which </w:t>
      </w:r>
      <w:r w:rsidR="00CA26A2" w:rsidRPr="006D05D9">
        <w:rPr>
          <w:lang w:val="en-GB"/>
        </w:rPr>
        <w:t>are</w:t>
      </w:r>
      <w:r w:rsidR="000044CE" w:rsidRPr="006D05D9">
        <w:rPr>
          <w:lang w:val="en-GB"/>
        </w:rPr>
        <w:t xml:space="preserve"> inherently lower and closer to the traditional elbow height sitting anthropometric dimension (EHS). </w:t>
      </w:r>
      <w:r w:rsidRPr="006D05D9">
        <w:rPr>
          <w:lang w:val="en-GB"/>
        </w:rPr>
        <w:t>Th</w:t>
      </w:r>
      <w:r w:rsidR="00BE3384" w:rsidRPr="006D05D9">
        <w:rPr>
          <w:lang w:val="en-GB"/>
        </w:rPr>
        <w:t>ese</w:t>
      </w:r>
      <w:r w:rsidRPr="006D05D9">
        <w:rPr>
          <w:lang w:val="en-GB"/>
        </w:rPr>
        <w:t xml:space="preserve"> </w:t>
      </w:r>
      <w:r w:rsidR="00BE3384" w:rsidRPr="006D05D9">
        <w:rPr>
          <w:lang w:val="en-GB"/>
        </w:rPr>
        <w:t>results</w:t>
      </w:r>
      <w:r w:rsidRPr="006D05D9">
        <w:rPr>
          <w:lang w:val="en-GB"/>
        </w:rPr>
        <w:t xml:space="preserve"> reveal the need for the dimensions of the desk to allow support for the forearms, as corroborated in previous studies</w:t>
      </w:r>
      <w:r w:rsidR="00E9194D" w:rsidRPr="006D05D9">
        <w:rPr>
          <w:lang w:val="en-GB"/>
        </w:rPr>
        <w:t xml:space="preserve"> </w:t>
      </w:r>
      <w:r w:rsidR="00E9194D" w:rsidRPr="006D05D9">
        <w:rPr>
          <w:lang w:val="en-GB"/>
        </w:rPr>
        <w:fldChar w:fldCharType="begin" w:fldLock="1"/>
      </w:r>
      <w:r w:rsidR="00114AA9" w:rsidRPr="006D05D9">
        <w:rPr>
          <w:lang w:val="en-GB"/>
        </w:rPr>
        <w:instrText>ADDIN CSL_CITATION {"citationItems":[{"id":"ITEM-1","itemData":{"DOI":"10.1016/j.ergon.2023.103449","ISSN":"18728219","abstract":"Objective: Evaluate the influence of alternating the position of the upper limbs, between fully supported and unsupported forearms, in the Upper Trapezius ( UT) activity during a typing task on a straight-edged desk. Background: Ergonomic barriers, such as reduced desk area, is one of the reasons that force computer users to work without supporting their forearms. Unsupported forearms may lead to increased UT muscle fatigue, increasing the potential for lesions, with Trapezius Myalgia (TM) being a possible outcome. Method: 15 healthy volunteers were assessed (6 females, average age of 3,7 ± 9,5 years old). The protocol included an alternated position of forearms every 5 min between fully supported and unsupported forearms, with a 20-min total duration of a typing task. Surface electromyography readings were collected from both UTs. Results: Significant differences were found in the variation of the EMG signal between the two positions for the non-dominant arm after 10 min (p &lt;.05) of typing. The non-dominant UT registered higher levels of activity than the dominant UT. Supported forearms reduced the electrical activity in both UTs, with a greater difference in the non-dominant. Conclusion: This study consolidates the current knowledge that unsupported upper limb during typing tasks significantly increases UT's electrical activity. By fully supporting the forearm, that activity is reduced. Females and the non-dominant UT showed higher electrical activity, potentially increasing the risk of developing TM. Application: Healthcare providers, safety and health professionals, and ergonomists should be mindful of the forearm position when advising computer users to prevent TM.","author":[{"dropping-particle":"","family":"Santiago","given":"Rui José","non-dropping-particle":"","parse-names":false,"suffix":""},{"dropping-particle":"","family":"Santos Baptista","given":"João","non-dropping-particle":"","parse-names":false,"suffix":""},{"dropping-particle":"","family":"Magalhães","given":"André","non-dropping-particle":"","parse-names":false,"suffix":""},{"dropping-particle":"","family":"Torres Costa","given":"José","non-dropping-particle":"","parse-names":false,"suffix":""}],"container-title":"International Journal of Industrial Ergonomics","id":"ITEM-1","issue":"June 2020","issued":{"date-parts":[["2023"]]},"title":"Total forearm support during a typing task may reduce the risk of Trapezius' Myalgia development","type":"article-journal","volume":"95"},"uris":["http://www.mendeley.com/documents/?uuid=50b74f2a-4465-4871-9e69-521f26803640"]},{"id":"ITEM-2","itemData":{"DOI":"10.1016/j.apergo.2022.103738","ISSN":"18729126","PMID":"35247831","abstract":"This study aimed to evaluate the effects of workstation adjustment to reduce postural exposure and perceived discomfort among office workers in a cluster randomized controlled trial. Experimental (EG, n = 31) and control groups (CG, n = 30) were compared before (pre-intervention), immediately (post-intervention), and 3 months after (follow up) the intervention. EG received workstation adjustments and CG did not received the intervention. Postural exposure of head, upper back and upper arms was objectively measured by inclinometers. Overall level of perceived discomfort for the whole body was evaluated using a visual analogue scale (0–100 mm). EG showed a statistically significant reduction on the head (pre: 10.1°, SD 5.7°; post: 6.6°, SD 4.7°) and upper back flexion (pre: 15.4°, SD 10.7°; post: 10.4°, SD 8.4°) from pre to post-intervention. EG also showed a statistically significant reduction from pre (50.7°, SD 9.5°) to post-intervention (42.1°, SD 7.6°) and from pre to follow up (41.6°, SD 6.5°) on upper arm elevation. CG did not show any difference between evaluations. Perceived discomfort increased 7.2 (SD 2.0) mm in CG and decreased 22.1 (SD 2.2) mm in EG between pre and post intervention. The variation between pre intervention and follow up was 4.5 (SD 1.2) mm increase for the CG and 24.1 (SD 1.5) mm of reduction for the EG (P &lt; 0.01). There was no significant difference for the post intervention and follow up for both groups (P &gt; 0.05). The results show evidence of the workstation adjustment to reduce postural exposure and perceived discomfort among office workers.","author":[{"dropping-particle":"","family":"Cabegi de Barros","given":"Fernanda","non-dropping-particle":"","parse-names":false,"suffix":""},{"dropping-particle":"","family":"Moriguchi","given":"Cristiane Shinohara","non-dropping-particle":"","parse-names":false,"suffix":""},{"dropping-particle":"","family":"Oliveira Sato","given":"Tatiana","non-dropping-particle":"de","parse-names":false,"suffix":""}],"container-title":"Applied Ergonomics","id":"ITEM-2","issue":"February","issued":{"date-parts":[["2022"]]},"page":"103738","publisher":"Elsevier Ltd","title":"Effects of workstation adjustment to reduce postural exposure and perceived discomfort among office workers - A cluster randomized controlled trial","type":"article-journal","volume":"102"},"uris":["http://www.mendeley.com/documents/?uuid=d8d546a4-e0d5-436d-871c-0dbb70294e87"]}],"mendeley":{"formattedCitation":"(Cabegi de Barros et al., 2022; Santiago et al., 2023)","plainTextFormattedCitation":"(Cabegi de Barros et al., 2022; Santiago et al., 2023)","previouslyFormattedCitation":"(Cabegi de Barros et al., 2022; Santiago et al., 2023)"},"properties":{"noteIndex":0},"schema":"https://github.com/citation-style-language/schema/raw/master/csl-citation.json"}</w:instrText>
      </w:r>
      <w:r w:rsidR="00E9194D" w:rsidRPr="006D05D9">
        <w:rPr>
          <w:lang w:val="en-GB"/>
        </w:rPr>
        <w:fldChar w:fldCharType="separate"/>
      </w:r>
      <w:r w:rsidR="009A0BC8" w:rsidRPr="006D05D9">
        <w:rPr>
          <w:lang w:val="en-GB"/>
        </w:rPr>
        <w:t>(Cabegi de Barros et al., 2022; Santiago et al., 2023)</w:t>
      </w:r>
      <w:r w:rsidR="00E9194D" w:rsidRPr="006D05D9">
        <w:rPr>
          <w:lang w:val="en-GB"/>
        </w:rPr>
        <w:fldChar w:fldCharType="end"/>
      </w:r>
      <w:r w:rsidRPr="006D05D9">
        <w:rPr>
          <w:lang w:val="en-GB"/>
        </w:rPr>
        <w:t xml:space="preserve"> and international regulations </w:t>
      </w:r>
      <w:r w:rsidR="00B42815" w:rsidRPr="006D05D9">
        <w:rPr>
          <w:lang w:val="en-GB"/>
        </w:rPr>
        <w:t xml:space="preserve">, </w:t>
      </w:r>
      <w:r w:rsidR="00AB04CF" w:rsidRPr="006D05D9">
        <w:rPr>
          <w:lang w:val="en-GB"/>
        </w:rPr>
        <w:t>especially</w:t>
      </w:r>
      <w:r w:rsidR="00B42815" w:rsidRPr="006D05D9">
        <w:rPr>
          <w:lang w:val="en-GB"/>
        </w:rPr>
        <w:t xml:space="preserve"> with the </w:t>
      </w:r>
      <w:r w:rsidR="00AB04CF" w:rsidRPr="006D05D9">
        <w:rPr>
          <w:lang w:val="en-GB"/>
        </w:rPr>
        <w:t>massification</w:t>
      </w:r>
      <w:r w:rsidR="00B42815" w:rsidRPr="006D05D9">
        <w:rPr>
          <w:lang w:val="en-GB"/>
        </w:rPr>
        <w:t xml:space="preserve"> of notebook use</w:t>
      </w:r>
      <w:r w:rsidR="00AB04CF" w:rsidRPr="006D05D9">
        <w:rPr>
          <w:lang w:val="en-GB"/>
        </w:rPr>
        <w:t xml:space="preserve"> over desktop use</w:t>
      </w:r>
      <w:r w:rsidR="00B42815" w:rsidRPr="006D05D9">
        <w:rPr>
          <w:lang w:val="en-GB"/>
        </w:rPr>
        <w:t>.</w:t>
      </w:r>
    </w:p>
    <w:p w14:paraId="6F31DB54" w14:textId="77777777" w:rsidR="0057195A" w:rsidRPr="006D05D9" w:rsidRDefault="0057195A" w:rsidP="00C05019">
      <w:pPr>
        <w:rPr>
          <w:lang w:val="en-GB"/>
        </w:rPr>
      </w:pPr>
    </w:p>
    <w:p w14:paraId="4F45FBA7" w14:textId="79ACF217" w:rsidR="004E796B" w:rsidRPr="006D05D9" w:rsidRDefault="005E33AC" w:rsidP="003F582D">
      <w:pPr>
        <w:ind w:firstLine="284"/>
        <w:rPr>
          <w:lang w:val="en-GB"/>
        </w:rPr>
      </w:pPr>
      <w:r w:rsidRPr="006D05D9">
        <w:rPr>
          <w:lang w:val="en-GB"/>
        </w:rPr>
        <w:t>Considering the sample</w:t>
      </w:r>
      <w:r w:rsidR="0055472C" w:rsidRPr="006D05D9">
        <w:rPr>
          <w:lang w:val="en-GB"/>
        </w:rPr>
        <w:t xml:space="preserve"> (2,261 students)</w:t>
      </w:r>
      <w:r w:rsidRPr="006D05D9">
        <w:rPr>
          <w:lang w:val="en-GB"/>
        </w:rPr>
        <w:t xml:space="preserve"> used in Castellucci et </w:t>
      </w:r>
      <w:r w:rsidR="008C3CAF">
        <w:rPr>
          <w:lang w:val="en-GB"/>
        </w:rPr>
        <w:t>al.</w:t>
      </w:r>
      <w:r w:rsidRPr="006D05D9">
        <w:rPr>
          <w:lang w:val="en-GB"/>
        </w:rPr>
        <w:t xml:space="preserve"> (2014) and applying the </w:t>
      </w:r>
      <w:r w:rsidR="00F73759" w:rsidRPr="006D05D9">
        <w:rPr>
          <w:lang w:val="en-GB"/>
        </w:rPr>
        <w:t>desk height proposal</w:t>
      </w:r>
      <w:r w:rsidR="0004398A" w:rsidRPr="006D05D9">
        <w:rPr>
          <w:lang w:val="en-GB"/>
        </w:rPr>
        <w:t xml:space="preserve"> equation</w:t>
      </w:r>
      <w:r w:rsidR="000D4027" w:rsidRPr="006D05D9">
        <w:rPr>
          <w:lang w:val="en-GB"/>
        </w:rPr>
        <w:t>,</w:t>
      </w:r>
      <w:r w:rsidRPr="006D05D9">
        <w:rPr>
          <w:lang w:val="en-GB"/>
        </w:rPr>
        <w:t xml:space="preserve"> </w:t>
      </w:r>
      <w:r w:rsidR="005404AA" w:rsidRPr="006D05D9">
        <w:rPr>
          <w:lang w:val="en-GB"/>
        </w:rPr>
        <w:t>94</w:t>
      </w:r>
      <w:r w:rsidRPr="006D05D9">
        <w:rPr>
          <w:lang w:val="en-GB"/>
        </w:rPr>
        <w:t xml:space="preserve">% of the students </w:t>
      </w:r>
      <w:r w:rsidR="0055472C" w:rsidRPr="006D05D9">
        <w:rPr>
          <w:lang w:val="en-GB"/>
        </w:rPr>
        <w:t>will use</w:t>
      </w:r>
      <w:r w:rsidR="005404AA" w:rsidRPr="006D05D9">
        <w:rPr>
          <w:lang w:val="en-GB"/>
        </w:rPr>
        <w:t xml:space="preserve"> a proper</w:t>
      </w:r>
      <w:r w:rsidR="0055472C" w:rsidRPr="006D05D9">
        <w:rPr>
          <w:lang w:val="en-GB"/>
        </w:rPr>
        <w:t xml:space="preserve"> desk</w:t>
      </w:r>
      <w:r w:rsidR="00CA7EDA" w:rsidRPr="006D05D9">
        <w:rPr>
          <w:lang w:val="en-GB"/>
        </w:rPr>
        <w:t xml:space="preserve"> height</w:t>
      </w:r>
      <w:r w:rsidR="0055472C" w:rsidRPr="006D05D9">
        <w:rPr>
          <w:lang w:val="en-GB"/>
        </w:rPr>
        <w:t xml:space="preserve"> compar</w:t>
      </w:r>
      <w:r w:rsidR="00926CD4" w:rsidRPr="006D05D9">
        <w:rPr>
          <w:lang w:val="en-GB"/>
        </w:rPr>
        <w:t>ed</w:t>
      </w:r>
      <w:r w:rsidR="0055472C" w:rsidRPr="006D05D9">
        <w:rPr>
          <w:lang w:val="en-GB"/>
        </w:rPr>
        <w:t xml:space="preserve"> with </w:t>
      </w:r>
      <w:r w:rsidR="00926CD4" w:rsidRPr="006D05D9">
        <w:rPr>
          <w:lang w:val="en-GB"/>
        </w:rPr>
        <w:t xml:space="preserve">only </w:t>
      </w:r>
      <w:r w:rsidR="00CA7EDA" w:rsidRPr="006D05D9">
        <w:rPr>
          <w:lang w:val="en-GB"/>
        </w:rPr>
        <w:t xml:space="preserve"> 63%</w:t>
      </w:r>
      <w:r w:rsidR="0055472C" w:rsidRPr="006D05D9">
        <w:rPr>
          <w:lang w:val="en-GB"/>
        </w:rPr>
        <w:t xml:space="preserve"> </w:t>
      </w:r>
      <w:r w:rsidR="00926CD4" w:rsidRPr="006D05D9">
        <w:rPr>
          <w:lang w:val="en-GB"/>
        </w:rPr>
        <w:t>when</w:t>
      </w:r>
      <w:r w:rsidR="00A62447" w:rsidRPr="006D05D9">
        <w:rPr>
          <w:lang w:val="en-GB"/>
        </w:rPr>
        <w:t xml:space="preserve"> applying </w:t>
      </w:r>
      <w:r w:rsidR="00CA419C" w:rsidRPr="006D05D9">
        <w:rPr>
          <w:lang w:val="en-GB"/>
        </w:rPr>
        <w:t xml:space="preserve">the original desk height </w:t>
      </w:r>
      <w:r w:rsidR="0004398A" w:rsidRPr="006D05D9">
        <w:rPr>
          <w:lang w:val="en-GB"/>
        </w:rPr>
        <w:t xml:space="preserve">equation </w:t>
      </w:r>
      <w:r w:rsidR="00CA419C" w:rsidRPr="006D05D9">
        <w:rPr>
          <w:lang w:val="en-GB"/>
        </w:rPr>
        <w:t>based on</w:t>
      </w:r>
      <w:r w:rsidR="0055472C" w:rsidRPr="006D05D9">
        <w:rPr>
          <w:lang w:val="en-GB"/>
        </w:rPr>
        <w:t xml:space="preserve"> the Chaffin and Anderson’s principles </w:t>
      </w:r>
      <w:r w:rsidR="0055472C" w:rsidRPr="006D05D9">
        <w:rPr>
          <w:lang w:val="en-GB"/>
        </w:rPr>
        <w:fldChar w:fldCharType="begin" w:fldLock="1"/>
      </w:r>
      <w:r w:rsidR="0055472C" w:rsidRPr="006D05D9">
        <w:rPr>
          <w:lang w:val="en-GB"/>
        </w:rPr>
        <w:instrText>ADDIN CSL_CITATION {"citationItems":[{"id":"ITEM-1","itemData":{"author":[{"dropping-particle":"","family":"Chaffin","given":"D.","non-dropping-particle":"","parse-names":false,"suffix":""},{"dropping-particle":"","family":"Anderson","given":"G.","non-dropping-particle":"","parse-names":false,"suffix":""}],"edition":"2nd","id":"ITEM-1","issued":{"date-parts":[["1991"]]},"publisher":"John Wiley","publisher-place":"New York","title":"Occupational Biomechanics","type":"book"},"uris":["http://www.mendeley.com/documents/?uuid=2191a9f7-758a-4c2c-867e-f8ac74183476"]}],"mendeley":{"formattedCitation":"(Chaffin and Anderson, 1991)","plainTextFormattedCitation":"(Chaffin and Anderson, 1991)","previouslyFormattedCitation":"(Chaffin and Anderson, 1991)"},"properties":{"noteIndex":0},"schema":"https://github.com/citation-style-language/schema/raw/master/csl-citation.json"}</w:instrText>
      </w:r>
      <w:r w:rsidR="0055472C" w:rsidRPr="006D05D9">
        <w:rPr>
          <w:lang w:val="en-GB"/>
        </w:rPr>
        <w:fldChar w:fldCharType="separate"/>
      </w:r>
      <w:r w:rsidR="0055472C" w:rsidRPr="006D05D9">
        <w:rPr>
          <w:lang w:val="en-GB"/>
        </w:rPr>
        <w:t>(Chaffin and Anderson, 1991)</w:t>
      </w:r>
      <w:r w:rsidR="0055472C" w:rsidRPr="006D05D9">
        <w:rPr>
          <w:lang w:val="en-GB"/>
        </w:rPr>
        <w:fldChar w:fldCharType="end"/>
      </w:r>
      <w:r w:rsidR="00CA419C" w:rsidRPr="006D05D9">
        <w:rPr>
          <w:lang w:val="en-GB"/>
        </w:rPr>
        <w:t>.</w:t>
      </w:r>
      <w:r w:rsidR="00CA7EDA" w:rsidRPr="006D05D9">
        <w:rPr>
          <w:lang w:val="en-GB"/>
        </w:rPr>
        <w:t xml:space="preserve"> </w:t>
      </w:r>
      <w:r w:rsidR="007F7C5C" w:rsidRPr="006D05D9">
        <w:rPr>
          <w:lang w:val="en-GB"/>
        </w:rPr>
        <w:t>Also,</w:t>
      </w:r>
      <w:r w:rsidR="00304F33" w:rsidRPr="006D05D9">
        <w:rPr>
          <w:lang w:val="en-GB"/>
        </w:rPr>
        <w:t xml:space="preserve"> the new desk height proposal </w:t>
      </w:r>
      <w:r w:rsidR="009C11C3" w:rsidRPr="006D05D9">
        <w:rPr>
          <w:lang w:val="en-GB"/>
        </w:rPr>
        <w:t>will</w:t>
      </w:r>
      <w:r w:rsidR="00304F33" w:rsidRPr="006D05D9">
        <w:rPr>
          <w:lang w:val="en-GB"/>
        </w:rPr>
        <w:t xml:space="preserve"> allow to use in average a</w:t>
      </w:r>
      <w:r w:rsidR="009C11C3" w:rsidRPr="006D05D9">
        <w:rPr>
          <w:lang w:val="en-GB"/>
        </w:rPr>
        <w:t xml:space="preserve"> </w:t>
      </w:r>
      <w:r w:rsidR="00304F33" w:rsidRPr="006D05D9">
        <w:rPr>
          <w:lang w:val="en-GB"/>
        </w:rPr>
        <w:t xml:space="preserve">desk </w:t>
      </w:r>
      <w:r w:rsidR="00194C55" w:rsidRPr="006D05D9">
        <w:rPr>
          <w:lang w:val="en-GB"/>
        </w:rPr>
        <w:t>higher in 44</w:t>
      </w:r>
      <w:r w:rsidR="007F7C5C" w:rsidRPr="006D05D9">
        <w:rPr>
          <w:rFonts w:cstheme="minorHAnsi"/>
          <w:lang w:val="en-GB"/>
        </w:rPr>
        <w:t>±6</w:t>
      </w:r>
      <w:r w:rsidR="002608E5" w:rsidRPr="006D05D9">
        <w:rPr>
          <w:rFonts w:cstheme="minorHAnsi"/>
          <w:lang w:val="en-GB"/>
        </w:rPr>
        <w:t xml:space="preserve"> mm</w:t>
      </w:r>
      <w:r w:rsidR="007F7C5C" w:rsidRPr="006D05D9">
        <w:rPr>
          <w:rFonts w:cstheme="minorHAnsi"/>
          <w:lang w:val="en-GB"/>
        </w:rPr>
        <w:t xml:space="preserve"> </w:t>
      </w:r>
      <w:r w:rsidR="00194C55" w:rsidRPr="006D05D9">
        <w:rPr>
          <w:lang w:val="en-GB"/>
        </w:rPr>
        <w:t>compar</w:t>
      </w:r>
      <w:r w:rsidR="00D11AD7" w:rsidRPr="006D05D9">
        <w:rPr>
          <w:lang w:val="en-GB"/>
        </w:rPr>
        <w:t>ed</w:t>
      </w:r>
      <w:r w:rsidR="00194C55" w:rsidRPr="006D05D9">
        <w:rPr>
          <w:lang w:val="en-GB"/>
        </w:rPr>
        <w:t xml:space="preserve"> </w:t>
      </w:r>
      <w:r w:rsidR="007F7C5C" w:rsidRPr="006D05D9">
        <w:rPr>
          <w:lang w:val="en-GB"/>
        </w:rPr>
        <w:t>with the original desk height.</w:t>
      </w:r>
      <w:r w:rsidR="008C34E3" w:rsidRPr="006D05D9">
        <w:rPr>
          <w:lang w:val="en-GB"/>
        </w:rPr>
        <w:t xml:space="preserve"> </w:t>
      </w:r>
      <w:r w:rsidR="00772863" w:rsidRPr="006D05D9">
        <w:rPr>
          <w:lang w:val="en-GB"/>
        </w:rPr>
        <w:t>Performing the same calculation, but in a sample of 2,946 workers</w:t>
      </w:r>
      <w:r w:rsidR="004E796B" w:rsidRPr="006D05D9">
        <w:rPr>
          <w:lang w:val="en-GB"/>
        </w:rPr>
        <w:t xml:space="preserve"> </w:t>
      </w:r>
      <w:r w:rsidR="004E796B" w:rsidRPr="006D05D9">
        <w:rPr>
          <w:lang w:val="en-GB"/>
        </w:rPr>
        <w:fldChar w:fldCharType="begin" w:fldLock="1"/>
      </w:r>
      <w:r w:rsidR="00C26E81" w:rsidRPr="006D05D9">
        <w:rPr>
          <w:lang w:val="en-GB"/>
        </w:rPr>
        <w:instrText>ADDIN CSL_CITATION {"citationItems":[{"id":"ITEM-1","itemData":{"DOI":"10.1016/j.apergo.2020.103273","ISSN":"00036870","abstract":"Anthropometry is critical for product and workplace design. Highly prevalent, office work is associated with sedentarism and physical discomfort due to prolonged sitting. Dynamic seating (alternating across sitting, perching, and standing) has been suggested as an alternative to overcome those problems. The current study tested a large sample of anthropometric data for mismatch levels against national and international office furniture standards using dynamic seating as a framework with traditional and perching mismatch equations, applied to three recommended dynamic seating components. Dimensions present in the standards used did not match the majority of the sample. For sitting, seat width and depth individually presented the lowest levels of match, as well as under cumulative fit of all office furniture dimensions. However, these were alleviated when incorporating adjustability. Perching was shown to be generally impeded given commercially-available chair height options. Limitations in state-of-the-art perching equations are discussed, and two new models are proposed as design alternatives. Further research should focus on testing the criteria presented in this research through discomfort and objective measures.","author":[{"dropping-particle":"","family":"Castellucci","given":"Héctor Ignacio","non-dropping-particle":"","parse-names":false,"suffix":""},{"dropping-particle":"","family":"Viviani","given":"Carlos","non-dropping-particle":"","parse-names":false,"suffix":""},{"dropping-particle":"","family":"Arezes","given":"Pedro","non-dropping-particle":"","parse-names":false,"suffix":""},{"dropping-particle":"","family":"Molenbroek","given":"Johan F.M.","non-dropping-particle":"","parse-names":false,"suffix":""},{"dropping-particle":"","family":"Martínez","given":"Marta","non-dropping-particle":"","parse-names":false,"suffix":""},{"dropping-particle":"","family":"Aparici","given":"Verónica","non-dropping-particle":"","parse-names":false,"suffix":""}],"container-title":"Applied Ergonomics","id":"ITEM-1","issued":{"date-parts":[["2021","1"]]},"page":"103273","title":"Application of mismatch equations in dynamic seating designs","type":"article-journal","volume":"90"},"uris":["http://www.mendeley.com/documents/?uuid=74d84e21-b7d0-4a71-a2f2-77e8bc536860"]}],"mendeley":{"formattedCitation":"(Castellucci et al., 2021)","plainTextFormattedCitation":"(Castellucci et al., 2021)","previouslyFormattedCitation":"(Castellucci et al., 2021)"},"properties":{"noteIndex":0},"schema":"https://github.com/citation-style-language/schema/raw/master/csl-citation.json"}</w:instrText>
      </w:r>
      <w:r w:rsidR="004E796B" w:rsidRPr="006D05D9">
        <w:rPr>
          <w:lang w:val="en-GB"/>
        </w:rPr>
        <w:fldChar w:fldCharType="separate"/>
      </w:r>
      <w:r w:rsidR="004E796B" w:rsidRPr="006D05D9">
        <w:rPr>
          <w:lang w:val="en-GB"/>
        </w:rPr>
        <w:t>(Castellucci et al., 2021)</w:t>
      </w:r>
      <w:r w:rsidR="004E796B" w:rsidRPr="006D05D9">
        <w:rPr>
          <w:lang w:val="en-GB"/>
        </w:rPr>
        <w:fldChar w:fldCharType="end"/>
      </w:r>
      <w:r w:rsidR="00772863" w:rsidRPr="006D05D9">
        <w:rPr>
          <w:lang w:val="en-GB"/>
        </w:rPr>
        <w:t>, it can be established that 46.7</w:t>
      </w:r>
      <w:r w:rsidR="00BA7BAA" w:rsidRPr="006D05D9">
        <w:rPr>
          <w:lang w:val="en-GB"/>
        </w:rPr>
        <w:t xml:space="preserve">% of workers will use a desk </w:t>
      </w:r>
      <w:r w:rsidR="006D1A08" w:rsidRPr="006D05D9">
        <w:rPr>
          <w:lang w:val="en-GB"/>
        </w:rPr>
        <w:t xml:space="preserve">higher (high mismatch) </w:t>
      </w:r>
      <w:r w:rsidR="00BA7BAA" w:rsidRPr="006D05D9">
        <w:rPr>
          <w:lang w:val="en-GB"/>
        </w:rPr>
        <w:t>than t</w:t>
      </w:r>
      <w:r w:rsidR="003A136F" w:rsidRPr="006D05D9">
        <w:rPr>
          <w:lang w:val="en-GB"/>
        </w:rPr>
        <w:t>h</w:t>
      </w:r>
      <w:r w:rsidR="0004398A" w:rsidRPr="006D05D9">
        <w:rPr>
          <w:lang w:val="en-GB"/>
        </w:rPr>
        <w:t xml:space="preserve">e recommended </w:t>
      </w:r>
      <w:r w:rsidR="001E2A4C" w:rsidRPr="006D05D9">
        <w:rPr>
          <w:lang w:val="en-GB"/>
        </w:rPr>
        <w:t xml:space="preserve">by </w:t>
      </w:r>
      <w:r w:rsidR="00772863" w:rsidRPr="006D05D9">
        <w:rPr>
          <w:lang w:val="en-GB"/>
        </w:rPr>
        <w:t xml:space="preserve">the original </w:t>
      </w:r>
      <w:r w:rsidR="001E2A4C" w:rsidRPr="006D05D9">
        <w:rPr>
          <w:lang w:val="en-GB"/>
        </w:rPr>
        <w:t>equation</w:t>
      </w:r>
      <w:r w:rsidR="00772863" w:rsidRPr="006D05D9">
        <w:rPr>
          <w:lang w:val="en-GB"/>
        </w:rPr>
        <w:t xml:space="preserve"> compared to 7.1</w:t>
      </w:r>
      <w:r w:rsidR="001E2A4C" w:rsidRPr="006D05D9">
        <w:rPr>
          <w:lang w:val="en-GB"/>
        </w:rPr>
        <w:t>% of workers</w:t>
      </w:r>
      <w:r w:rsidR="00772863" w:rsidRPr="006D05D9">
        <w:rPr>
          <w:lang w:val="en-GB"/>
        </w:rPr>
        <w:t xml:space="preserve"> using </w:t>
      </w:r>
      <w:r w:rsidR="006D1A08" w:rsidRPr="006D05D9">
        <w:rPr>
          <w:lang w:val="en-GB"/>
        </w:rPr>
        <w:t xml:space="preserve">the desk height proposal </w:t>
      </w:r>
      <w:r w:rsidR="002608E5" w:rsidRPr="006D05D9">
        <w:rPr>
          <w:lang w:val="en-GB"/>
        </w:rPr>
        <w:t xml:space="preserve">equation. Also, the new desk height proposal will allow to use </w:t>
      </w:r>
      <w:r w:rsidR="0006225C" w:rsidRPr="006D05D9">
        <w:rPr>
          <w:lang w:val="en-GB"/>
        </w:rPr>
        <w:t>on</w:t>
      </w:r>
      <w:r w:rsidR="00D11AD7" w:rsidRPr="006D05D9">
        <w:rPr>
          <w:lang w:val="en-GB"/>
        </w:rPr>
        <w:t xml:space="preserve"> </w:t>
      </w:r>
      <w:r w:rsidR="002608E5" w:rsidRPr="006D05D9">
        <w:rPr>
          <w:lang w:val="en-GB"/>
        </w:rPr>
        <w:t>average a desk higher in 52</w:t>
      </w:r>
      <w:r w:rsidR="002608E5" w:rsidRPr="006D05D9">
        <w:rPr>
          <w:rFonts w:cstheme="minorHAnsi"/>
          <w:lang w:val="en-GB"/>
        </w:rPr>
        <w:t xml:space="preserve">±4 mm </w:t>
      </w:r>
      <w:r w:rsidR="002608E5" w:rsidRPr="006D05D9">
        <w:rPr>
          <w:lang w:val="en-GB"/>
        </w:rPr>
        <w:t>compar</w:t>
      </w:r>
      <w:r w:rsidR="0006225C" w:rsidRPr="006D05D9">
        <w:rPr>
          <w:lang w:val="en-GB"/>
        </w:rPr>
        <w:t>ed</w:t>
      </w:r>
      <w:r w:rsidR="002608E5" w:rsidRPr="006D05D9">
        <w:rPr>
          <w:lang w:val="en-GB"/>
        </w:rPr>
        <w:t xml:space="preserve"> with the original desk height.</w:t>
      </w:r>
      <w:r w:rsidR="009E2654" w:rsidRPr="006D05D9">
        <w:rPr>
          <w:lang w:val="en-GB"/>
        </w:rPr>
        <w:t xml:space="preserve"> </w:t>
      </w:r>
    </w:p>
    <w:p w14:paraId="42F99032" w14:textId="77777777" w:rsidR="004E796B" w:rsidRPr="006D05D9" w:rsidRDefault="004E796B" w:rsidP="003F582D">
      <w:pPr>
        <w:ind w:firstLine="284"/>
        <w:rPr>
          <w:lang w:val="en-GB"/>
        </w:rPr>
      </w:pPr>
    </w:p>
    <w:p w14:paraId="27C8457D" w14:textId="79B7BF3B" w:rsidR="004E796B" w:rsidRPr="006D05D9" w:rsidRDefault="004E796B" w:rsidP="003F582D">
      <w:pPr>
        <w:ind w:firstLine="284"/>
        <w:rPr>
          <w:lang w:val="en-GB"/>
        </w:rPr>
      </w:pPr>
      <w:r w:rsidRPr="006D05D9">
        <w:rPr>
          <w:lang w:val="en-GB"/>
        </w:rPr>
        <w:t xml:space="preserve">Considering that some authors estimated the higher level of desk height based on the elbow height sitting (EHS) + 50 mm </w:t>
      </w:r>
      <w:r w:rsidRPr="006D05D9">
        <w:rPr>
          <w:lang w:val="en-GB"/>
        </w:rPr>
        <w:fldChar w:fldCharType="begin" w:fldLock="1"/>
      </w:r>
      <w:r w:rsidRPr="006D05D9">
        <w:rPr>
          <w:lang w:val="en-GB"/>
        </w:rPr>
        <w:instrText>ADDIN CSL_CITATION {"citationItems":[{"id":"ITEM-1","itemData":{"DOI":"10.1080/1463922X.2020.1753259","ISSN":"1464536X","abstract":"Children spend most of their school time in classrooms and in seating positions; therefore, the use of ill-fitted classroom furniture can cause discomfort and irritation, and predispose users to musculoskeletal disorders. The aim of this study was to survey the anthropometric measures of selected secondary school children in Akure, Nigeria, and to conduct an ergonomic evaluation of the classroom furniture available to the school children. Three hundred and seventy-five children (188 males and 187 females) aged 10 to 17 and across three schools were selected for the study. The anthropometric measures of the children were taken using a standard anthropometer while the dimensions of the classroom furniture were also taken using an inextensible tape measure. The mean values for most anthropometric measures were observed to be slightly higher in females than in males. Furthermore, 43% of the males and 42% of the females were observed to have seat height mismatches while 52% of males and 37% of females were observed to have seat depth mismatches. All the participants were observed to record a seat-desk height mismatch. The evidence presented shows that the classroom furniture available to the children does not suit a large number of the users.","author":[{"dropping-particle":"","family":"Obinna","given":"Fidelis P.","non-dropping-particle":"","parse-names":false,"suffix":""},{"dropping-particle":"","family":"Sunday","given":"Adelakun A.","non-dropping-particle":"","parse-names":false,"suffix":""},{"dropping-particle":"","family":"Babatunde","given":"Ogunlade","non-dropping-particle":"","parse-names":false,"suffix":""}],"container-title":"Theoretical Issues in Ergonomics Science","id":"ITEM-1","issue":"1","issued":{"date-parts":[["2021"]]},"page":"1-14","publisher":"Taylor &amp; Francis","title":"Ergonomic assessment and health implications of classroom furniture designs in secondary schools: a case study","type":"article-journal","volume":"22"},"uris":["http://www.mendeley.com/documents/?uuid=cd267da4-7444-4603-8bd2-8c05e2b396b3"]},{"id":"ITEM-2","itemData":{"DOI":"10.1080/00140139.2012.729612","ISSN":"1366-5847","PMID":"23131119","abstract":"UNLABELLED: This cross-sectional study investigated the use of schoolbags and the prevalence of musculoskeletal symptoms among a sample of 307 Iranian primary school children aged 7-12 years. The average load carried by the children was 2.9 kg (representing on average 10.1% of the child's body weight). Most children chose to carry the schoolbag across two shoulders, although significant numbers also carried it on one shoulder or in the hand. Although the amount of load carried by school children was within the currently suggested load limit of 10% to 15% of the child's body weight, the prevalence of musculoskeletal problems was very high among the study population. Multiple logistic regression models indicated that the method of carrying the schoolbag was significantly associated with hand/wrist and shoulder symptoms, and that the time spent carrying a schoolbag was associated with hand/wrist and upper back symptoms. Schoolbag weight (expressed as a percentage of body weight) was only associated with hand/wrist symptoms. The results suggest that the current recommended weight limit may not be appropriate for school children in primary school, and that guidelines ought to consider factors other than relative schoolbag weight that influence the use of schoolbags among this age group.\n\nPRACTITIONER SUMMARY: The carrying of schoolbags by primary school children and their musculoskeletal symptoms were investigated. The results provide evidence that the current weight limit may not be appropriate for younger school children, and that such guidelines should consider a broader combination of the factors that influence the use of schoolbags.","author":[{"dropping-particle":"","family":"Dianat","given":"Iman","non-dropping-particle":"","parse-names":false,"suffix":""},{"dropping-particle":"","family":"Javadivala","given":"Zeynab","non-dropping-particle":"","parse-names":false,"suffix":""},{"dropping-particle":"","family":"Asghari-Jafarabadi","given":"Mohammad","non-dropping-particle":"","parse-names":false,"suffix":""},{"dropping-particle":"","family":"Asl Hashemi","given":"Ahmad","non-dropping-particle":"","parse-names":false,"suffix":""},{"dropping-particle":"","family":"Haslegrave","given":"Christine M","non-dropping-particle":"","parse-names":false,"suffix":""}],"container-title":"Ergonomics","id":"ITEM-2","issue":"1","issued":{"date-parts":[["2013","1"]]},"page":"79-89","title":"The use of schoolbags and musculoskeletal symptoms among primary school children: are the recommended weight limits adequate?","type":"article-journal","volume":"56"},"uris":["http://www.mendeley.com/documents/?uuid=d3076f05-9ded-4d1d-b4d2-fc971d879835"]}],"mendeley":{"formattedCitation":"(Dianat et al., 2013; Obinna et al., 2021)","plainTextFormattedCitation":"(Dianat et al., 2013; Obinna et al., 2021)","previouslyFormattedCitation":"(Dianat et al., 2013; Obinna et al., 2021)"},"properties":{"noteIndex":0},"schema":"https://github.com/citation-style-language/schema/raw/master/csl-citation.json"}</w:instrText>
      </w:r>
      <w:r w:rsidRPr="006D05D9">
        <w:rPr>
          <w:lang w:val="en-GB"/>
        </w:rPr>
        <w:fldChar w:fldCharType="separate"/>
      </w:r>
      <w:r w:rsidRPr="006D05D9">
        <w:rPr>
          <w:lang w:val="en-GB"/>
        </w:rPr>
        <w:t>(Dianat et al., 2013; Obinna et al., 2021)</w:t>
      </w:r>
      <w:r w:rsidRPr="006D05D9">
        <w:rPr>
          <w:lang w:val="en-GB"/>
        </w:rPr>
        <w:fldChar w:fldCharType="end"/>
      </w:r>
      <w:r w:rsidR="00D923C7" w:rsidRPr="006D05D9">
        <w:rPr>
          <w:lang w:val="en-GB"/>
        </w:rPr>
        <w:t xml:space="preserve">, </w:t>
      </w:r>
      <w:r w:rsidRPr="006D05D9">
        <w:rPr>
          <w:lang w:val="en-GB"/>
        </w:rPr>
        <w:t xml:space="preserve"> </w:t>
      </w:r>
      <w:r w:rsidR="00D923C7" w:rsidRPr="006D05D9">
        <w:rPr>
          <w:lang w:val="en-GB"/>
        </w:rPr>
        <w:t>t</w:t>
      </w:r>
      <w:r w:rsidRPr="006D05D9">
        <w:rPr>
          <w:lang w:val="en-GB"/>
        </w:rPr>
        <w:t xml:space="preserve">he results of the </w:t>
      </w:r>
      <w:r w:rsidR="00D923C7" w:rsidRPr="006D05D9">
        <w:rPr>
          <w:lang w:val="en-GB"/>
        </w:rPr>
        <w:t xml:space="preserve">current </w:t>
      </w:r>
      <w:r w:rsidRPr="006D05D9">
        <w:rPr>
          <w:lang w:val="en-GB"/>
        </w:rPr>
        <w:t xml:space="preserve">study </w:t>
      </w:r>
      <w:r w:rsidR="00D923C7" w:rsidRPr="006D05D9">
        <w:rPr>
          <w:lang w:val="en-GB"/>
        </w:rPr>
        <w:t xml:space="preserve">can be used to test other data sets. For example, </w:t>
      </w:r>
      <w:r w:rsidRPr="006D05D9">
        <w:rPr>
          <w:lang w:val="en-GB"/>
        </w:rPr>
        <w:t>considering the data from previous studies on workers</w:t>
      </w:r>
      <w:r w:rsidR="00745EC6" w:rsidRPr="006D05D9">
        <w:rPr>
          <w:lang w:val="en-GB"/>
        </w:rPr>
        <w:t xml:space="preserve"> </w:t>
      </w:r>
      <w:r w:rsidR="00745EC6" w:rsidRPr="006D05D9">
        <w:rPr>
          <w:lang w:val="en-GB"/>
        </w:rPr>
        <w:fldChar w:fldCharType="begin" w:fldLock="1"/>
      </w:r>
      <w:r w:rsidR="00C26E81" w:rsidRPr="006D05D9">
        <w:rPr>
          <w:lang w:val="en-GB"/>
        </w:rPr>
        <w:instrText>ADDIN CSL_CITATION {"citationItems":[{"id":"ITEM-1","itemData":{"DOI":"10.1016/j.apergo.2020.103273","ISSN":"00036870","abstract":"Anthropometry is critical for product and workplace design. Highly prevalent, office work is associated with sedentarism and physical discomfort due to prolonged sitting. Dynamic seating (alternating across sitting, perching, and standing) has been suggested as an alternative to overcome those problems. The current study tested a large sample of anthropometric data for mismatch levels against national and international office furniture standards using dynamic seating as a framework with traditional and perching mismatch equations, applied to three recommended dynamic seating components. Dimensions present in the standards used did not match the majority of the sample. For sitting, seat width and depth individually presented the lowest levels of match, as well as under cumulative fit of all office furniture dimensions. However, these were alleviated when incorporating adjustability. Perching was shown to be generally impeded given commercially-available chair height options. Limitations in state-of-the-art perching equations are discussed, and two new models are proposed as design alternatives. Further research should focus on testing the criteria presented in this research through discomfort and objective measures.","author":[{"dropping-particle":"","family":"Castellucci","given":"Héctor Ignacio","non-dropping-particle":"","parse-names":false,"suffix":""},{"dropping-particle":"","family":"Viviani","given":"Carlos","non-dropping-particle":"","parse-names":false,"suffix":""},{"dropping-particle":"","family":"Arezes","given":"Pedro","non-dropping-particle":"","parse-names":false,"suffix":""},{"dropping-particle":"","family":"Molenbroek","given":"Johan F.M.","non-dropping-particle":"","parse-names":false,"suffix":""},{"dropping-particle":"","family":"Martínez","given":"Marta","non-dropping-particle":"","parse-names":false,"suffix":""},{"dropping-particle":"","family":"Aparici","given":"Verónica","non-dropping-particle":"","parse-names":false,"suffix":""}],"container-title":"Applied Ergonomics","id":"ITEM-1","issued":{"date-parts":[["2021","1"]]},"page":"103273","title":"Application of mismatch equations in dynamic seating designs","type":"article-journal","volume":"90"},"uris":["http://www.mendeley.com/documents/?uuid=74d84e21-b7d0-4a71-a2f2-77e8bc536860"]}],"mendeley":{"formattedCitation":"(Castellucci et al., 2021)","plainTextFormattedCitation":"(Castellucci et al., 2021)","previouslyFormattedCitation":"(Castellucci et al., 2021)"},"properties":{"noteIndex":0},"schema":"https://github.com/citation-style-language/schema/raw/master/csl-citation.json"}</w:instrText>
      </w:r>
      <w:r w:rsidR="00745EC6" w:rsidRPr="006D05D9">
        <w:rPr>
          <w:lang w:val="en-GB"/>
        </w:rPr>
        <w:fldChar w:fldCharType="separate"/>
      </w:r>
      <w:r w:rsidR="00745EC6" w:rsidRPr="006D05D9">
        <w:rPr>
          <w:lang w:val="en-GB"/>
        </w:rPr>
        <w:t>(Castellucci et al., 2021)</w:t>
      </w:r>
      <w:r w:rsidR="00745EC6" w:rsidRPr="006D05D9">
        <w:rPr>
          <w:lang w:val="en-GB"/>
        </w:rPr>
        <w:fldChar w:fldCharType="end"/>
      </w:r>
      <w:r w:rsidRPr="006D05D9">
        <w:rPr>
          <w:lang w:val="en-GB"/>
        </w:rPr>
        <w:t xml:space="preserve"> and schoolchildren</w:t>
      </w:r>
      <w:r w:rsidR="00C26E81" w:rsidRPr="006D05D9">
        <w:rPr>
          <w:lang w:val="en-GB"/>
        </w:rPr>
        <w:t xml:space="preserve"> </w:t>
      </w:r>
      <w:r w:rsidR="00C26E81" w:rsidRPr="006D05D9">
        <w:rPr>
          <w:lang w:val="en-GB"/>
        </w:rPr>
        <w:fldChar w:fldCharType="begin" w:fldLock="1"/>
      </w:r>
      <w:r w:rsidR="00C26E81" w:rsidRPr="006D05D9">
        <w:rPr>
          <w:lang w:val="en-GB"/>
        </w:rPr>
        <w:instrText>ADDIN CSL_CITATION {"citationItems":[{"id":"ITEM-1","itemData":{"DOI":"10.1016/j.apergo.2014.01.012","ISSN":"1872-9126","PMID":"24560414","abstract":"The mismatch between students and school furniture is likely to result in a number of negative effects, such as uncomfortable body posture, pain, and ultimately, it may also affect the learning process. This study's main aim is to review the literature describing the criteria equations for defining the mismatch between students and school furniture, to apply these equations to a specific sample and, based on the results, to propose a methodology to evaluate school furniture suitability. The literature review comprises one publications database, which was used to identify the studies carried out in the field of the abovementioned mismatch. The sample used for testing the different equations was composed of 2261 volunteer subjects from 14 schools. Fifteen studies were found to meet the criteria of this review and 21 equations to test 6 furniture dimensions were identified. Regarding seat height, there are considerable differences between the two most frequently used equations. Although seat to desk clearance was evaluated by knee height, this condition seems to be based on the false assumption that students are sitting on a chair with a proper seat height. Finally, the proposed methodology for suitability evaluation of school furniture should allow for a more reliable analysis of school furniture.","author":[{"dropping-particle":"","family":"Castellucci","given":"H I","non-dropping-particle":"","parse-names":false,"suffix":""},{"dropping-particle":"","family":"Arezes","given":"P M","non-dropping-particle":"","parse-names":false,"suffix":""},{"dropping-particle":"","family":"Molenbroek","given":"J F M","non-dropping-particle":"","parse-names":false,"suffix":""}],"container-title":"Applied ergonomics","id":"ITEM-1","issue":"4","issued":{"date-parts":[["2014","7"]]},"page":"1123-32","publisher":"Elsevier Ltd","title":"Applying different equations to evaluate the level of mismatch between students and school furniture.","type":"article-journal","volume":"45"},"uris":["http://www.mendeley.com/documents/?uuid=5253ff3f-02c9-40cb-9af4-0cf3f59c2a36"]}],"mendeley":{"formattedCitation":"(Castellucci et al., 2014)","plainTextFormattedCitation":"(Castellucci et al., 2014)"},"properties":{"noteIndex":0},"schema":"https://github.com/citation-style-language/schema/raw/master/csl-citation.json"}</w:instrText>
      </w:r>
      <w:r w:rsidR="00C26E81" w:rsidRPr="006D05D9">
        <w:rPr>
          <w:lang w:val="en-GB"/>
        </w:rPr>
        <w:fldChar w:fldCharType="separate"/>
      </w:r>
      <w:r w:rsidR="00C26E81" w:rsidRPr="006D05D9">
        <w:rPr>
          <w:lang w:val="en-GB"/>
        </w:rPr>
        <w:t>(Castellucci et al., 2014)</w:t>
      </w:r>
      <w:r w:rsidR="00C26E81" w:rsidRPr="006D05D9">
        <w:rPr>
          <w:lang w:val="en-GB"/>
        </w:rPr>
        <w:fldChar w:fldCharType="end"/>
      </w:r>
      <w:r w:rsidRPr="006D05D9">
        <w:rPr>
          <w:lang w:val="en-GB"/>
        </w:rPr>
        <w:t xml:space="preserve">, </w:t>
      </w:r>
      <w:r w:rsidR="00D923C7" w:rsidRPr="006D05D9">
        <w:rPr>
          <w:lang w:val="en-GB"/>
        </w:rPr>
        <w:t xml:space="preserve">the new proposal </w:t>
      </w:r>
      <w:r w:rsidRPr="006D05D9">
        <w:rPr>
          <w:lang w:val="en-GB"/>
        </w:rPr>
        <w:t xml:space="preserve">will allow to establish new </w:t>
      </w:r>
      <w:r w:rsidR="00A655E7" w:rsidRPr="006D05D9">
        <w:rPr>
          <w:lang w:val="en-GB"/>
        </w:rPr>
        <w:t>higher level</w:t>
      </w:r>
      <w:r w:rsidR="00D923C7" w:rsidRPr="006D05D9">
        <w:rPr>
          <w:lang w:val="en-GB"/>
        </w:rPr>
        <w:t xml:space="preserve"> limits for</w:t>
      </w:r>
      <w:r w:rsidR="00A655E7" w:rsidRPr="006D05D9">
        <w:rPr>
          <w:lang w:val="en-GB"/>
        </w:rPr>
        <w:t xml:space="preserve"> desk height,</w:t>
      </w:r>
      <w:r w:rsidR="00D923C7" w:rsidRPr="006D05D9">
        <w:rPr>
          <w:lang w:val="en-GB"/>
        </w:rPr>
        <w:t xml:space="preserve"> of </w:t>
      </w:r>
      <w:r w:rsidR="00A655E7" w:rsidRPr="006D05D9">
        <w:rPr>
          <w:lang w:val="en-GB"/>
        </w:rPr>
        <w:t xml:space="preserve"> EHS</w:t>
      </w:r>
      <w:r w:rsidR="00B31F9B" w:rsidRPr="006D05D9">
        <w:rPr>
          <w:lang w:val="en-GB"/>
        </w:rPr>
        <w:t xml:space="preserve"> + 100mm and EHS </w:t>
      </w:r>
      <w:r w:rsidRPr="006D05D9">
        <w:rPr>
          <w:lang w:val="en-GB"/>
        </w:rPr>
        <w:t>+</w:t>
      </w:r>
      <w:r w:rsidR="00B31F9B" w:rsidRPr="006D05D9">
        <w:rPr>
          <w:lang w:val="en-GB"/>
        </w:rPr>
        <w:t xml:space="preserve"> </w:t>
      </w:r>
      <w:r w:rsidRPr="006D05D9">
        <w:rPr>
          <w:lang w:val="en-GB"/>
        </w:rPr>
        <w:t>8</w:t>
      </w:r>
      <w:r w:rsidR="00B31F9B" w:rsidRPr="006D05D9">
        <w:rPr>
          <w:lang w:val="en-GB"/>
        </w:rPr>
        <w:t xml:space="preserve">0 mm for workers and </w:t>
      </w:r>
      <w:r w:rsidRPr="006D05D9">
        <w:rPr>
          <w:lang w:val="en-GB"/>
        </w:rPr>
        <w:t>schoolchildren</w:t>
      </w:r>
      <w:r w:rsidR="00B31F9B" w:rsidRPr="006D05D9">
        <w:rPr>
          <w:lang w:val="en-GB"/>
        </w:rPr>
        <w:t xml:space="preserve"> respectively.</w:t>
      </w:r>
      <w:r w:rsidR="00D923C7" w:rsidRPr="006D05D9">
        <w:rPr>
          <w:lang w:val="en-GB"/>
        </w:rPr>
        <w:t xml:space="preserve"> Other authors are encouraged to try the new proposal in other data sets. </w:t>
      </w:r>
    </w:p>
    <w:p w14:paraId="47CD8EF5" w14:textId="0E224768" w:rsidR="00BE3384" w:rsidRPr="006D05D9" w:rsidRDefault="00E00E7C" w:rsidP="00E00E7C">
      <w:pPr>
        <w:ind w:firstLine="284"/>
        <w:jc w:val="center"/>
        <w:rPr>
          <w:sz w:val="20"/>
          <w:szCs w:val="20"/>
          <w:lang w:val="en-GB"/>
        </w:rPr>
      </w:pPr>
      <w:r w:rsidRPr="006D05D9">
        <w:rPr>
          <w:noProof/>
          <w:lang w:val="en-GB"/>
        </w:rPr>
        <w:lastRenderedPageBreak/>
        <w:drawing>
          <wp:anchor distT="0" distB="0" distL="114300" distR="114300" simplePos="0" relativeHeight="251660288" behindDoc="0" locked="0" layoutInCell="1" allowOverlap="1" wp14:anchorId="7B351896" wp14:editId="02BCFD77">
            <wp:simplePos x="0" y="0"/>
            <wp:positionH relativeFrom="margin">
              <wp:align>center</wp:align>
            </wp:positionH>
            <wp:positionV relativeFrom="paragraph">
              <wp:posOffset>19050</wp:posOffset>
            </wp:positionV>
            <wp:extent cx="2815590" cy="2051685"/>
            <wp:effectExtent l="19050" t="19050" r="22860" b="24765"/>
            <wp:wrapTopAndBottom/>
            <wp:docPr id="313399833"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9833" name="Imagen 2"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590" cy="20516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E3384" w:rsidRPr="006D05D9">
        <w:rPr>
          <w:sz w:val="20"/>
          <w:szCs w:val="20"/>
          <w:lang w:val="en-GB"/>
        </w:rPr>
        <w:t xml:space="preserve">Figure </w:t>
      </w:r>
      <w:r w:rsidRPr="006D05D9">
        <w:rPr>
          <w:sz w:val="20"/>
          <w:szCs w:val="20"/>
          <w:lang w:val="en-GB"/>
        </w:rPr>
        <w:t>7</w:t>
      </w:r>
      <w:r w:rsidR="00BE3384" w:rsidRPr="006D05D9">
        <w:rPr>
          <w:sz w:val="20"/>
          <w:szCs w:val="20"/>
          <w:lang w:val="en-GB"/>
        </w:rPr>
        <w:t xml:space="preserve">. </w:t>
      </w:r>
      <w:r w:rsidR="00A42D69" w:rsidRPr="006D05D9">
        <w:rPr>
          <w:sz w:val="20"/>
          <w:szCs w:val="20"/>
          <w:lang w:val="en-GB"/>
        </w:rPr>
        <w:t>Total time of the tasks performed with support and unsupported forearm.</w:t>
      </w:r>
    </w:p>
    <w:p w14:paraId="40062BDD" w14:textId="77777777" w:rsidR="00BE3384" w:rsidRPr="006D05D9" w:rsidRDefault="00BE3384" w:rsidP="00C05019">
      <w:pPr>
        <w:rPr>
          <w:lang w:val="en-GB"/>
        </w:rPr>
      </w:pPr>
    </w:p>
    <w:p w14:paraId="3DCF2CC0" w14:textId="77777777" w:rsidR="002A703C" w:rsidRPr="006D05D9" w:rsidRDefault="002A703C" w:rsidP="00C05019">
      <w:pPr>
        <w:rPr>
          <w:lang w:val="en-GB"/>
        </w:rPr>
      </w:pPr>
    </w:p>
    <w:p w14:paraId="016A14A9" w14:textId="622D2632" w:rsidR="00C05019" w:rsidRPr="006D05D9" w:rsidRDefault="00C05019" w:rsidP="00003A3C">
      <w:pPr>
        <w:rPr>
          <w:b/>
          <w:bCs/>
          <w:sz w:val="24"/>
          <w:szCs w:val="24"/>
          <w:lang w:val="en-GB"/>
        </w:rPr>
      </w:pPr>
      <w:r w:rsidRPr="006D05D9">
        <w:rPr>
          <w:b/>
          <w:bCs/>
          <w:sz w:val="24"/>
          <w:szCs w:val="24"/>
          <w:lang w:val="en-GB"/>
        </w:rPr>
        <w:t xml:space="preserve">4.2. Electromyography. </w:t>
      </w:r>
    </w:p>
    <w:p w14:paraId="30714B23" w14:textId="77777777" w:rsidR="00AB78A2" w:rsidRPr="006D05D9" w:rsidRDefault="00AB78A2" w:rsidP="00003A3C">
      <w:pPr>
        <w:rPr>
          <w:lang w:val="en-GB"/>
        </w:rPr>
      </w:pPr>
    </w:p>
    <w:p w14:paraId="79A8A45B" w14:textId="66179314" w:rsidR="005746A2" w:rsidRPr="006D05D9" w:rsidRDefault="000F549F" w:rsidP="00003A3C">
      <w:pPr>
        <w:ind w:firstLine="284"/>
        <w:rPr>
          <w:lang w:val="en-GB"/>
        </w:rPr>
      </w:pPr>
      <w:r w:rsidRPr="006D05D9">
        <w:rPr>
          <w:lang w:val="en-GB"/>
        </w:rPr>
        <w:t>Although there was a consistent pattern of higher levels of</w:t>
      </w:r>
      <w:r w:rsidR="00C5727D" w:rsidRPr="006D05D9">
        <w:rPr>
          <w:lang w:val="en-GB"/>
        </w:rPr>
        <w:t xml:space="preserve"> muscle activity for the Superior Trapezius</w:t>
      </w:r>
      <w:r w:rsidR="007D47FE" w:rsidRPr="006D05D9">
        <w:rPr>
          <w:lang w:val="en-GB"/>
        </w:rPr>
        <w:t xml:space="preserve">, the magnitude of </w:t>
      </w:r>
      <w:r w:rsidR="003E1ECD" w:rsidRPr="006D05D9">
        <w:rPr>
          <w:lang w:val="en-GB"/>
        </w:rPr>
        <w:t>changes</w:t>
      </w:r>
      <w:r w:rsidR="007D47FE" w:rsidRPr="006D05D9">
        <w:rPr>
          <w:lang w:val="en-GB"/>
        </w:rPr>
        <w:t xml:space="preserve"> was only </w:t>
      </w:r>
      <w:r w:rsidR="003E1ECD" w:rsidRPr="006D05D9">
        <w:rPr>
          <w:lang w:val="en-GB"/>
        </w:rPr>
        <w:t>statistical</w:t>
      </w:r>
      <w:r w:rsidR="007D47FE" w:rsidRPr="006D05D9">
        <w:rPr>
          <w:lang w:val="en-GB"/>
        </w:rPr>
        <w:t xml:space="preserve"> significance for </w:t>
      </w:r>
      <w:r w:rsidR="008250A3" w:rsidRPr="006D05D9">
        <w:rPr>
          <w:lang w:val="en-GB"/>
        </w:rPr>
        <w:t>the activities of</w:t>
      </w:r>
      <w:r w:rsidR="00C5727D" w:rsidRPr="006D05D9">
        <w:rPr>
          <w:lang w:val="en-GB"/>
        </w:rPr>
        <w:t xml:space="preserve"> writing </w:t>
      </w:r>
      <m:oMath>
        <m:r>
          <m:rPr>
            <m:sty m:val="p"/>
          </m:rPr>
          <w:rPr>
            <w:rFonts w:ascii="Cambria Math" w:hAnsi="Cambria Math"/>
            <w:lang w:val="en-GB"/>
          </w:rPr>
          <m:t>(p=.015)</m:t>
        </m:r>
      </m:oMath>
      <w:r w:rsidR="00C5727D" w:rsidRPr="006D05D9">
        <w:rPr>
          <w:lang w:val="en-GB"/>
        </w:rPr>
        <w:t xml:space="preserve"> and use of electronic device (tablet) </w:t>
      </w:r>
      <m:oMath>
        <m:r>
          <m:rPr>
            <m:sty m:val="p"/>
          </m:rPr>
          <w:rPr>
            <w:rFonts w:ascii="Cambria Math" w:hAnsi="Cambria Math"/>
            <w:lang w:val="en-GB"/>
          </w:rPr>
          <m:t>(p=.002)</m:t>
        </m:r>
      </m:oMath>
      <w:r w:rsidR="008250A3" w:rsidRPr="006D05D9">
        <w:rPr>
          <w:rFonts w:eastAsiaTheme="minorEastAsia"/>
          <w:lang w:val="en-GB"/>
        </w:rPr>
        <w:t xml:space="preserve">. </w:t>
      </w:r>
      <w:r w:rsidR="00B86332" w:rsidRPr="006D05D9">
        <w:rPr>
          <w:rFonts w:eastAsiaTheme="minorEastAsia"/>
          <w:lang w:val="en-GB"/>
        </w:rPr>
        <w:t>Even though</w:t>
      </w:r>
      <w:r w:rsidR="00D2713D" w:rsidRPr="006D05D9">
        <w:rPr>
          <w:rFonts w:eastAsiaTheme="minorEastAsia"/>
          <w:lang w:val="en-GB"/>
        </w:rPr>
        <w:t xml:space="preserve"> greater angles were obtained </w:t>
      </w:r>
      <w:r w:rsidR="00BB1065" w:rsidRPr="006D05D9">
        <w:rPr>
          <w:rFonts w:eastAsiaTheme="minorEastAsia"/>
          <w:lang w:val="en-GB"/>
        </w:rPr>
        <w:t>for the new desk height proposal, the</w:t>
      </w:r>
      <w:r w:rsidR="0079457E" w:rsidRPr="006D05D9">
        <w:rPr>
          <w:rFonts w:eastAsiaTheme="minorEastAsia"/>
          <w:lang w:val="en-GB"/>
        </w:rPr>
        <w:t xml:space="preserve"> results</w:t>
      </w:r>
      <w:r w:rsidR="008250A3" w:rsidRPr="006D05D9">
        <w:rPr>
          <w:rFonts w:eastAsiaTheme="minorEastAsia"/>
          <w:lang w:val="en-GB"/>
        </w:rPr>
        <w:t xml:space="preserve"> could be related to the</w:t>
      </w:r>
      <w:r w:rsidR="001A5F0B" w:rsidRPr="006D05D9">
        <w:rPr>
          <w:rFonts w:eastAsiaTheme="minorEastAsia"/>
          <w:lang w:val="en-GB"/>
        </w:rPr>
        <w:t xml:space="preserve"> amount of supported time of the forearm during </w:t>
      </w:r>
      <w:r w:rsidR="0079457E" w:rsidRPr="006D05D9">
        <w:rPr>
          <w:rFonts w:eastAsiaTheme="minorEastAsia"/>
          <w:lang w:val="en-GB"/>
        </w:rPr>
        <w:t xml:space="preserve">these </w:t>
      </w:r>
      <w:r w:rsidR="00A42D69" w:rsidRPr="006D05D9">
        <w:rPr>
          <w:rFonts w:eastAsiaTheme="minorEastAsia"/>
          <w:lang w:val="en-GB"/>
        </w:rPr>
        <w:t xml:space="preserve">activities (figure </w:t>
      </w:r>
      <w:r w:rsidR="00E00E7C" w:rsidRPr="006D05D9">
        <w:rPr>
          <w:rFonts w:eastAsiaTheme="minorEastAsia"/>
          <w:lang w:val="en-GB"/>
        </w:rPr>
        <w:t>7</w:t>
      </w:r>
      <w:r w:rsidR="00A42D69" w:rsidRPr="006D05D9">
        <w:rPr>
          <w:rFonts w:eastAsiaTheme="minorEastAsia"/>
          <w:lang w:val="en-GB"/>
        </w:rPr>
        <w:t>)</w:t>
      </w:r>
      <w:r w:rsidR="001A5F0B" w:rsidRPr="006D05D9">
        <w:rPr>
          <w:rFonts w:eastAsiaTheme="minorEastAsia"/>
          <w:lang w:val="en-GB"/>
        </w:rPr>
        <w:t xml:space="preserve">. </w:t>
      </w:r>
      <w:r w:rsidR="003C0353" w:rsidRPr="006D05D9">
        <w:rPr>
          <w:rFonts w:eastAsiaTheme="minorEastAsia"/>
          <w:lang w:val="en-GB"/>
        </w:rPr>
        <w:t>Similar results were obtai</w:t>
      </w:r>
      <w:r w:rsidR="00FB73E2" w:rsidRPr="006D05D9">
        <w:rPr>
          <w:rFonts w:eastAsiaTheme="minorEastAsia"/>
          <w:lang w:val="en-GB"/>
        </w:rPr>
        <w:t xml:space="preserve">ned by </w:t>
      </w:r>
      <w:r w:rsidR="004C5042" w:rsidRPr="006D05D9">
        <w:rPr>
          <w:rFonts w:eastAsiaTheme="minorEastAsia"/>
          <w:lang w:val="en-GB"/>
        </w:rPr>
        <w:t xml:space="preserve">Gonçalves et al </w:t>
      </w:r>
      <w:r w:rsidR="00FB73E2" w:rsidRPr="006D05D9">
        <w:rPr>
          <w:rFonts w:eastAsiaTheme="minorEastAsia"/>
          <w:lang w:val="en-GB"/>
        </w:rPr>
        <w:fldChar w:fldCharType="begin" w:fldLock="1"/>
      </w:r>
      <w:r w:rsidR="00196EBC" w:rsidRPr="006D05D9">
        <w:rPr>
          <w:rFonts w:eastAsiaTheme="minorEastAsia"/>
          <w:lang w:val="en-GB"/>
        </w:rPr>
        <w:instrText>ADDIN CSL_CITATION {"citationItems":[{"id":"ITEM-1","itemData":{"DOI":"10.1589/jpts.29.793","ISSN":"0915-5287","abstract":"[Purpose] To assess the effects of forearm support and shoulder posture on upper trapezius and anterior deltoid activity. [Subjects and Methods] Twenty-three female university students were evaluated. Muscle activity was assessed by a portable surface electromyography (sEMG) system (Myomonitor IV, Delsys, USA). Upper trapezius and anterior deltoid activity were recorded in five shoulder flexion postures: 0°, 15°, 30°, 45° and 60° and in two conditions: with the forearm supported and unsupported. Descriptive data analysis was performed and statistical analysis was conducted by a multivariate analysis of variance with three repeated factors (posture, support and side). [Results] Three-way interactions were not significant. Two-way interaction was significant for support and posture for both muscles, indicating that the muscular activity depends on the forearm support and shoulder posture. The forearm support reduced upper trapezius and anterior deltoid activity for all shoulder flexion angles. The mean and standard deviation for this decrease was 7.8 (SD=4.6)% of the maximal voluntary contraction for anterior deltoid and 3.8 (SD=2.0)% of the maximal voluntary contraction for upper trapezius. In the unsupported condition, increasing the shoulder flexion angle caused an increase in the upper trapezius and anterior deltoid activation. [Con-clusion] These results highlight the importance of using forearm support and to maintain neutral shoulder posture, when the upper arms are not supported, to reduce muscle activation. Thus, this study provides evidence about the effect of these recommendations to reduce muscular activity.","author":[{"dropping-particle":"","family":"Gonçalves","given":"Josiane Sotrate","non-dropping-particle":"","parse-names":false,"suffix":""},{"dropping-particle":"","family":"Shinohara Moriguchi","given":"Cristiane","non-dropping-particle":"","parse-names":false,"suffix":""},{"dropping-particle":"","family":"Takekawa","given":"Karina Sachiko","non-dropping-particle":"","parse-names":false,"suffix":""},{"dropping-particle":"","family":"Coury","given":"Helenice Jane Cote Gil","non-dropping-particle":"","parse-names":false,"suffix":""},{"dropping-particle":"","family":"Sato","given":"Tatiana de Oliveira","non-dropping-particle":"","parse-names":false,"suffix":""}],"container-title":"Journal of Physical Therapy Science","id":"ITEM-1","issue":"5","issued":{"date-parts":[["2017"]]},"page":"793-798","title":"The effects of forearm support and shoulder posture on upper trapezius and anterior deltoid activity","type":"article-journal","volume":"29"},"uris":["http://www.mendeley.com/documents/?uuid=69d0d505-02a5-4a02-8c6f-334cd1d5a139"]}],"mendeley":{"formattedCitation":"(Gonçalves et al., 2017)","manualFormatting":"(2017)","plainTextFormattedCitation":"(Gonçalves et al., 2017)","previouslyFormattedCitation":"(Gonçalves et al., 2017)"},"properties":{"noteIndex":0},"schema":"https://github.com/citation-style-language/schema/raw/master/csl-citation.json"}</w:instrText>
      </w:r>
      <w:r w:rsidR="00FB73E2" w:rsidRPr="006D05D9">
        <w:rPr>
          <w:rFonts w:eastAsiaTheme="minorEastAsia"/>
          <w:lang w:val="en-GB"/>
        </w:rPr>
        <w:fldChar w:fldCharType="separate"/>
      </w:r>
      <w:r w:rsidR="00FB73E2" w:rsidRPr="006D05D9">
        <w:rPr>
          <w:rFonts w:eastAsiaTheme="minorEastAsia"/>
          <w:lang w:val="en-GB"/>
        </w:rPr>
        <w:t>(2017)</w:t>
      </w:r>
      <w:r w:rsidR="00FB73E2" w:rsidRPr="006D05D9">
        <w:rPr>
          <w:rFonts w:eastAsiaTheme="minorEastAsia"/>
          <w:lang w:val="en-GB"/>
        </w:rPr>
        <w:fldChar w:fldCharType="end"/>
      </w:r>
      <w:r w:rsidR="009D0600" w:rsidRPr="006D05D9">
        <w:rPr>
          <w:rFonts w:eastAsiaTheme="minorEastAsia"/>
          <w:lang w:val="en-GB"/>
        </w:rPr>
        <w:t xml:space="preserve"> who established that forearm support reduced upper trapezius and anterior deltoid activity for all shoulder flexion angles</w:t>
      </w:r>
      <w:r w:rsidR="003E1ECD" w:rsidRPr="006D05D9">
        <w:rPr>
          <w:rFonts w:eastAsiaTheme="minorEastAsia"/>
          <w:lang w:val="en-GB"/>
        </w:rPr>
        <w:t>. Furthermore,</w:t>
      </w:r>
      <w:r w:rsidR="003E1ECD" w:rsidRPr="006D05D9">
        <w:rPr>
          <w:lang w:val="en-GB"/>
        </w:rPr>
        <w:t xml:space="preserve"> t</w:t>
      </w:r>
      <w:r w:rsidR="00AB78A2" w:rsidRPr="006D05D9">
        <w:rPr>
          <w:lang w:val="en-GB"/>
        </w:rPr>
        <w:t xml:space="preserve">he use of forearm support compared to the no support condition </w:t>
      </w:r>
      <w:r w:rsidR="00892108" w:rsidRPr="006D05D9">
        <w:rPr>
          <w:lang w:val="en-GB"/>
        </w:rPr>
        <w:t xml:space="preserve">has been </w:t>
      </w:r>
      <w:r w:rsidR="00AB78A2" w:rsidRPr="006D05D9">
        <w:rPr>
          <w:lang w:val="en-GB"/>
        </w:rPr>
        <w:t xml:space="preserve">significantly associated with less shoulder muscle activity </w:t>
      </w:r>
      <w:r w:rsidR="00AB78A2" w:rsidRPr="006D05D9">
        <w:rPr>
          <w:lang w:val="en-GB"/>
        </w:rPr>
        <w:fldChar w:fldCharType="begin" w:fldLock="1"/>
      </w:r>
      <w:r w:rsidR="00AB78A2" w:rsidRPr="006D05D9">
        <w:rPr>
          <w:lang w:val="en-GB"/>
        </w:rPr>
        <w:instrText>ADDIN CSL_CITATION {"citationItems":[{"id":"ITEM-1","itemData":{"DOI":"10.1016/j.apergo.2013.07.016","ISSN":"18729126","PMID":"24054504","abstract":"The use of forearm and palm supports has been associated with lower neck and shoulder muscle activity as well as reduced musculoskeletal discomfort during keyboard use, however, few studies have investigated their effect during computer mouse use. Eight men and eight women completed several computer mousing tasks in six arm support conditions: Forearm Support, Flat Palm Support, Raised Palm Support, Forearm+Flat Palm Support, Forearm+Raised Palm Support, and No Support. Concurrently, an infrared three-dimensional motion analysis system measured postures, six-degree-of-freedom force-torque sensors measured applied forces &amp; torques, and surface electromyography measured muscle activity. The use of forearm support compared to the no support condition was significantly associated with less shoulder muscle activity &amp; torque, and the raised palm support was associated with less wrist extension. Forearm supports reduced shoulder flexion torque by 90% compared to no support. The use of either support also resulted in lower applied forces to the mouse pad. Participants reported less musculoskeletal discomfort when using a support. These results provide recommendations for office workstation setup and inform ergonomists of effective ways to reduce musculoskeletal exposures. © 2013 Elsevier Ltd and The Ergonomics Society.","author":[{"dropping-particle":"","family":"Onyebeke","given":"Lynn C.","non-dropping-particle":"","parse-names":false,"suffix":""},{"dropping-particle":"","family":"Young","given":"Justin G.","non-dropping-particle":"","parse-names":false,"suffix":""},{"dropping-particle":"","family":"Trudeau","given":"Matthieu B.","non-dropping-particle":"","parse-names":false,"suffix":""},{"dropping-particle":"","family":"Dennerlein","given":"Jack T.","non-dropping-particle":"","parse-names":false,"suffix":""}],"container-title":"Applied Ergonomics","id":"ITEM-1","issue":"3","issued":{"date-parts":[["2014"]]},"page":"564-570","publisher":"Elsevier Ltd","title":"Effects of forearm and palm supports on the upper extremity during computer mouse use","type":"article-journal","volume":"45"},"uris":["http://www.mendeley.com/documents/?uuid=c4621e2e-113d-4985-aed9-bab625b7540a"]}],"mendeley":{"formattedCitation":"(Onyebeke et al., 2014)","plainTextFormattedCitation":"(Onyebeke et al., 2014)","previouslyFormattedCitation":"(Onyebeke et al., 2014)"},"properties":{"noteIndex":0},"schema":"https://github.com/citation-style-language/schema/raw/master/csl-citation.json"}</w:instrText>
      </w:r>
      <w:r w:rsidR="00AB78A2" w:rsidRPr="006D05D9">
        <w:rPr>
          <w:lang w:val="en-GB"/>
        </w:rPr>
        <w:fldChar w:fldCharType="separate"/>
      </w:r>
      <w:r w:rsidR="00AB78A2" w:rsidRPr="006D05D9">
        <w:rPr>
          <w:lang w:val="en-GB"/>
        </w:rPr>
        <w:t>(Onyebeke et al., 2014)</w:t>
      </w:r>
      <w:r w:rsidR="00AB78A2" w:rsidRPr="006D05D9">
        <w:rPr>
          <w:lang w:val="en-GB"/>
        </w:rPr>
        <w:fldChar w:fldCharType="end"/>
      </w:r>
      <w:r w:rsidR="005334DA" w:rsidRPr="006D05D9">
        <w:rPr>
          <w:lang w:val="en-GB"/>
        </w:rPr>
        <w:t xml:space="preserve">. </w:t>
      </w:r>
      <w:r w:rsidR="00CB7B91" w:rsidRPr="006D05D9">
        <w:rPr>
          <w:lang w:val="en-GB"/>
        </w:rPr>
        <w:t>In the current study</w:t>
      </w:r>
      <w:r w:rsidR="005334DA" w:rsidRPr="006D05D9">
        <w:rPr>
          <w:lang w:val="en-GB"/>
        </w:rPr>
        <w:t xml:space="preserve">, there </w:t>
      </w:r>
      <w:r w:rsidR="00CB7B91" w:rsidRPr="006D05D9">
        <w:rPr>
          <w:lang w:val="en-GB"/>
        </w:rPr>
        <w:t>was</w:t>
      </w:r>
      <w:r w:rsidR="005334DA" w:rsidRPr="006D05D9">
        <w:rPr>
          <w:lang w:val="en-GB"/>
        </w:rPr>
        <w:t xml:space="preserve"> no notable distinction in muscle activity across</w:t>
      </w:r>
      <w:r w:rsidR="00A42D69" w:rsidRPr="006D05D9">
        <w:rPr>
          <w:lang w:val="en-GB"/>
        </w:rPr>
        <w:t xml:space="preserve"> the two conditions</w:t>
      </w:r>
      <w:r w:rsidR="005334DA" w:rsidRPr="006D05D9">
        <w:rPr>
          <w:lang w:val="en-GB"/>
        </w:rPr>
        <w:t>.</w:t>
      </w:r>
      <w:r w:rsidR="00842F0D" w:rsidRPr="006D05D9">
        <w:rPr>
          <w:lang w:val="en-GB"/>
        </w:rPr>
        <w:t xml:space="preserve">  As it was shown in Figure </w:t>
      </w:r>
      <w:r w:rsidR="00E00E7C" w:rsidRPr="006D05D9">
        <w:rPr>
          <w:lang w:val="en-GB"/>
        </w:rPr>
        <w:t>4</w:t>
      </w:r>
      <w:r w:rsidR="00842F0D" w:rsidRPr="006D05D9">
        <w:rPr>
          <w:lang w:val="en-GB"/>
        </w:rPr>
        <w:t xml:space="preserve">, </w:t>
      </w:r>
      <w:r w:rsidR="0093214D" w:rsidRPr="006D05D9">
        <w:rPr>
          <w:lang w:val="en-GB"/>
        </w:rPr>
        <w:t>%</w:t>
      </w:r>
      <w:r w:rsidR="00842F0D" w:rsidRPr="006D05D9">
        <w:rPr>
          <w:lang w:val="en-GB"/>
        </w:rPr>
        <w:t>Maximum Voluntary contraction (</w:t>
      </w:r>
      <w:r w:rsidR="0093214D" w:rsidRPr="006D05D9">
        <w:rPr>
          <w:lang w:val="en-GB"/>
        </w:rPr>
        <w:t>%</w:t>
      </w:r>
      <w:r w:rsidR="00842F0D" w:rsidRPr="006D05D9">
        <w:rPr>
          <w:lang w:val="en-GB"/>
        </w:rPr>
        <w:t xml:space="preserve">MVC) never </w:t>
      </w:r>
      <w:r w:rsidR="0093214D" w:rsidRPr="006D05D9">
        <w:rPr>
          <w:lang w:val="en-GB"/>
        </w:rPr>
        <w:t>went beyond 1</w:t>
      </w:r>
      <w:r w:rsidR="00833315" w:rsidRPr="006D05D9">
        <w:rPr>
          <w:lang w:val="en-GB"/>
        </w:rPr>
        <w:t>0</w:t>
      </w:r>
      <w:r w:rsidR="0093214D" w:rsidRPr="006D05D9">
        <w:rPr>
          <w:lang w:val="en-GB"/>
        </w:rPr>
        <w:t>%</w:t>
      </w:r>
      <w:r w:rsidR="00833315" w:rsidRPr="006D05D9">
        <w:rPr>
          <w:lang w:val="en-GB"/>
        </w:rPr>
        <w:t xml:space="preserve">, </w:t>
      </w:r>
      <w:r w:rsidR="009306D3" w:rsidRPr="006D05D9">
        <w:rPr>
          <w:lang w:val="en-GB"/>
        </w:rPr>
        <w:t>which</w:t>
      </w:r>
      <w:r w:rsidR="00833315" w:rsidRPr="006D05D9">
        <w:rPr>
          <w:lang w:val="en-GB"/>
        </w:rPr>
        <w:t xml:space="preserve"> is far less </w:t>
      </w:r>
      <w:r w:rsidR="009306D3" w:rsidRPr="006D05D9">
        <w:rPr>
          <w:lang w:val="en-GB"/>
        </w:rPr>
        <w:t>than</w:t>
      </w:r>
      <w:r w:rsidR="00833315" w:rsidRPr="006D05D9">
        <w:rPr>
          <w:lang w:val="en-GB"/>
        </w:rPr>
        <w:t xml:space="preserve"> the overall </w:t>
      </w:r>
      <w:r w:rsidR="009306D3" w:rsidRPr="006D05D9">
        <w:rPr>
          <w:lang w:val="en-GB"/>
        </w:rPr>
        <w:t>criteria</w:t>
      </w:r>
      <w:r w:rsidR="00833315" w:rsidRPr="006D05D9">
        <w:rPr>
          <w:lang w:val="en-GB"/>
        </w:rPr>
        <w:t xml:space="preserve"> of 15%</w:t>
      </w:r>
      <w:r w:rsidR="008D2E78" w:rsidRPr="006D05D9">
        <w:rPr>
          <w:lang w:val="en-GB"/>
        </w:rPr>
        <w:t xml:space="preserve"> </w:t>
      </w:r>
      <w:r w:rsidR="009306D3" w:rsidRPr="006D05D9">
        <w:rPr>
          <w:lang w:val="en-GB"/>
        </w:rPr>
        <w:fldChar w:fldCharType="begin" w:fldLock="1"/>
      </w:r>
      <w:r w:rsidR="00BC68F8" w:rsidRPr="006D05D9">
        <w:rPr>
          <w:lang w:val="en-GB"/>
        </w:rPr>
        <w:instrText>ADDIN CSL_CITATION {"citationItems":[{"id":"ITEM-1","itemData":{"author":[{"dropping-particle":"","family":"Kroemer","given":"K H E","non-dropping-particle":"","parse-names":false,"suffix":""},{"dropping-particle":"","family":"Grandjean","given":"E","non-dropping-particle":"","parse-names":false,"suffix":""}],"id":"ITEM-1","issued":{"date-parts":[["1997"]]},"publisher":"Taylor &amp; Francis","publisher-place":"London","title":"Fitting the task to the human. A textbook of occupational Ergonomics","type":"article"},"uris":["http://www.mendeley.com/documents/?uuid=91229116-2ae4-4f0d-ad17-ffcd3d814383"]}],"mendeley":{"formattedCitation":"(Kroemer and Grandjean, 1997)","plainTextFormattedCitation":"(Kroemer and Grandjean, 1997)","previouslyFormattedCitation":"(Kroemer and Grandjean, 1997)"},"properties":{"noteIndex":0},"schema":"https://github.com/citation-style-language/schema/raw/master/csl-citation.json"}</w:instrText>
      </w:r>
      <w:r w:rsidR="009306D3" w:rsidRPr="006D05D9">
        <w:rPr>
          <w:lang w:val="en-GB"/>
        </w:rPr>
        <w:fldChar w:fldCharType="separate"/>
      </w:r>
      <w:r w:rsidR="009306D3" w:rsidRPr="006D05D9">
        <w:rPr>
          <w:lang w:val="en-GB"/>
        </w:rPr>
        <w:t>(Kroemer and Grandjean, 1997)</w:t>
      </w:r>
      <w:r w:rsidR="009306D3" w:rsidRPr="006D05D9">
        <w:rPr>
          <w:lang w:val="en-GB"/>
        </w:rPr>
        <w:fldChar w:fldCharType="end"/>
      </w:r>
      <w:r w:rsidR="008D2E78" w:rsidRPr="006D05D9">
        <w:rPr>
          <w:lang w:val="en-GB"/>
        </w:rPr>
        <w:t>. This fact implies that below the 15</w:t>
      </w:r>
      <w:r w:rsidR="00B63B2B" w:rsidRPr="006D05D9">
        <w:rPr>
          <w:lang w:val="en-GB"/>
        </w:rPr>
        <w:t>% MVC</w:t>
      </w:r>
      <w:r w:rsidR="0072385D" w:rsidRPr="006D05D9">
        <w:rPr>
          <w:lang w:val="en-GB"/>
        </w:rPr>
        <w:t xml:space="preserve"> </w:t>
      </w:r>
      <w:r w:rsidR="009306D3" w:rsidRPr="006D05D9">
        <w:rPr>
          <w:lang w:val="en-GB"/>
        </w:rPr>
        <w:t>threshold</w:t>
      </w:r>
      <w:r w:rsidR="0072385D" w:rsidRPr="006D05D9">
        <w:rPr>
          <w:lang w:val="en-GB"/>
        </w:rPr>
        <w:t>, theor</w:t>
      </w:r>
      <w:r w:rsidR="00B63B2B" w:rsidRPr="006D05D9">
        <w:rPr>
          <w:lang w:val="en-GB"/>
        </w:rPr>
        <w:t>e</w:t>
      </w:r>
      <w:r w:rsidR="0072385D" w:rsidRPr="006D05D9">
        <w:rPr>
          <w:lang w:val="en-GB"/>
        </w:rPr>
        <w:t xml:space="preserve">tically a certain posture can </w:t>
      </w:r>
      <w:r w:rsidR="00B63B2B" w:rsidRPr="006D05D9">
        <w:rPr>
          <w:lang w:val="en-GB"/>
        </w:rPr>
        <w:t>b</w:t>
      </w:r>
      <w:r w:rsidR="0072385D" w:rsidRPr="006D05D9">
        <w:rPr>
          <w:lang w:val="en-GB"/>
        </w:rPr>
        <w:t>e maint</w:t>
      </w:r>
      <w:r w:rsidR="00B63B2B" w:rsidRPr="006D05D9">
        <w:rPr>
          <w:lang w:val="en-GB"/>
        </w:rPr>
        <w:t>ain</w:t>
      </w:r>
      <w:r w:rsidR="0072385D" w:rsidRPr="006D05D9">
        <w:rPr>
          <w:lang w:val="en-GB"/>
        </w:rPr>
        <w:t>ed for extensive periods of time, without</w:t>
      </w:r>
      <w:r w:rsidR="008D2E78" w:rsidRPr="006D05D9">
        <w:rPr>
          <w:lang w:val="en-GB"/>
        </w:rPr>
        <w:t xml:space="preserve"> </w:t>
      </w:r>
      <w:r w:rsidR="0072385D" w:rsidRPr="006D05D9">
        <w:rPr>
          <w:lang w:val="en-GB"/>
        </w:rPr>
        <w:t xml:space="preserve"> experiencing muscle fatigue </w:t>
      </w:r>
      <w:r w:rsidR="00BC68F8" w:rsidRPr="006D05D9">
        <w:rPr>
          <w:lang w:val="en-GB"/>
        </w:rPr>
        <w:fldChar w:fldCharType="begin" w:fldLock="1"/>
      </w:r>
      <w:r w:rsidR="004144E0" w:rsidRPr="006D05D9">
        <w:rPr>
          <w:lang w:val="en-GB"/>
        </w:rPr>
        <w:instrText>ADDIN CSL_CITATION {"citationItems":[{"id":"ITEM-1","itemData":{"DOI":"10.52403/ijhsr.20240338","ISSN":"2249-9571","abstract":"Musculoskeletal disorders (MSDs) are increasingly prevalent in industrialized countries, and have a major financial impact. Their prevention requires new ergonomic tools to better understand and assess the risks. The objective was to propose the Global Upper Body Assessment (GUBA) tool for investigating indicators that will lead to the occurrence of MSDs in the workplace, in daily life or at home. GUBA was applied to interaction tasks with handheld digital devices weighing from 0 to 1 kg in a sitting position, with or without support for the upper limbs. The GUBA tool was developed in three stages: 1) modeling to quantify joint parameters, joint torques and reaction forces from subject’s BMI, mass handled, and postural strategy; 2) development of risk scales; 3) computation of the GUBA score. A set of abacuses has been created to enable the user to directly read the GUBA score and the corresponding MSD risk level. The abacuses are very easy to use: simply select the abacus for the situation (sitting with or without support), choose the table corresponding to the mass handled, identify the user's BMI, choose the postural strategy, and finally read the GUBA score at the end of the line. Key words: Musculoskeletal disorders; ergonomic assessment; posture; joint load; support; smartphone; handheld digital devices.","author":[{"dropping-particle":"","family":"Jacquier-Bret","given":"Julien","non-dropping-particle":"","parse-names":false,"suffix":""},{"dropping-particle":"","family":"Gorce","given":"Philippe","non-dropping-particle":"","parse-names":false,"suffix":""}],"container-title":"International Journal of Health Sciences and Research","id":"ITEM-1","issue":"3","issued":{"date-parts":[["2024","3","19"]]},"page":"257-272","title":"Global Upper Body Assessment (GUBA) - A new Tool to Identify the Indicators That will lead to the Occurrence of Musculoskeletal Disorders of Light Weight Loads in Seated Position Based Body Mass Index and Postural Strategy","type":"article-journal","volume":"14"},"uris":["http://www.mendeley.com/documents/?uuid=24ca7411-6422-44b8-a3d2-bf3c66770a12"]},{"id":"ITEM-2","itemData":{"author":[{"dropping-particle":"","family":"Kroemer","given":"K H E","non-dropping-particle":"","parse-names":false,"suffix":""},{"dropping-particle":"","family":"Grandjean","given":"E","non-dropping-particle":"","parse-names":false,"suffix":""}],"id":"ITEM-2","issued":{"date-parts":[["1997"]]},"publisher":"Taylor &amp; Francis","publisher-place":"London","title":"Fitting the task to the human. A textbook of occupational Ergonomics","type":"article"},"uris":["http://www.mendeley.com/documents/?uuid=91229116-2ae4-4f0d-ad17-ffcd3d814383"]}],"mendeley":{"formattedCitation":"(Jacquier-Bret and Gorce, 2024; Kroemer and Grandjean, 1997)","plainTextFormattedCitation":"(Jacquier-Bret and Gorce, 2024; Kroemer and Grandjean, 1997)","previouslyFormattedCitation":"(Jacquier-Bret and Gorce, 2024; Kroemer and Grandjean, 1997)"},"properties":{"noteIndex":0},"schema":"https://github.com/citation-style-language/schema/raw/master/csl-citation.json"}</w:instrText>
      </w:r>
      <w:r w:rsidR="00BC68F8" w:rsidRPr="006D05D9">
        <w:rPr>
          <w:lang w:val="en-GB"/>
        </w:rPr>
        <w:fldChar w:fldCharType="separate"/>
      </w:r>
      <w:r w:rsidR="00BC68F8" w:rsidRPr="006D05D9">
        <w:rPr>
          <w:lang w:val="en-GB"/>
        </w:rPr>
        <w:t>(Jacquier-Bret and Gorce, 2024; Kroemer and Grandjean, 1997)</w:t>
      </w:r>
      <w:r w:rsidR="00BC68F8" w:rsidRPr="006D05D9">
        <w:rPr>
          <w:lang w:val="en-GB"/>
        </w:rPr>
        <w:fldChar w:fldCharType="end"/>
      </w:r>
      <w:r w:rsidR="005A1D1F" w:rsidRPr="006D05D9">
        <w:rPr>
          <w:lang w:val="en-GB"/>
        </w:rPr>
        <w:t>.</w:t>
      </w:r>
      <w:r w:rsidR="00671D6E" w:rsidRPr="006D05D9">
        <w:rPr>
          <w:lang w:val="en-GB"/>
        </w:rPr>
        <w:t xml:space="preserve"> Therefore, </w:t>
      </w:r>
      <w:r w:rsidR="0002193A" w:rsidRPr="006D05D9">
        <w:rPr>
          <w:lang w:val="en-GB"/>
        </w:rPr>
        <w:t>electromyographically</w:t>
      </w:r>
      <w:r w:rsidR="00671D6E" w:rsidRPr="006D05D9">
        <w:rPr>
          <w:lang w:val="en-GB"/>
        </w:rPr>
        <w:t xml:space="preserve">, </w:t>
      </w:r>
      <w:r w:rsidR="0002193A" w:rsidRPr="006D05D9">
        <w:rPr>
          <w:lang w:val="en-GB"/>
        </w:rPr>
        <w:t>it</w:t>
      </w:r>
      <w:r w:rsidR="00671D6E" w:rsidRPr="006D05D9">
        <w:rPr>
          <w:lang w:val="en-GB"/>
        </w:rPr>
        <w:t xml:space="preserve"> can </w:t>
      </w:r>
      <w:r w:rsidR="0002193A" w:rsidRPr="006D05D9">
        <w:rPr>
          <w:lang w:val="en-GB"/>
        </w:rPr>
        <w:t>b</w:t>
      </w:r>
      <w:r w:rsidR="00671D6E" w:rsidRPr="006D05D9">
        <w:rPr>
          <w:lang w:val="en-GB"/>
        </w:rPr>
        <w:t xml:space="preserve">e said that the new </w:t>
      </w:r>
      <w:r w:rsidR="0002193A" w:rsidRPr="006D05D9">
        <w:rPr>
          <w:lang w:val="en-GB"/>
        </w:rPr>
        <w:t>proposal</w:t>
      </w:r>
      <w:r w:rsidR="00671D6E" w:rsidRPr="006D05D9">
        <w:rPr>
          <w:lang w:val="en-GB"/>
        </w:rPr>
        <w:t xml:space="preserve"> is</w:t>
      </w:r>
      <w:r w:rsidR="0002193A" w:rsidRPr="006D05D9">
        <w:rPr>
          <w:lang w:val="en-GB"/>
        </w:rPr>
        <w:t xml:space="preserve"> </w:t>
      </w:r>
      <w:r w:rsidR="00B63B2B" w:rsidRPr="006D05D9">
        <w:rPr>
          <w:lang w:val="en-GB"/>
        </w:rPr>
        <w:t>as safe</w:t>
      </w:r>
      <w:r w:rsidR="00671D6E" w:rsidRPr="006D05D9">
        <w:rPr>
          <w:lang w:val="en-GB"/>
        </w:rPr>
        <w:t xml:space="preserve"> for </w:t>
      </w:r>
      <w:r w:rsidR="0002193A" w:rsidRPr="006D05D9">
        <w:rPr>
          <w:lang w:val="en-GB"/>
        </w:rPr>
        <w:t xml:space="preserve">the </w:t>
      </w:r>
      <w:r w:rsidR="00671D6E" w:rsidRPr="006D05D9">
        <w:rPr>
          <w:lang w:val="en-GB"/>
        </w:rPr>
        <w:t>shoulde</w:t>
      </w:r>
      <w:r w:rsidR="0002193A" w:rsidRPr="006D05D9">
        <w:rPr>
          <w:lang w:val="en-GB"/>
        </w:rPr>
        <w:t xml:space="preserve">r as the original criteria stated by Chaffin and Anderson, assuming the forearm is fully </w:t>
      </w:r>
      <w:r w:rsidR="00B63B2B" w:rsidRPr="006D05D9">
        <w:rPr>
          <w:lang w:val="en-GB"/>
        </w:rPr>
        <w:t>supported</w:t>
      </w:r>
      <w:r w:rsidR="0002193A" w:rsidRPr="006D05D9">
        <w:rPr>
          <w:lang w:val="en-GB"/>
        </w:rPr>
        <w:t xml:space="preserve"> on the </w:t>
      </w:r>
      <w:r w:rsidR="00B63B2B" w:rsidRPr="006D05D9">
        <w:rPr>
          <w:lang w:val="en-GB"/>
        </w:rPr>
        <w:t xml:space="preserve">desk's surface. </w:t>
      </w:r>
      <w:r w:rsidR="008D2E78" w:rsidRPr="006D05D9">
        <w:rPr>
          <w:lang w:val="en-GB"/>
        </w:rPr>
        <w:t xml:space="preserve"> </w:t>
      </w:r>
    </w:p>
    <w:p w14:paraId="0890BF2D" w14:textId="77777777" w:rsidR="007C632D" w:rsidRPr="006D05D9" w:rsidRDefault="007C632D" w:rsidP="00003A3C">
      <w:pPr>
        <w:rPr>
          <w:rFonts w:eastAsiaTheme="minorEastAsia"/>
          <w:lang w:val="en-GB"/>
        </w:rPr>
      </w:pPr>
    </w:p>
    <w:p w14:paraId="411CE89C" w14:textId="1F768799" w:rsidR="00C05019" w:rsidRPr="006D05D9" w:rsidRDefault="00C05019" w:rsidP="00003A3C">
      <w:pPr>
        <w:rPr>
          <w:b/>
          <w:bCs/>
          <w:sz w:val="24"/>
          <w:szCs w:val="24"/>
          <w:lang w:val="en-GB"/>
        </w:rPr>
      </w:pPr>
      <w:r w:rsidRPr="006D05D9">
        <w:rPr>
          <w:b/>
          <w:bCs/>
          <w:sz w:val="24"/>
          <w:szCs w:val="24"/>
          <w:lang w:val="en-GB"/>
        </w:rPr>
        <w:t>4.3. Performance.</w:t>
      </w:r>
    </w:p>
    <w:p w14:paraId="3EB090DF" w14:textId="77777777" w:rsidR="00502F91" w:rsidRPr="006D05D9" w:rsidRDefault="00502F91" w:rsidP="00003A3C">
      <w:pPr>
        <w:rPr>
          <w:rFonts w:eastAsiaTheme="minorEastAsia"/>
          <w:lang w:val="en-GB"/>
        </w:rPr>
      </w:pPr>
    </w:p>
    <w:p w14:paraId="2F8F6A63" w14:textId="77777777" w:rsidR="005746A2" w:rsidRPr="006D05D9" w:rsidRDefault="00502F91" w:rsidP="00003A3C">
      <w:pPr>
        <w:ind w:firstLine="284"/>
        <w:rPr>
          <w:lang w:val="en-GB"/>
        </w:rPr>
      </w:pPr>
      <w:r w:rsidRPr="006D05D9">
        <w:rPr>
          <w:rFonts w:eastAsiaTheme="minorEastAsia"/>
          <w:lang w:val="en-GB"/>
        </w:rPr>
        <w:t xml:space="preserve">The results obtained </w:t>
      </w:r>
      <w:r w:rsidR="00170B83" w:rsidRPr="006D05D9">
        <w:rPr>
          <w:rFonts w:eastAsiaTheme="minorEastAsia"/>
          <w:lang w:val="en-GB"/>
        </w:rPr>
        <w:t xml:space="preserve">reveals </w:t>
      </w:r>
      <w:r w:rsidRPr="006D05D9">
        <w:rPr>
          <w:rFonts w:eastAsiaTheme="minorEastAsia"/>
          <w:lang w:val="en-GB"/>
        </w:rPr>
        <w:t>that there are no noteworthy distinctions observed between the two conditions tested across various performance-measured variables.</w:t>
      </w:r>
      <w:r w:rsidR="00170B83" w:rsidRPr="006D05D9">
        <w:rPr>
          <w:rFonts w:eastAsiaTheme="minorEastAsia"/>
          <w:lang w:val="en-GB"/>
        </w:rPr>
        <w:t xml:space="preserve"> </w:t>
      </w:r>
      <w:r w:rsidR="005746A2" w:rsidRPr="006D05D9">
        <w:rPr>
          <w:lang w:val="en-GB"/>
        </w:rPr>
        <w:t>Performance measures did not show significant differences between the two desk height conditions, suggesting that performance outcomes were not influenced by desk height variations.</w:t>
      </w:r>
    </w:p>
    <w:p w14:paraId="4D50B01C" w14:textId="2BF12478" w:rsidR="003F750A" w:rsidRPr="006D05D9" w:rsidRDefault="003F750A" w:rsidP="00003A3C">
      <w:pPr>
        <w:ind w:firstLine="284"/>
        <w:rPr>
          <w:rFonts w:eastAsiaTheme="minorEastAsia"/>
          <w:lang w:val="en-GB"/>
        </w:rPr>
      </w:pPr>
    </w:p>
    <w:p w14:paraId="3F04300B" w14:textId="77777777" w:rsidR="00426813" w:rsidRPr="006D05D9" w:rsidRDefault="00426813" w:rsidP="00003A3C">
      <w:pPr>
        <w:rPr>
          <w:b/>
          <w:bCs/>
          <w:sz w:val="24"/>
          <w:szCs w:val="24"/>
          <w:lang w:val="en-GB"/>
        </w:rPr>
      </w:pPr>
    </w:p>
    <w:p w14:paraId="257B1010" w14:textId="0B0AF921" w:rsidR="00C05019" w:rsidRPr="006D05D9" w:rsidRDefault="00C05019" w:rsidP="00003A3C">
      <w:pPr>
        <w:rPr>
          <w:lang w:val="en-GB"/>
        </w:rPr>
      </w:pPr>
      <w:r w:rsidRPr="006D05D9">
        <w:rPr>
          <w:b/>
          <w:bCs/>
          <w:sz w:val="24"/>
          <w:szCs w:val="24"/>
          <w:lang w:val="en-GB"/>
        </w:rPr>
        <w:t>4.4 Preference</w:t>
      </w:r>
      <w:r w:rsidRPr="006D05D9">
        <w:rPr>
          <w:b/>
          <w:bCs/>
          <w:i/>
          <w:iCs/>
          <w:lang w:val="en-GB"/>
        </w:rPr>
        <w:t>.</w:t>
      </w:r>
      <w:r w:rsidRPr="006D05D9">
        <w:rPr>
          <w:lang w:val="en-GB"/>
        </w:rPr>
        <w:t xml:space="preserve"> </w:t>
      </w:r>
    </w:p>
    <w:p w14:paraId="6E299A75" w14:textId="77777777" w:rsidR="00BE3384" w:rsidRPr="006D05D9" w:rsidRDefault="00BE3384" w:rsidP="00003A3C">
      <w:pPr>
        <w:ind w:firstLine="284"/>
        <w:rPr>
          <w:lang w:val="en-GB"/>
        </w:rPr>
      </w:pPr>
    </w:p>
    <w:p w14:paraId="706DDBE3" w14:textId="377B213A" w:rsidR="005746A2" w:rsidRPr="006D05D9" w:rsidRDefault="002E2A8E" w:rsidP="00003A3C">
      <w:pPr>
        <w:ind w:firstLine="284"/>
        <w:rPr>
          <w:lang w:val="en-GB"/>
        </w:rPr>
      </w:pPr>
      <w:r w:rsidRPr="006D05D9">
        <w:rPr>
          <w:lang w:val="en-GB"/>
        </w:rPr>
        <w:t>In this study was not possible to establish a difference in the preference between the 2 conditions</w:t>
      </w:r>
      <w:r w:rsidR="00EE0BD1" w:rsidRPr="006D05D9">
        <w:rPr>
          <w:lang w:val="en-GB"/>
        </w:rPr>
        <w:t xml:space="preserve"> (Original and Proposal)</w:t>
      </w:r>
      <w:r w:rsidRPr="006D05D9">
        <w:rPr>
          <w:lang w:val="en-GB"/>
        </w:rPr>
        <w:t xml:space="preserve">. However, </w:t>
      </w:r>
      <w:proofErr w:type="spellStart"/>
      <w:r w:rsidRPr="006D05D9">
        <w:rPr>
          <w:lang w:val="en-GB"/>
        </w:rPr>
        <w:t>analyzing</w:t>
      </w:r>
      <w:proofErr w:type="spellEnd"/>
      <w:r w:rsidRPr="006D05D9">
        <w:rPr>
          <w:lang w:val="en-GB"/>
        </w:rPr>
        <w:t xml:space="preserve"> only the first preference</w:t>
      </w:r>
      <w:r w:rsidR="00EE0BD1" w:rsidRPr="006D05D9">
        <w:rPr>
          <w:lang w:val="en-GB"/>
        </w:rPr>
        <w:t xml:space="preserve"> response</w:t>
      </w:r>
      <w:r w:rsidR="0060792E" w:rsidRPr="006D05D9">
        <w:rPr>
          <w:lang w:val="en-GB"/>
        </w:rPr>
        <w:t>,</w:t>
      </w:r>
      <w:r w:rsidR="00EE0BD1" w:rsidRPr="006D05D9">
        <w:rPr>
          <w:lang w:val="en-GB"/>
        </w:rPr>
        <w:t xml:space="preserve"> it is possible to notice that for the proposal condition (n: 18) 66% of them were women (n:12). However, for the original </w:t>
      </w:r>
      <w:r w:rsidR="00EE0BD1" w:rsidRPr="006D05D9">
        <w:rPr>
          <w:lang w:val="en-GB"/>
        </w:rPr>
        <w:lastRenderedPageBreak/>
        <w:t>desk height, most of the preference belongs to men with a 68% preference (n= 11).</w:t>
      </w:r>
      <w:r w:rsidRPr="006D05D9">
        <w:rPr>
          <w:lang w:val="en-GB"/>
        </w:rPr>
        <w:t xml:space="preserve"> Chi-Square tests showed a dependency between desk height preference (original first v/s proposal first) and sex</w:t>
      </w:r>
      <w:r w:rsidR="00036497" w:rsidRPr="006D05D9">
        <w:rPr>
          <w:lang w:val="en-GB"/>
        </w:rPr>
        <w:t xml:space="preserve"> </w:t>
      </w:r>
      <w:r w:rsidR="00426813" w:rsidRPr="006D05D9">
        <w:rPr>
          <w:lang w:val="en-GB"/>
        </w:rPr>
        <w:t>(</w:t>
      </w:r>
      <w:r w:rsidR="00426813" w:rsidRPr="006D05D9">
        <w:rPr>
          <w:i/>
          <w:iCs/>
          <w:lang w:val="en-GB"/>
        </w:rPr>
        <w:t>X</w:t>
      </w:r>
      <w:r w:rsidR="00426813" w:rsidRPr="006D05D9">
        <w:rPr>
          <w:vertAlign w:val="superscript"/>
          <w:lang w:val="en-GB"/>
        </w:rPr>
        <w:t>2</w:t>
      </w:r>
      <w:r w:rsidR="00426813" w:rsidRPr="006D05D9">
        <w:rPr>
          <w:lang w:val="en-GB"/>
        </w:rPr>
        <w:t xml:space="preserve"> = </w:t>
      </w:r>
      <w:r w:rsidRPr="006D05D9">
        <w:rPr>
          <w:lang w:val="en-GB"/>
        </w:rPr>
        <w:t>4.25</w:t>
      </w:r>
      <w:r w:rsidR="00426813" w:rsidRPr="006D05D9">
        <w:rPr>
          <w:lang w:val="en-GB"/>
        </w:rPr>
        <w:t>, p-value</w:t>
      </w:r>
      <w:r w:rsidR="0064292B" w:rsidRPr="006D05D9">
        <w:rPr>
          <w:lang w:val="en-GB"/>
        </w:rPr>
        <w:t xml:space="preserve"> = .03925</w:t>
      </w:r>
      <w:r w:rsidR="00426813" w:rsidRPr="006D05D9">
        <w:rPr>
          <w:lang w:val="en-GB"/>
        </w:rPr>
        <w:t>).</w:t>
      </w:r>
      <w:r w:rsidR="005E1355" w:rsidRPr="006D05D9">
        <w:rPr>
          <w:lang w:val="en-GB"/>
        </w:rPr>
        <w:t xml:space="preserve"> A</w:t>
      </w:r>
      <w:r w:rsidR="00C87113" w:rsidRPr="006D05D9">
        <w:rPr>
          <w:lang w:val="en-GB"/>
        </w:rPr>
        <w:t xml:space="preserve"> p</w:t>
      </w:r>
      <w:r w:rsidR="005E1355" w:rsidRPr="006D05D9">
        <w:rPr>
          <w:lang w:val="en-GB"/>
        </w:rPr>
        <w:t xml:space="preserve">ossible explanation may be due to the fact that </w:t>
      </w:r>
      <w:r w:rsidR="00C87113" w:rsidRPr="006D05D9">
        <w:rPr>
          <w:lang w:val="en-GB"/>
        </w:rPr>
        <w:t>in general</w:t>
      </w:r>
      <w:r w:rsidR="005E1355" w:rsidRPr="006D05D9">
        <w:rPr>
          <w:lang w:val="en-GB"/>
        </w:rPr>
        <w:t>, women are more prone to musculoskeletal disorders</w:t>
      </w:r>
      <w:r w:rsidR="00E43510" w:rsidRPr="006D05D9">
        <w:rPr>
          <w:lang w:val="en-GB"/>
        </w:rPr>
        <w:t xml:space="preserve"> in the upper limbs</w:t>
      </w:r>
      <w:r w:rsidR="005E1355" w:rsidRPr="006D05D9">
        <w:rPr>
          <w:lang w:val="en-GB"/>
        </w:rPr>
        <w:t xml:space="preserve"> and their previous early </w:t>
      </w:r>
      <w:r w:rsidR="00C87113" w:rsidRPr="006D05D9">
        <w:rPr>
          <w:lang w:val="en-GB"/>
        </w:rPr>
        <w:t>symptoms</w:t>
      </w:r>
      <w:r w:rsidR="005E1355" w:rsidRPr="006D05D9">
        <w:rPr>
          <w:lang w:val="en-GB"/>
        </w:rPr>
        <w:t>, such as pain and discomfort</w:t>
      </w:r>
      <w:r w:rsidR="00E43510" w:rsidRPr="006D05D9">
        <w:rPr>
          <w:lang w:val="en-GB"/>
        </w:rPr>
        <w:t xml:space="preserve">, thus influencing </w:t>
      </w:r>
      <w:r w:rsidR="00EC25F1" w:rsidRPr="006D05D9">
        <w:rPr>
          <w:lang w:val="en-GB"/>
        </w:rPr>
        <w:t>somehow</w:t>
      </w:r>
      <w:r w:rsidR="00E43510" w:rsidRPr="006D05D9">
        <w:rPr>
          <w:lang w:val="en-GB"/>
        </w:rPr>
        <w:t xml:space="preserve"> the</w:t>
      </w:r>
      <w:r w:rsidR="00CB3FE3" w:rsidRPr="006D05D9">
        <w:rPr>
          <w:lang w:val="en-GB"/>
        </w:rPr>
        <w:t xml:space="preserve"> preference </w:t>
      </w:r>
      <w:r w:rsidR="00E43510" w:rsidRPr="006D05D9">
        <w:rPr>
          <w:lang w:val="en-GB"/>
        </w:rPr>
        <w:t xml:space="preserve"> results</w:t>
      </w:r>
      <w:r w:rsidR="0008582D" w:rsidRPr="006D05D9">
        <w:rPr>
          <w:lang w:val="en-GB"/>
        </w:rPr>
        <w:t xml:space="preserve"> </w:t>
      </w:r>
      <w:r w:rsidR="0008582D" w:rsidRPr="006D05D9">
        <w:rPr>
          <w:lang w:val="en-GB"/>
        </w:rPr>
        <w:fldChar w:fldCharType="begin" w:fldLock="1"/>
      </w:r>
      <w:r w:rsidR="004E796B" w:rsidRPr="006D05D9">
        <w:rPr>
          <w:lang w:val="en-GB"/>
        </w:rPr>
        <w:instrText>ADDIN CSL_CITATION {"citationItems":[{"id":"ITEM-1","itemData":{"DOI":"10.1016/j.heliyon.2024.e28384","ISSN":"24058440","author":[{"dropping-particle":"","family":"Bai","given":"Yifan","non-dropping-particle":"","parse-names":false,"suffix":""},{"dropping-particle":"","family":"Kamarudin","given":"Khairul Manami","non-dropping-particle":"","parse-names":false,"suffix":""},{"dropping-particle":"","family":"Alli","given":"Hassan","non-dropping-particle":"","parse-names":false,"suffix":""}],"container-title":"Heliyon","id":"ITEM-1","issue":"7","issued":{"date-parts":[["2024","4"]]},"page":"e28384","publisher":"Elsevier Ltd","title":"A systematic review of research on sitting and working furniture ergonomic from 2012 to 2022: Analysis of assessment approaches","type":"article-journal","volume":"10"},"uris":["http://www.mendeley.com/documents/?uuid=be96ab48-a427-4c68-8fb9-211b490c423e"]}],"mendeley":{"formattedCitation":"(Bai et al., 2024)","plainTextFormattedCitation":"(Bai et al., 2024)","previouslyFormattedCitation":"(Bai et al., 2024)"},"properties":{"noteIndex":0},"schema":"https://github.com/citation-style-language/schema/raw/master/csl-citation.json"}</w:instrText>
      </w:r>
      <w:r w:rsidR="0008582D" w:rsidRPr="006D05D9">
        <w:rPr>
          <w:lang w:val="en-GB"/>
        </w:rPr>
        <w:fldChar w:fldCharType="separate"/>
      </w:r>
      <w:r w:rsidR="0008582D" w:rsidRPr="006D05D9">
        <w:rPr>
          <w:lang w:val="en-GB"/>
        </w:rPr>
        <w:t>(Bai et al., 2024)</w:t>
      </w:r>
      <w:r w:rsidR="0008582D" w:rsidRPr="006D05D9">
        <w:rPr>
          <w:lang w:val="en-GB"/>
        </w:rPr>
        <w:fldChar w:fldCharType="end"/>
      </w:r>
      <w:r w:rsidR="00E43510" w:rsidRPr="006D05D9">
        <w:rPr>
          <w:lang w:val="en-GB"/>
        </w:rPr>
        <w:t xml:space="preserve"> (</w:t>
      </w:r>
      <w:r w:rsidR="00ED1845" w:rsidRPr="006D05D9">
        <w:rPr>
          <w:lang w:val="en-GB"/>
        </w:rPr>
        <w:t>Yifan Bai et a 2024)</w:t>
      </w:r>
      <w:r w:rsidR="00E43510" w:rsidRPr="006D05D9">
        <w:rPr>
          <w:lang w:val="en-GB"/>
        </w:rPr>
        <w:t xml:space="preserve">. </w:t>
      </w:r>
      <w:r w:rsidR="00CA743A" w:rsidRPr="006D05D9">
        <w:rPr>
          <w:lang w:val="en-GB"/>
        </w:rPr>
        <w:t xml:space="preserve">The previously cited </w:t>
      </w:r>
      <w:r w:rsidR="00287422" w:rsidRPr="006D05D9">
        <w:rPr>
          <w:lang w:val="en-GB"/>
        </w:rPr>
        <w:t>systematic review states the need to specify gender contribution</w:t>
      </w:r>
      <w:r w:rsidR="00364B02" w:rsidRPr="006D05D9">
        <w:rPr>
          <w:lang w:val="en-GB"/>
        </w:rPr>
        <w:t xml:space="preserve"> with </w:t>
      </w:r>
      <w:r w:rsidR="00BC5AB3" w:rsidRPr="006D05D9">
        <w:rPr>
          <w:lang w:val="en-GB"/>
        </w:rPr>
        <w:t>its</w:t>
      </w:r>
      <w:r w:rsidR="00364B02" w:rsidRPr="006D05D9">
        <w:rPr>
          <w:lang w:val="en-GB"/>
        </w:rPr>
        <w:t xml:space="preserve"> specific characteristics regarding </w:t>
      </w:r>
      <w:r w:rsidR="006D5F68" w:rsidRPr="006D05D9">
        <w:rPr>
          <w:lang w:val="en-GB"/>
        </w:rPr>
        <w:t xml:space="preserve">the preference and evaluation of </w:t>
      </w:r>
      <w:r w:rsidR="00364B02" w:rsidRPr="006D05D9">
        <w:rPr>
          <w:lang w:val="en-GB"/>
        </w:rPr>
        <w:t xml:space="preserve">ergonomic design of office furniture. For example, in the current </w:t>
      </w:r>
      <w:r w:rsidR="007E55E8" w:rsidRPr="006D05D9">
        <w:rPr>
          <w:lang w:val="en-GB"/>
        </w:rPr>
        <w:t>study, gender</w:t>
      </w:r>
      <w:r w:rsidR="006D5F68" w:rsidRPr="006D05D9">
        <w:rPr>
          <w:lang w:val="en-GB"/>
        </w:rPr>
        <w:t xml:space="preserve"> could have</w:t>
      </w:r>
      <w:r w:rsidR="00FE60F8" w:rsidRPr="006D05D9">
        <w:rPr>
          <w:lang w:val="en-GB"/>
        </w:rPr>
        <w:t xml:space="preserve"> had a role on the dependency of gender and preference</w:t>
      </w:r>
      <w:r w:rsidR="00F00994" w:rsidRPr="006D05D9">
        <w:rPr>
          <w:lang w:val="en-GB"/>
        </w:rPr>
        <w:t xml:space="preserve">, since it has </w:t>
      </w:r>
      <w:r w:rsidR="00713232" w:rsidRPr="006D05D9">
        <w:rPr>
          <w:lang w:val="en-GB"/>
        </w:rPr>
        <w:t>been</w:t>
      </w:r>
      <w:r w:rsidR="00F00994" w:rsidRPr="006D05D9">
        <w:rPr>
          <w:lang w:val="en-GB"/>
        </w:rPr>
        <w:t xml:space="preserve"> show that posture varies between man and women</w:t>
      </w:r>
      <w:r w:rsidR="0008582D" w:rsidRPr="006D05D9">
        <w:rPr>
          <w:lang w:val="en-GB"/>
        </w:rPr>
        <w:t xml:space="preserve"> </w:t>
      </w:r>
      <w:r w:rsidR="004144E0" w:rsidRPr="006D05D9">
        <w:rPr>
          <w:lang w:val="en-GB"/>
        </w:rPr>
        <w:fldChar w:fldCharType="begin" w:fldLock="1"/>
      </w:r>
      <w:r w:rsidR="0008582D" w:rsidRPr="006D05D9">
        <w:rPr>
          <w:lang w:val="en-GB"/>
        </w:rPr>
        <w:instrText>ADDIN CSL_CITATION {"citationItems":[{"id":"ITEM-1","itemData":{"DOI":"10.1038/s41598-023-27976-8","ISBN":"0123456789","ISSN":"20452322","PMID":"36650216","abstract":"In order to classify and analyze the parameters of upper body posture in clinical or physiotherapeutic settings, a baseline in the form of standard values with special regard to age, sex and BMI is required. Thus, subjectively healthy men and women aged 21–60 years were measured in this project. The postural parameters of 800 symptom-free male (n = 397) and female (n = 407) volunteers aged 21–60 years (Ø</w:instrText>
      </w:r>
      <w:r w:rsidR="0008582D" w:rsidRPr="006D05D9">
        <w:rPr>
          <w:rFonts w:ascii="Segoe UI Symbol" w:hAnsi="Segoe UI Symbol" w:cs="Segoe UI Symbol"/>
          <w:lang w:val="en-GB"/>
        </w:rPr>
        <w:instrText>♀</w:instrText>
      </w:r>
      <w:r w:rsidR="0008582D" w:rsidRPr="006D05D9">
        <w:rPr>
          <w:lang w:val="en-GB"/>
        </w:rPr>
        <w:instrText xml:space="preserve">: 39.7 </w:instrText>
      </w:r>
      <w:r w:rsidR="0008582D" w:rsidRPr="006D05D9">
        <w:rPr>
          <w:rFonts w:ascii="Calibri" w:hAnsi="Calibri" w:cs="Calibri"/>
          <w:lang w:val="en-GB"/>
        </w:rPr>
        <w:instrText>±</w:instrText>
      </w:r>
      <w:r w:rsidR="0008582D" w:rsidRPr="006D05D9">
        <w:rPr>
          <w:lang w:val="en-GB"/>
        </w:rPr>
        <w:instrText xml:space="preserve"> 11.6, </w:instrText>
      </w:r>
      <w:r w:rsidR="0008582D" w:rsidRPr="006D05D9">
        <w:rPr>
          <w:rFonts w:ascii="Calibri" w:hAnsi="Calibri" w:cs="Calibri"/>
          <w:lang w:val="en-GB"/>
        </w:rPr>
        <w:instrText>Ø</w:instrText>
      </w:r>
      <w:r w:rsidR="0008582D" w:rsidRPr="006D05D9">
        <w:rPr>
          <w:lang w:val="en-GB"/>
        </w:rPr>
        <w:instrText xml:space="preserve"> </w:instrText>
      </w:r>
      <w:r w:rsidR="0008582D" w:rsidRPr="006D05D9">
        <w:rPr>
          <w:rFonts w:ascii="Segoe UI Symbol" w:hAnsi="Segoe UI Symbol" w:cs="Segoe UI Symbol"/>
          <w:lang w:val="en-GB"/>
        </w:rPr>
        <w:instrText>♂</w:instrText>
      </w:r>
      <w:r w:rsidR="0008582D" w:rsidRPr="006D05D9">
        <w:rPr>
          <w:lang w:val="en-GB"/>
        </w:rPr>
        <w:instrText xml:space="preserve">: 40.7 </w:instrText>
      </w:r>
      <w:r w:rsidR="0008582D" w:rsidRPr="006D05D9">
        <w:rPr>
          <w:rFonts w:ascii="Calibri" w:hAnsi="Calibri" w:cs="Calibri"/>
          <w:lang w:val="en-GB"/>
        </w:rPr>
        <w:instrText>±</w:instrText>
      </w:r>
      <w:r w:rsidR="0008582D" w:rsidRPr="006D05D9">
        <w:rPr>
          <w:lang w:val="en-GB"/>
        </w:rPr>
        <w:instrText xml:space="preserve"> 11.5 y) were studied. The mean height of the men was 1.8 </w:instrText>
      </w:r>
      <w:r w:rsidR="0008582D" w:rsidRPr="006D05D9">
        <w:rPr>
          <w:rFonts w:ascii="Calibri" w:hAnsi="Calibri" w:cs="Calibri"/>
          <w:lang w:val="en-GB"/>
        </w:rPr>
        <w:instrText>±</w:instrText>
      </w:r>
      <w:r w:rsidR="0008582D" w:rsidRPr="006D05D9">
        <w:rPr>
          <w:lang w:val="en-GB"/>
        </w:rPr>
        <w:instrText xml:space="preserve"> 0.07</w:instrText>
      </w:r>
      <w:r w:rsidR="0008582D" w:rsidRPr="006D05D9">
        <w:rPr>
          <w:rFonts w:ascii="Calibri" w:hAnsi="Calibri" w:cs="Calibri"/>
          <w:lang w:val="en-GB"/>
        </w:rPr>
        <w:instrText> </w:instrText>
      </w:r>
      <w:r w:rsidR="0008582D" w:rsidRPr="006D05D9">
        <w:rPr>
          <w:lang w:val="en-GB"/>
        </w:rPr>
        <w:instrText xml:space="preserve">m, with a mean body weight of 84.8 </w:instrText>
      </w:r>
      <w:r w:rsidR="0008582D" w:rsidRPr="006D05D9">
        <w:rPr>
          <w:rFonts w:ascii="Calibri" w:hAnsi="Calibri" w:cs="Calibri"/>
          <w:lang w:val="en-GB"/>
        </w:rPr>
        <w:instrText>±</w:instrText>
      </w:r>
      <w:r w:rsidR="0008582D" w:rsidRPr="006D05D9">
        <w:rPr>
          <w:lang w:val="en-GB"/>
        </w:rPr>
        <w:instrText xml:space="preserve"> 13.1</w:instrText>
      </w:r>
      <w:r w:rsidR="0008582D" w:rsidRPr="006D05D9">
        <w:rPr>
          <w:rFonts w:ascii="Calibri" w:hAnsi="Calibri" w:cs="Calibri"/>
          <w:lang w:val="en-GB"/>
        </w:rPr>
        <w:instrText> </w:instrText>
      </w:r>
      <w:r w:rsidR="0008582D" w:rsidRPr="006D05D9">
        <w:rPr>
          <w:lang w:val="en-GB"/>
        </w:rPr>
        <w:instrText xml:space="preserve">kg and an average BMI of 26.0 </w:instrText>
      </w:r>
      <w:r w:rsidR="0008582D" w:rsidRPr="006D05D9">
        <w:rPr>
          <w:rFonts w:ascii="Calibri" w:hAnsi="Calibri" w:cs="Calibri"/>
          <w:lang w:val="en-GB"/>
        </w:rPr>
        <w:instrText>±</w:instrText>
      </w:r>
      <w:r w:rsidR="0008582D" w:rsidRPr="006D05D9">
        <w:rPr>
          <w:lang w:val="en-GB"/>
        </w:rPr>
        <w:instrText xml:space="preserve"> 3.534</w:instrText>
      </w:r>
      <w:r w:rsidR="0008582D" w:rsidRPr="006D05D9">
        <w:rPr>
          <w:rFonts w:ascii="Calibri" w:hAnsi="Calibri" w:cs="Calibri"/>
          <w:lang w:val="en-GB"/>
        </w:rPr>
        <w:instrText> </w:instrText>
      </w:r>
      <w:r w:rsidR="0008582D" w:rsidRPr="006D05D9">
        <w:rPr>
          <w:lang w:val="en-GB"/>
        </w:rPr>
        <w:instrText xml:space="preserve">kg/m2. In contrast, the mean height of the women was 1.67 </w:instrText>
      </w:r>
      <w:r w:rsidR="0008582D" w:rsidRPr="006D05D9">
        <w:rPr>
          <w:rFonts w:ascii="Calibri" w:hAnsi="Calibri" w:cs="Calibri"/>
          <w:lang w:val="en-GB"/>
        </w:rPr>
        <w:instrText>±</w:instrText>
      </w:r>
      <w:r w:rsidR="0008582D" w:rsidRPr="006D05D9">
        <w:rPr>
          <w:lang w:val="en-GB"/>
        </w:rPr>
        <w:instrText xml:space="preserve"> 0.06</w:instrText>
      </w:r>
      <w:r w:rsidR="0008582D" w:rsidRPr="006D05D9">
        <w:rPr>
          <w:rFonts w:ascii="Calibri" w:hAnsi="Calibri" w:cs="Calibri"/>
          <w:lang w:val="en-GB"/>
        </w:rPr>
        <w:instrText> </w:instrText>
      </w:r>
      <w:r w:rsidR="0008582D" w:rsidRPr="006D05D9">
        <w:rPr>
          <w:lang w:val="en-GB"/>
        </w:rPr>
        <w:instrText xml:space="preserve">m, with a mean body weight of 66.5 </w:instrText>
      </w:r>
      <w:r w:rsidR="0008582D" w:rsidRPr="006D05D9">
        <w:rPr>
          <w:rFonts w:ascii="Calibri" w:hAnsi="Calibri" w:cs="Calibri"/>
          <w:lang w:val="en-GB"/>
        </w:rPr>
        <w:instrText>±</w:instrText>
      </w:r>
      <w:r w:rsidR="0008582D" w:rsidRPr="006D05D9">
        <w:rPr>
          <w:lang w:val="en-GB"/>
        </w:rPr>
        <w:instrText xml:space="preserve"> 12.7</w:instrText>
      </w:r>
      <w:r w:rsidR="0008582D" w:rsidRPr="006D05D9">
        <w:rPr>
          <w:rFonts w:ascii="Calibri" w:hAnsi="Calibri" w:cs="Calibri"/>
          <w:lang w:val="en-GB"/>
        </w:rPr>
        <w:instrText> </w:instrText>
      </w:r>
      <w:r w:rsidR="0008582D" w:rsidRPr="006D05D9">
        <w:rPr>
          <w:lang w:val="en-GB"/>
        </w:rPr>
        <w:instrText xml:space="preserve">kg and an average BMI of 23.9 </w:instrText>
      </w:r>
      <w:r w:rsidR="0008582D" w:rsidRPr="006D05D9">
        <w:rPr>
          <w:rFonts w:ascii="Calibri" w:hAnsi="Calibri" w:cs="Calibri"/>
          <w:lang w:val="en-GB"/>
        </w:rPr>
        <w:instrText>±</w:instrText>
      </w:r>
      <w:r w:rsidR="0008582D" w:rsidRPr="006D05D9">
        <w:rPr>
          <w:lang w:val="en-GB"/>
        </w:rPr>
        <w:instrText xml:space="preserve"> 4.6</w:instrText>
      </w:r>
      <w:r w:rsidR="0008582D" w:rsidRPr="006D05D9">
        <w:rPr>
          <w:rFonts w:ascii="Calibri" w:hAnsi="Calibri" w:cs="Calibri"/>
          <w:lang w:val="en-GB"/>
        </w:rPr>
        <w:instrText> </w:instrText>
      </w:r>
      <w:r w:rsidR="0008582D" w:rsidRPr="006D05D9">
        <w:rPr>
          <w:lang w:val="en-GB"/>
        </w:rPr>
        <w:instrText xml:space="preserve">kg/m2. By means of video rasterstereography, a 3-dimensional scan of the upper back surface was measured when in a habitual standing position. The means or medians, confidence intervals, tolerance ranges, the minimum, 2.5, 25, 50, 75, 97.5 percentiles and the maximum, plus the kurtosis and skewness of the distribution, were calculated for all parameters. Additionally, ANOVA and a factor analyses (sex, BMI, age) were conducted. In both sexes across all age groups, balanced, symmetrical upper body statics were evident. Most strikingly, the females showed greater thoracic kyphosis and lumbar lordosis angles (kyphosis: Ø </w:instrText>
      </w:r>
      <w:r w:rsidR="0008582D" w:rsidRPr="006D05D9">
        <w:rPr>
          <w:rFonts w:ascii="Segoe UI Symbol" w:hAnsi="Segoe UI Symbol" w:cs="Segoe UI Symbol"/>
          <w:lang w:val="en-GB"/>
        </w:rPr>
        <w:instrText>♀</w:instrText>
      </w:r>
      <w:r w:rsidR="0008582D" w:rsidRPr="006D05D9">
        <w:rPr>
          <w:lang w:val="en-GB"/>
        </w:rPr>
        <w:instrText xml:space="preserve"> 56</w:instrText>
      </w:r>
      <w:r w:rsidR="0008582D" w:rsidRPr="006D05D9">
        <w:rPr>
          <w:rFonts w:ascii="Calibri" w:hAnsi="Calibri" w:cs="Calibri"/>
          <w:lang w:val="en-GB"/>
        </w:rPr>
        <w:instrText>°</w:instrText>
      </w:r>
      <w:r w:rsidR="0008582D" w:rsidRPr="006D05D9">
        <w:rPr>
          <w:lang w:val="en-GB"/>
        </w:rPr>
        <w:instrText xml:space="preserve">, </w:instrText>
      </w:r>
      <w:r w:rsidR="0008582D" w:rsidRPr="006D05D9">
        <w:rPr>
          <w:rFonts w:ascii="Calibri" w:hAnsi="Calibri" w:cs="Calibri"/>
          <w:lang w:val="en-GB"/>
        </w:rPr>
        <w:instrText>Ø</w:instrText>
      </w:r>
      <w:r w:rsidR="0008582D" w:rsidRPr="006D05D9">
        <w:rPr>
          <w:rFonts w:ascii="Segoe UI Symbol" w:hAnsi="Segoe UI Symbol" w:cs="Segoe UI Symbol"/>
          <w:lang w:val="en-GB"/>
        </w:rPr>
        <w:instrText>♂</w:instrText>
      </w:r>
      <w:r w:rsidR="0008582D" w:rsidRPr="006D05D9">
        <w:rPr>
          <w:lang w:val="en-GB"/>
        </w:rPr>
        <w:instrText xml:space="preserve"> 51</w:instrText>
      </w:r>
      <w:r w:rsidR="0008582D" w:rsidRPr="006D05D9">
        <w:rPr>
          <w:rFonts w:ascii="Calibri" w:hAnsi="Calibri" w:cs="Calibri"/>
          <w:lang w:val="en-GB"/>
        </w:rPr>
        <w:instrText>°</w:instrText>
      </w:r>
      <w:r w:rsidR="0008582D" w:rsidRPr="006D05D9">
        <w:rPr>
          <w:lang w:val="en-GB"/>
        </w:rPr>
        <w:instrText xml:space="preserve">; lordosis: Ø </w:instrText>
      </w:r>
      <w:r w:rsidR="0008582D" w:rsidRPr="006D05D9">
        <w:rPr>
          <w:rFonts w:ascii="Segoe UI Symbol" w:hAnsi="Segoe UI Symbol" w:cs="Segoe UI Symbol"/>
          <w:lang w:val="en-GB"/>
        </w:rPr>
        <w:instrText>♀</w:instrText>
      </w:r>
      <w:r w:rsidR="0008582D" w:rsidRPr="006D05D9">
        <w:rPr>
          <w:lang w:val="en-GB"/>
        </w:rPr>
        <w:instrText xml:space="preserve"> 49</w:instrText>
      </w:r>
      <w:r w:rsidR="0008582D" w:rsidRPr="006D05D9">
        <w:rPr>
          <w:rFonts w:ascii="Calibri" w:hAnsi="Calibri" w:cs="Calibri"/>
          <w:lang w:val="en-GB"/>
        </w:rPr>
        <w:instrText>°</w:instrText>
      </w:r>
      <w:r w:rsidR="0008582D" w:rsidRPr="006D05D9">
        <w:rPr>
          <w:lang w:val="en-GB"/>
        </w:rPr>
        <w:instrText xml:space="preserve">, </w:instrText>
      </w:r>
      <w:r w:rsidR="0008582D" w:rsidRPr="006D05D9">
        <w:rPr>
          <w:rFonts w:ascii="Calibri" w:hAnsi="Calibri" w:cs="Calibri"/>
          <w:lang w:val="en-GB"/>
        </w:rPr>
        <w:instrText>Ø</w:instrText>
      </w:r>
      <w:r w:rsidR="0008582D" w:rsidRPr="006D05D9">
        <w:rPr>
          <w:rFonts w:ascii="Segoe UI Symbol" w:hAnsi="Segoe UI Symbol" w:cs="Segoe UI Symbol"/>
          <w:lang w:val="en-GB"/>
        </w:rPr>
        <w:instrText>♂</w:instrText>
      </w:r>
      <w:r w:rsidR="0008582D" w:rsidRPr="006D05D9">
        <w:rPr>
          <w:lang w:val="en-GB"/>
        </w:rPr>
        <w:instrText xml:space="preserve"> 32</w:instrText>
      </w:r>
      <w:r w:rsidR="0008582D" w:rsidRPr="006D05D9">
        <w:rPr>
          <w:rFonts w:ascii="Calibri" w:hAnsi="Calibri" w:cs="Calibri"/>
          <w:lang w:val="en-GB"/>
        </w:rPr>
        <w:instrText>°</w:instrText>
      </w:r>
      <w:r w:rsidR="0008582D" w:rsidRPr="006D05D9">
        <w:rPr>
          <w:lang w:val="en-GB"/>
        </w:rPr>
        <w:instrText>) and lumbar bending angles (</w:instrText>
      </w:r>
      <w:r w:rsidR="0008582D" w:rsidRPr="006D05D9">
        <w:rPr>
          <w:rFonts w:ascii="Calibri" w:hAnsi="Calibri" w:cs="Calibri"/>
          <w:lang w:val="en-GB"/>
        </w:rPr>
        <w:instrText>Ø</w:instrText>
      </w:r>
      <w:r w:rsidR="0008582D" w:rsidRPr="006D05D9">
        <w:rPr>
          <w:lang w:val="en-GB"/>
        </w:rPr>
        <w:instrText xml:space="preserve"> </w:instrText>
      </w:r>
      <w:r w:rsidR="0008582D" w:rsidRPr="006D05D9">
        <w:rPr>
          <w:rFonts w:ascii="Segoe UI Symbol" w:hAnsi="Segoe UI Symbol" w:cs="Segoe UI Symbol"/>
          <w:lang w:val="en-GB"/>
        </w:rPr>
        <w:instrText>♀</w:instrText>
      </w:r>
      <w:r w:rsidR="0008582D" w:rsidRPr="006D05D9">
        <w:rPr>
          <w:lang w:val="en-GB"/>
        </w:rPr>
        <w:instrText xml:space="preserve"> 14</w:instrText>
      </w:r>
      <w:r w:rsidR="0008582D" w:rsidRPr="006D05D9">
        <w:rPr>
          <w:rFonts w:ascii="Calibri" w:hAnsi="Calibri" w:cs="Calibri"/>
          <w:lang w:val="en-GB"/>
        </w:rPr>
        <w:instrText>°</w:instrText>
      </w:r>
      <w:r w:rsidR="0008582D" w:rsidRPr="006D05D9">
        <w:rPr>
          <w:lang w:val="en-GB"/>
        </w:rPr>
        <w:instrText xml:space="preserve">, </w:instrText>
      </w:r>
      <w:r w:rsidR="0008582D" w:rsidRPr="006D05D9">
        <w:rPr>
          <w:rFonts w:ascii="Calibri" w:hAnsi="Calibri" w:cs="Calibri"/>
          <w:lang w:val="en-GB"/>
        </w:rPr>
        <w:instrText>Ø</w:instrText>
      </w:r>
      <w:r w:rsidR="0008582D" w:rsidRPr="006D05D9">
        <w:rPr>
          <w:rFonts w:ascii="Segoe UI Symbol" w:hAnsi="Segoe UI Symbol" w:cs="Segoe UI Symbol"/>
          <w:lang w:val="en-GB"/>
        </w:rPr>
        <w:instrText>♂</w:instrText>
      </w:r>
      <w:r w:rsidR="0008582D" w:rsidRPr="006D05D9">
        <w:rPr>
          <w:lang w:val="en-GB"/>
        </w:rPr>
        <w:instrText xml:space="preserve"> 11</w:instrText>
      </w:r>
      <w:r w:rsidR="0008582D" w:rsidRPr="006D05D9">
        <w:rPr>
          <w:rFonts w:ascii="Calibri" w:hAnsi="Calibri" w:cs="Calibri"/>
          <w:lang w:val="en-GB"/>
        </w:rPr>
        <w:instrText>°</w:instrText>
      </w:r>
      <w:r w:rsidR="0008582D" w:rsidRPr="006D05D9">
        <w:rPr>
          <w:lang w:val="en-GB"/>
        </w:rPr>
        <w:instrText>) than the males. The distance between the scapulae was more pronounced in men. These parameters also show an increase with age and BMI, respectively. Pelvic parameters were independent of age and sex. The upper body postures of women and men between the ages of 21 and 60</w:instrText>
      </w:r>
      <w:r w:rsidR="0008582D" w:rsidRPr="006D05D9">
        <w:rPr>
          <w:rFonts w:ascii="Calibri" w:hAnsi="Calibri" w:cs="Calibri"/>
          <w:lang w:val="en-GB"/>
        </w:rPr>
        <w:instrText> </w:instrText>
      </w:r>
      <w:r w:rsidR="0008582D" w:rsidRPr="006D05D9">
        <w:rPr>
          <w:lang w:val="en-GB"/>
        </w:rPr>
        <w:instrText>years were found to be almost symmetrical and axis-conforming with a positive correlation for BMI or age. Consequently, the present body posture parameters allow for comparisons with other studies, as well as for the evaluation of clinical (interim) diagnostics and applications.","author":[{"dropping-particle":"","family":"Ohlendorf","given":"D.","non-dropping-particle":"","parse-names":false,"suffix":""},{"dropping-particle":"","family":"Avaniadi","given":"I.","non-dropping-particle":"","parse-names":false,"suffix":""},{"dropping-particle":"","family":"Adjami","given":"F.","non-dropping-particle":"","parse-names":false,"suffix":""},{"dropping-particle":"","family":"Christian","given":"W.","non-dropping-particle":"","parse-names":false,"suffix":""},{"dropping-particle":"","family":"Doerry","given":"C.","non-dropping-particle":"","parse-names":false,"suffix":""},{"dropping-particle":"","family":"Fay","given":"V.","non-dropping-particle":"","parse-names":false,"suffix":""},{"dropping-particle":"","family":"Fisch","given":"V.","non-dropping-particle":"","parse-names":false,"suffix":""},{"dropping-particle":"","family":"Gerez","given":"A.","non-dropping-particle":"","parse-names":false,"suffix":""},{"dropping-particle":"","family":"Goecke","given":"J.","non-dropping-particle":"","parse-names":false,"suffix":""},{"dropping-particle":"","family":"Kaya","given":"U.","non-dropping-particle":"","parse-names":false,"suffix":""},{"dropping-particle":"","family":"Keller","given":"J.","non-dropping-particle":"","parse-names":false,"suffix":""},{"dropping-particle":"","family":"Krüger","given":"D.","non-dropping-particle":"","parse-names":false,"suffix":""},{"dropping-particle":"","family":"Pflaum","given":"J.","non-dropping-particle":"","parse-names":false,"suffix":""},{"dropping-particle":"","family":"Porsch","given":"L.","non-dropping-particle":"","parse-names":false,"suffix":""},{"dropping-particle":"","family":"Loewe","given":"C.","non-dropping-particle":"","parse-names":false,"suffix":""},{"dropping-particle":"","family":"Scharnweber","given":"B.","non-dropping-particle":"","parse-names":false,"suffix":""},{"dropping-particle":"","family":"Sosnov","given":"P.","non-dropping-particle":"","parse-names":false,"suffix":""},{"dropping-particle":"","family":"Wanke","given":"E. M.","non-dropping-particle":"","parse-names":false,"suffix":""},{"dropping-particle":"","family":"Oremek","given":"G.","non-dropping-particle":"","parse-names":false,"suffix":""},{"dropping-particle":"","family":"Ackermann","given":"H.","non-dropping-particle":"","parse-names":false,"suffix":""},{"dropping-particle":"","family":"Holzgreve","given":"F.","non-dropping-particle":"","parse-names":false,"suffix":""},{"dropping-particle":"","family":"Keil","given":"F.","non-dropping-particle":"","parse-names":false,"suffix":""},{"dropping-particle":"","family":"Groneberg","given":"D. A.","non-dropping-particle":"","parse-names":false,"suffix":""},{"dropping-particle":"","family":"Maurer-Grubinger","given":"C.","non-dropping-particle":"","parse-names":false,"suffix":""}],"container-title":"Scientific Reports","id":"ITEM-1","issue":"1","issued":{"date-parts":[["2023"]]},"page":"1-16","publisher":"Nature Publishing Group UK","title":"Standard values of the upper body posture in healthy adults with special regard to age, sex and BMI","type":"article-journal","volume":"13"},"uris":["http://www.mendeley.com/documents/?uuid=dbce04a8-2bee-4e66-a7d6-cf045140e817"]}],"mendeley":{"formattedCitation":"(Ohlendorf et al., 2023)","plainTextFormattedCitation":"(Ohlendorf et al., 2023)","previouslyFormattedCitation":"(Ohlendorf et al., 2023)"},"properties":{"noteIndex":0},"schema":"https://github.com/citation-style-language/schema/raw/master/csl-citation.json"}</w:instrText>
      </w:r>
      <w:r w:rsidR="004144E0" w:rsidRPr="006D05D9">
        <w:rPr>
          <w:lang w:val="en-GB"/>
        </w:rPr>
        <w:fldChar w:fldCharType="separate"/>
      </w:r>
      <w:r w:rsidR="004144E0" w:rsidRPr="006D05D9">
        <w:rPr>
          <w:lang w:val="en-GB"/>
        </w:rPr>
        <w:t>(Ohlendorf et al., 2023)</w:t>
      </w:r>
      <w:r w:rsidR="004144E0" w:rsidRPr="006D05D9">
        <w:rPr>
          <w:lang w:val="en-GB"/>
        </w:rPr>
        <w:fldChar w:fldCharType="end"/>
      </w:r>
      <w:r w:rsidR="00860AE9" w:rsidRPr="006D05D9">
        <w:rPr>
          <w:lang w:val="en-GB"/>
        </w:rPr>
        <w:t>.</w:t>
      </w:r>
      <w:r w:rsidR="00FE60F8" w:rsidRPr="006D05D9">
        <w:rPr>
          <w:lang w:val="en-GB"/>
        </w:rPr>
        <w:t xml:space="preserve"> </w:t>
      </w:r>
      <w:r w:rsidR="00CB3FE3" w:rsidRPr="006D05D9">
        <w:rPr>
          <w:lang w:val="en-GB"/>
        </w:rPr>
        <w:t xml:space="preserve">Gender specific differences regarding posture could </w:t>
      </w:r>
      <w:r w:rsidR="00F00994" w:rsidRPr="006D05D9">
        <w:rPr>
          <w:lang w:val="en-GB"/>
        </w:rPr>
        <w:t>yield preference towards higher or lower desk heights.</w:t>
      </w:r>
      <w:r w:rsidR="005574D4" w:rsidRPr="006D05D9">
        <w:rPr>
          <w:lang w:val="en-GB"/>
        </w:rPr>
        <w:t xml:space="preserve"> </w:t>
      </w:r>
      <w:r w:rsidR="0098220C" w:rsidRPr="006D05D9">
        <w:rPr>
          <w:lang w:val="en-GB"/>
        </w:rPr>
        <w:t xml:space="preserve">This hypothesis </w:t>
      </w:r>
      <w:r w:rsidR="00566BFE" w:rsidRPr="006D05D9">
        <w:rPr>
          <w:lang w:val="en-GB"/>
        </w:rPr>
        <w:t>should</w:t>
      </w:r>
      <w:r w:rsidR="0098220C" w:rsidRPr="006D05D9">
        <w:rPr>
          <w:lang w:val="en-GB"/>
        </w:rPr>
        <w:t xml:space="preserve"> be further </w:t>
      </w:r>
      <w:r w:rsidR="00566BFE" w:rsidRPr="006D05D9">
        <w:rPr>
          <w:lang w:val="en-GB"/>
        </w:rPr>
        <w:t>addressed</w:t>
      </w:r>
      <w:r w:rsidR="0098220C" w:rsidRPr="006D05D9">
        <w:rPr>
          <w:lang w:val="en-GB"/>
        </w:rPr>
        <w:t xml:space="preserve"> in specific designs that can account for the role of gender and preferences mediated by </w:t>
      </w:r>
      <w:r w:rsidR="00566BFE" w:rsidRPr="006D05D9">
        <w:rPr>
          <w:lang w:val="en-GB"/>
        </w:rPr>
        <w:t xml:space="preserve">specific physical </w:t>
      </w:r>
      <w:r w:rsidR="007E55E8" w:rsidRPr="006D05D9">
        <w:rPr>
          <w:lang w:val="en-GB"/>
        </w:rPr>
        <w:t>characteristics</w:t>
      </w:r>
      <w:r w:rsidR="00566BFE" w:rsidRPr="006D05D9">
        <w:rPr>
          <w:lang w:val="en-GB"/>
        </w:rPr>
        <w:t xml:space="preserve"> related </w:t>
      </w:r>
      <w:r w:rsidR="00860AE9" w:rsidRPr="006D05D9">
        <w:rPr>
          <w:lang w:val="en-GB"/>
        </w:rPr>
        <w:t>to gender</w:t>
      </w:r>
      <w:r w:rsidR="007E55E8" w:rsidRPr="006D05D9">
        <w:rPr>
          <w:lang w:val="en-GB"/>
        </w:rPr>
        <w:t xml:space="preserve"> specific </w:t>
      </w:r>
      <w:r w:rsidR="00566BFE" w:rsidRPr="006D05D9">
        <w:rPr>
          <w:lang w:val="en-GB"/>
        </w:rPr>
        <w:t>posture</w:t>
      </w:r>
      <w:r w:rsidR="007E55E8" w:rsidRPr="006D05D9">
        <w:rPr>
          <w:lang w:val="en-GB"/>
        </w:rPr>
        <w:t>s</w:t>
      </w:r>
      <w:r w:rsidR="00566BFE" w:rsidRPr="006D05D9">
        <w:rPr>
          <w:lang w:val="en-GB"/>
        </w:rPr>
        <w:t>.</w:t>
      </w:r>
    </w:p>
    <w:p w14:paraId="50E794D0" w14:textId="77777777" w:rsidR="00B87792" w:rsidRPr="006D05D9" w:rsidRDefault="00B87792" w:rsidP="002E2A8E">
      <w:pPr>
        <w:ind w:firstLine="284"/>
        <w:rPr>
          <w:lang w:val="en-GB"/>
        </w:rPr>
      </w:pPr>
    </w:p>
    <w:p w14:paraId="7704B7C5" w14:textId="77777777" w:rsidR="00426813" w:rsidRPr="006D05D9" w:rsidRDefault="00426813" w:rsidP="00C05019">
      <w:pPr>
        <w:rPr>
          <w:lang w:val="en-GB"/>
        </w:rPr>
      </w:pPr>
    </w:p>
    <w:p w14:paraId="6632481F" w14:textId="77777777" w:rsidR="00C05019" w:rsidRPr="006D05D9" w:rsidRDefault="00C05019" w:rsidP="00C05019">
      <w:pPr>
        <w:rPr>
          <w:lang w:val="en-GB"/>
        </w:rPr>
      </w:pPr>
    </w:p>
    <w:p w14:paraId="3205B962" w14:textId="4EC3A657" w:rsidR="00C05019" w:rsidRPr="006D05D9" w:rsidRDefault="00C05019" w:rsidP="00C05019">
      <w:pPr>
        <w:rPr>
          <w:b/>
          <w:bCs/>
          <w:sz w:val="24"/>
          <w:szCs w:val="24"/>
          <w:lang w:val="en-GB"/>
        </w:rPr>
      </w:pPr>
      <w:r w:rsidRPr="006D05D9">
        <w:rPr>
          <w:b/>
          <w:bCs/>
          <w:sz w:val="24"/>
          <w:szCs w:val="24"/>
          <w:lang w:val="en-GB"/>
        </w:rPr>
        <w:t xml:space="preserve">4.5. Discomfort. </w:t>
      </w:r>
    </w:p>
    <w:p w14:paraId="5F2A9867" w14:textId="77777777" w:rsidR="00C05019" w:rsidRPr="006D05D9" w:rsidRDefault="00C05019" w:rsidP="00FB4136">
      <w:pPr>
        <w:rPr>
          <w:lang w:val="en-GB"/>
        </w:rPr>
      </w:pPr>
    </w:p>
    <w:p w14:paraId="7AB8A999" w14:textId="77777777" w:rsidR="00D821FA" w:rsidRPr="006D05D9" w:rsidRDefault="002B6FC5" w:rsidP="00C20449">
      <w:pPr>
        <w:ind w:firstLine="284"/>
        <w:rPr>
          <w:lang w:val="en-GB"/>
        </w:rPr>
      </w:pPr>
      <w:r w:rsidRPr="006D05D9">
        <w:rPr>
          <w:lang w:val="en-GB"/>
        </w:rPr>
        <w:t>The study findings reveal that there was no primary influence of workstation setup on discomfort.</w:t>
      </w:r>
      <w:r w:rsidR="004D07C0" w:rsidRPr="006D05D9">
        <w:rPr>
          <w:lang w:val="en-GB"/>
        </w:rPr>
        <w:t xml:space="preserve"> </w:t>
      </w:r>
      <w:r w:rsidR="00A75191" w:rsidRPr="006D05D9">
        <w:rPr>
          <w:lang w:val="en-GB"/>
        </w:rPr>
        <w:t>These results</w:t>
      </w:r>
      <w:r w:rsidR="004D07C0" w:rsidRPr="006D05D9">
        <w:rPr>
          <w:lang w:val="en-GB"/>
        </w:rPr>
        <w:t xml:space="preserve"> could be explained due the </w:t>
      </w:r>
      <w:r w:rsidR="004B6BAF" w:rsidRPr="006D05D9">
        <w:rPr>
          <w:lang w:val="en-GB"/>
        </w:rPr>
        <w:t xml:space="preserve">small difference between the </w:t>
      </w:r>
      <w:r w:rsidR="00F71C32" w:rsidRPr="006D05D9">
        <w:rPr>
          <w:lang w:val="en-GB"/>
        </w:rPr>
        <w:t>two-desk</w:t>
      </w:r>
      <w:r w:rsidR="004B6BAF" w:rsidRPr="006D05D9">
        <w:rPr>
          <w:lang w:val="en-GB"/>
        </w:rPr>
        <w:t xml:space="preserve"> </w:t>
      </w:r>
      <w:r w:rsidR="00C20449" w:rsidRPr="006D05D9">
        <w:rPr>
          <w:lang w:val="en-GB"/>
        </w:rPr>
        <w:t>heights,</w:t>
      </w:r>
      <w:r w:rsidR="008962DF" w:rsidRPr="006D05D9">
        <w:rPr>
          <w:lang w:val="en-GB"/>
        </w:rPr>
        <w:t xml:space="preserve"> w</w:t>
      </w:r>
      <w:r w:rsidR="007F71D2" w:rsidRPr="006D05D9">
        <w:rPr>
          <w:lang w:val="en-GB"/>
        </w:rPr>
        <w:t>h</w:t>
      </w:r>
      <w:r w:rsidR="008962DF" w:rsidRPr="006D05D9">
        <w:rPr>
          <w:lang w:val="en-GB"/>
        </w:rPr>
        <w:t xml:space="preserve">ere </w:t>
      </w:r>
      <w:r w:rsidR="007F71D2" w:rsidRPr="006D05D9">
        <w:rPr>
          <w:lang w:val="en-GB"/>
        </w:rPr>
        <w:t>o</w:t>
      </w:r>
      <w:r w:rsidR="001E21B2" w:rsidRPr="006D05D9">
        <w:rPr>
          <w:lang w:val="en-GB"/>
        </w:rPr>
        <w:t>n average</w:t>
      </w:r>
      <w:r w:rsidR="008962DF" w:rsidRPr="006D05D9">
        <w:rPr>
          <w:lang w:val="en-GB"/>
        </w:rPr>
        <w:t xml:space="preserve"> the desk height proposal </w:t>
      </w:r>
      <w:r w:rsidR="00F1326E" w:rsidRPr="006D05D9">
        <w:rPr>
          <w:lang w:val="en-GB"/>
        </w:rPr>
        <w:t xml:space="preserve">was </w:t>
      </w:r>
      <w:r w:rsidR="00B742FF" w:rsidRPr="006D05D9">
        <w:rPr>
          <w:lang w:val="en-GB"/>
        </w:rPr>
        <w:t>4</w:t>
      </w:r>
      <w:r w:rsidR="009671FD" w:rsidRPr="006D05D9">
        <w:rPr>
          <w:lang w:val="en-GB"/>
        </w:rPr>
        <w:t>8</w:t>
      </w:r>
      <w:r w:rsidR="00B742FF" w:rsidRPr="006D05D9">
        <w:rPr>
          <w:lang w:val="en-GB"/>
        </w:rPr>
        <w:t>±</w:t>
      </w:r>
      <w:r w:rsidR="009671FD" w:rsidRPr="006D05D9">
        <w:rPr>
          <w:lang w:val="en-GB"/>
        </w:rPr>
        <w:t>5</w:t>
      </w:r>
      <w:r w:rsidR="00B742FF" w:rsidRPr="006D05D9">
        <w:rPr>
          <w:lang w:val="en-GB"/>
        </w:rPr>
        <w:t xml:space="preserve"> </w:t>
      </w:r>
      <w:r w:rsidR="00C20449" w:rsidRPr="006D05D9">
        <w:rPr>
          <w:lang w:val="en-GB"/>
        </w:rPr>
        <w:t>mm higher</w:t>
      </w:r>
      <w:r w:rsidR="00401B8D" w:rsidRPr="006D05D9">
        <w:rPr>
          <w:lang w:val="en-GB"/>
        </w:rPr>
        <w:t xml:space="preserve"> than the o</w:t>
      </w:r>
      <w:r w:rsidR="00B742FF" w:rsidRPr="006D05D9">
        <w:rPr>
          <w:lang w:val="en-GB"/>
        </w:rPr>
        <w:t>riginal desk height</w:t>
      </w:r>
      <w:r w:rsidR="00401B8D" w:rsidRPr="006D05D9">
        <w:rPr>
          <w:lang w:val="en-GB"/>
        </w:rPr>
        <w:t xml:space="preserve">. Also, </w:t>
      </w:r>
      <w:r w:rsidR="007A5417" w:rsidRPr="006D05D9">
        <w:rPr>
          <w:lang w:val="en-GB"/>
        </w:rPr>
        <w:t xml:space="preserve">the amount of time performing the test could </w:t>
      </w:r>
      <w:r w:rsidR="00F1326E" w:rsidRPr="006D05D9">
        <w:rPr>
          <w:lang w:val="en-GB"/>
        </w:rPr>
        <w:t xml:space="preserve">have </w:t>
      </w:r>
      <w:r w:rsidR="007A5417" w:rsidRPr="006D05D9">
        <w:rPr>
          <w:lang w:val="en-GB"/>
        </w:rPr>
        <w:t>be</w:t>
      </w:r>
      <w:r w:rsidR="00F1326E" w:rsidRPr="006D05D9">
        <w:rPr>
          <w:lang w:val="en-GB"/>
        </w:rPr>
        <w:t>en</w:t>
      </w:r>
      <w:r w:rsidR="007A5417" w:rsidRPr="006D05D9">
        <w:rPr>
          <w:lang w:val="en-GB"/>
        </w:rPr>
        <w:t xml:space="preserve"> not </w:t>
      </w:r>
      <w:r w:rsidR="00F97F5F" w:rsidRPr="006D05D9">
        <w:rPr>
          <w:lang w:val="en-GB"/>
        </w:rPr>
        <w:t xml:space="preserve">big </w:t>
      </w:r>
      <w:r w:rsidR="007A5417" w:rsidRPr="006D05D9">
        <w:rPr>
          <w:lang w:val="en-GB"/>
        </w:rPr>
        <w:t xml:space="preserve">enough to </w:t>
      </w:r>
      <w:r w:rsidR="00F97F5F" w:rsidRPr="006D05D9">
        <w:rPr>
          <w:lang w:val="en-GB"/>
        </w:rPr>
        <w:t>show</w:t>
      </w:r>
      <w:r w:rsidR="007A5417" w:rsidRPr="006D05D9">
        <w:rPr>
          <w:lang w:val="en-GB"/>
        </w:rPr>
        <w:t xml:space="preserve"> difference</w:t>
      </w:r>
      <w:r w:rsidR="00F97F5F" w:rsidRPr="006D05D9">
        <w:rPr>
          <w:lang w:val="en-GB"/>
        </w:rPr>
        <w:t>s</w:t>
      </w:r>
      <w:r w:rsidR="007A5417" w:rsidRPr="006D05D9">
        <w:rPr>
          <w:lang w:val="en-GB"/>
        </w:rPr>
        <w:t xml:space="preserve"> between t</w:t>
      </w:r>
      <w:r w:rsidR="00F71C32" w:rsidRPr="006D05D9">
        <w:rPr>
          <w:lang w:val="en-GB"/>
        </w:rPr>
        <w:t>he two conditions</w:t>
      </w:r>
      <w:r w:rsidR="00312AF1" w:rsidRPr="006D05D9">
        <w:rPr>
          <w:lang w:val="en-GB"/>
        </w:rPr>
        <w:t>. The study</w:t>
      </w:r>
      <w:r w:rsidR="004258C4" w:rsidRPr="006D05D9">
        <w:rPr>
          <w:lang w:val="en-GB"/>
        </w:rPr>
        <w:t xml:space="preserve"> by</w:t>
      </w:r>
      <w:r w:rsidR="00D821FA" w:rsidRPr="006D05D9">
        <w:rPr>
          <w:lang w:val="en-GB"/>
        </w:rPr>
        <w:t xml:space="preserve"> Kar and Hedge,</w:t>
      </w:r>
      <w:r w:rsidR="00312AF1" w:rsidRPr="006D05D9">
        <w:rPr>
          <w:lang w:val="en-GB"/>
        </w:rPr>
        <w:t xml:space="preserve"> </w:t>
      </w:r>
      <w:r w:rsidR="00114AA9" w:rsidRPr="006D05D9">
        <w:rPr>
          <w:lang w:val="en-GB"/>
        </w:rPr>
        <w:fldChar w:fldCharType="begin" w:fldLock="1"/>
      </w:r>
      <w:r w:rsidR="00D821FA" w:rsidRPr="006D05D9">
        <w:rPr>
          <w:lang w:val="en-GB"/>
        </w:rPr>
        <w:instrText>ADDIN CSL_CITATION {"citationItems":[{"id":"ITEM-1","itemData":{"DOI":"10.1016/j.apergo.2020.103211","ISSN":"18729126","PMID":"32818838","abstract":"Objective: Compare musculoskeletal discomfort, productivity, postural risks, and perceived fatigue for a sit-stand-walk intervention between two workstation configurations – one, individually customized for office workers according to ergonomic guidelines (Ergo-Fit); another, self-adjusted by office workers according to their preference (Self-Adjusted). Methods: 36 participants performed a 60-min computer typing task in both configurations using a within-participants, counterbalanced design. Musculoskeletal discomfort and perceived fatigue were reported through surveys; productivity was operationalized by typing speed and typing error; postural risks were assessed by RULA for seated work, and REBA for standing work. Results: Musculoskeletal discomfort and perceived fatigue did not vary significantly between configurations. Postural risks for seated and standing work were significantly lower for Ergo-Fit configuration; productivity was significantly higher for Self-Adjusted configuration. Conclusion: Use of Ergo-Fit configuration for a sit-stand-walk intervention can facilitate postural transitions and increase physical activity, while enabling neutral postures in seated and standing work to minimize postural risks.","author":[{"dropping-particle":"","family":"Kar","given":"Gourab","non-dropping-particle":"","parse-names":false,"suffix":""},{"dropping-particle":"","family":"Hedge","given":"Alan","non-dropping-particle":"","parse-names":false,"suffix":""}],"container-title":"Applied Ergonomics","id":"ITEM-1","issue":"August 2020","issued":{"date-parts":[["2021"]]},"publisher":"Elsevier Ltd","title":"Effect of workstation configuration on musculoskeletal discomfort, productivity, postural risks, and perceived fatigue in a sit-stand-walk intervention for computer-based work","type":"article-journal","volume":"90"},"uris":["http://www.mendeley.com/documents/?uuid=d8211043-6fdf-49ef-9d32-cfba49ce6546"]}],"mendeley":{"formattedCitation":"(Kar and Hedge, 2021)","manualFormatting":" (2021)","plainTextFormattedCitation":"(Kar and Hedge, 2021)","previouslyFormattedCitation":"(Kar and Hedge, 2021)"},"properties":{"noteIndex":0},"schema":"https://github.com/citation-style-language/schema/raw/master/csl-citation.json"}</w:instrText>
      </w:r>
      <w:r w:rsidR="00114AA9" w:rsidRPr="006D05D9">
        <w:rPr>
          <w:lang w:val="en-GB"/>
        </w:rPr>
        <w:fldChar w:fldCharType="separate"/>
      </w:r>
      <w:r w:rsidR="00114AA9" w:rsidRPr="006D05D9">
        <w:rPr>
          <w:lang w:val="en-GB"/>
        </w:rPr>
        <w:t xml:space="preserve"> </w:t>
      </w:r>
      <w:r w:rsidR="00D821FA" w:rsidRPr="006D05D9">
        <w:rPr>
          <w:lang w:val="en-GB"/>
        </w:rPr>
        <w:t>(</w:t>
      </w:r>
      <w:r w:rsidR="00114AA9" w:rsidRPr="006D05D9">
        <w:rPr>
          <w:lang w:val="en-GB"/>
        </w:rPr>
        <w:t>2021)</w:t>
      </w:r>
      <w:r w:rsidR="00114AA9" w:rsidRPr="006D05D9">
        <w:rPr>
          <w:lang w:val="en-GB"/>
        </w:rPr>
        <w:fldChar w:fldCharType="end"/>
      </w:r>
      <w:r w:rsidR="00114AA9" w:rsidRPr="006D05D9">
        <w:rPr>
          <w:lang w:val="en-GB"/>
        </w:rPr>
        <w:t xml:space="preserve"> did not show differences in </w:t>
      </w:r>
      <w:r w:rsidR="008D1989" w:rsidRPr="006D05D9">
        <w:rPr>
          <w:lang w:val="en-GB"/>
        </w:rPr>
        <w:t>discomfort</w:t>
      </w:r>
      <w:r w:rsidR="00531992" w:rsidRPr="006D05D9">
        <w:rPr>
          <w:lang w:val="en-GB"/>
        </w:rPr>
        <w:t xml:space="preserve"> </w:t>
      </w:r>
      <w:r w:rsidR="004258C4" w:rsidRPr="006D05D9">
        <w:rPr>
          <w:lang w:val="en-GB"/>
        </w:rPr>
        <w:t xml:space="preserve">when </w:t>
      </w:r>
      <w:r w:rsidR="00531992" w:rsidRPr="006D05D9">
        <w:rPr>
          <w:lang w:val="en-GB"/>
        </w:rPr>
        <w:t>comparing two workstation configurations</w:t>
      </w:r>
      <w:r w:rsidR="00B67971" w:rsidRPr="006D05D9">
        <w:rPr>
          <w:lang w:val="en-GB"/>
        </w:rPr>
        <w:t xml:space="preserve"> during </w:t>
      </w:r>
      <w:r w:rsidR="007046B7" w:rsidRPr="006D05D9">
        <w:rPr>
          <w:lang w:val="en-GB"/>
        </w:rPr>
        <w:t>a test</w:t>
      </w:r>
      <w:r w:rsidR="00B67971" w:rsidRPr="006D05D9">
        <w:rPr>
          <w:lang w:val="en-GB"/>
        </w:rPr>
        <w:t xml:space="preserve"> of 60 minutes each. </w:t>
      </w:r>
    </w:p>
    <w:p w14:paraId="42FB8ACB" w14:textId="77777777" w:rsidR="00EC517B" w:rsidRPr="006D05D9" w:rsidRDefault="00EC517B" w:rsidP="005746A2">
      <w:pPr>
        <w:ind w:firstLine="284"/>
        <w:rPr>
          <w:lang w:val="en-GB"/>
        </w:rPr>
      </w:pPr>
    </w:p>
    <w:p w14:paraId="6FAD336F" w14:textId="7C14BF4B" w:rsidR="005746A2" w:rsidRPr="006D05D9" w:rsidRDefault="00C07AE2" w:rsidP="005746A2">
      <w:pPr>
        <w:ind w:firstLine="284"/>
        <w:rPr>
          <w:lang w:val="en-GB"/>
        </w:rPr>
      </w:pPr>
      <w:r w:rsidRPr="006D05D9">
        <w:rPr>
          <w:lang w:val="en-GB"/>
        </w:rPr>
        <w:t>Other stud</w:t>
      </w:r>
      <w:r w:rsidR="00E32243" w:rsidRPr="006D05D9">
        <w:rPr>
          <w:lang w:val="en-GB"/>
        </w:rPr>
        <w:t>ies</w:t>
      </w:r>
      <w:r w:rsidRPr="006D05D9">
        <w:rPr>
          <w:lang w:val="en-GB"/>
        </w:rPr>
        <w:t xml:space="preserve"> present</w:t>
      </w:r>
      <w:r w:rsidR="00E32243" w:rsidRPr="006D05D9">
        <w:rPr>
          <w:lang w:val="en-GB"/>
        </w:rPr>
        <w:t>ed</w:t>
      </w:r>
      <w:r w:rsidRPr="006D05D9">
        <w:rPr>
          <w:lang w:val="en-GB"/>
        </w:rPr>
        <w:t xml:space="preserve"> difference</w:t>
      </w:r>
      <w:r w:rsidR="004258C4" w:rsidRPr="006D05D9">
        <w:rPr>
          <w:lang w:val="en-GB"/>
        </w:rPr>
        <w:t>s</w:t>
      </w:r>
      <w:r w:rsidR="00E32243" w:rsidRPr="006D05D9">
        <w:rPr>
          <w:lang w:val="en-GB"/>
        </w:rPr>
        <w:t xml:space="preserve">, </w:t>
      </w:r>
      <w:r w:rsidRPr="006D05D9">
        <w:rPr>
          <w:lang w:val="en-GB"/>
        </w:rPr>
        <w:t xml:space="preserve">but the time of </w:t>
      </w:r>
      <w:r w:rsidR="00B67971" w:rsidRPr="006D05D9">
        <w:rPr>
          <w:lang w:val="en-GB"/>
        </w:rPr>
        <w:t>intervention</w:t>
      </w:r>
      <w:r w:rsidRPr="006D05D9">
        <w:rPr>
          <w:lang w:val="en-GB"/>
        </w:rPr>
        <w:t xml:space="preserve"> range</w:t>
      </w:r>
      <w:r w:rsidR="00E32243" w:rsidRPr="006D05D9">
        <w:rPr>
          <w:lang w:val="en-GB"/>
        </w:rPr>
        <w:t>d</w:t>
      </w:r>
      <w:r w:rsidRPr="006D05D9">
        <w:rPr>
          <w:lang w:val="en-GB"/>
        </w:rPr>
        <w:t xml:space="preserve"> </w:t>
      </w:r>
      <w:r w:rsidR="00752592" w:rsidRPr="006D05D9">
        <w:rPr>
          <w:lang w:val="en-GB"/>
        </w:rPr>
        <w:t>from</w:t>
      </w:r>
      <w:r w:rsidR="00FD17CD" w:rsidRPr="006D05D9">
        <w:rPr>
          <w:lang w:val="en-GB"/>
        </w:rPr>
        <w:t xml:space="preserve"> 4 hours </w:t>
      </w:r>
      <w:r w:rsidR="00FD17CD" w:rsidRPr="006D05D9">
        <w:rPr>
          <w:lang w:val="en-GB"/>
        </w:rPr>
        <w:fldChar w:fldCharType="begin" w:fldLock="1"/>
      </w:r>
      <w:r w:rsidR="00545403" w:rsidRPr="006D05D9">
        <w:rPr>
          <w:lang w:val="en-GB"/>
        </w:rPr>
        <w:instrText>ADDIN CSL_CITATION {"citationItems":[{"id":"ITEM-1","itemData":{"DOI":"10.1016/j.apergo.2020.103225","ISSN":"18729126","PMID":"32755740","abstract":"This study examined the characteristics of perceived discomfort and postural shifts at different magnitudes during a 4-h sitting period and the association between perceived discomfort and number of postural shifts. Forty healthy participants continuously typed a standardized text passage at a computer work station for 4 h. Subjects rated perceived body discomfort using Borg's CR-10 scale in 10 body regions (i.e. neck, shoulder, elbow, wrist/hand, upper back, lower back, buttock, thigh, knee, and ankle/foot). A seat pressure mat device was used to gather seat pressure data during sitting. Postural shifts were determined by analysis of the dispersion index of both ischial tuberosities from seat pressure data. The threshold for a postural shift was set at ±10% and ±20%. Perceived discomfort in all body regions increased continuously during a 4-h sitting period. The body regions with the highest perceived discomfort were the low back, buttocks, upper back, thigh, and neck. The average (±SD) numbers of postural shifts during the 1st, 2nd, 3rd, and 4th hour of sitting were 14.8 ± 9.5, 17.8 ± 9.4, 18.2 ± 11.1, and 18.1 ± 9.8 shifts per hour for the 10% threshold, and were 4.8 ± 4.4, 6.0 ± 5.6, 7.4 ± 6.7, and 7.7 ± 6.6 shifts per hour for the 20% threshold, respectively. Prolonged sitting led to an increase in perceived musculoskeletal discomfort over time. The number of postural shifts at both magnitudes increased in the first 2 h of sitting and, in the second 2-h period of sitting, only the number of larger postural shifts (with 20% threshold) increased. The findings extend our understanding of sitting behaviors.","author":[{"dropping-particle":"","family":"Waongenngarm","given":"Pooriput","non-dropping-particle":"","parse-names":false,"suffix":""},{"dropping-particle":"","family":"Beek","given":"Allard J.","non-dropping-particle":"van der","parse-names":false,"suffix":""},{"dropping-particle":"","family":"Akkarakittichoke","given":"Nipaporn","non-dropping-particle":"","parse-names":false,"suffix":""},{"dropping-particle":"","family":"Janwantanakul","given":"Prawit","non-dropping-particle":"","parse-names":false,"suffix":""}],"container-title":"Applied Ergonomics","id":"ITEM-1","issue":"August","issued":{"date-parts":[["2020"]]},"page":"103225","publisher":"Elsevier Ltd","title":"Perceived musculoskeletal discomfort and its association with postural shifts during 4-h prolonged sitting in office workers","type":"article-journal","volume":"89"},"uris":["http://www.mendeley.com/documents/?uuid=769a9dce-150a-4d07-a9e2-d42ae1319010"]}],"mendeley":{"formattedCitation":"(Waongenngarm et al., 2020)","plainTextFormattedCitation":"(Waongenngarm et al., 2020)","previouslyFormattedCitation":"(Waongenngarm et al., 2020)"},"properties":{"noteIndex":0},"schema":"https://github.com/citation-style-language/schema/raw/master/csl-citation.json"}</w:instrText>
      </w:r>
      <w:r w:rsidR="00FD17CD" w:rsidRPr="006D05D9">
        <w:rPr>
          <w:lang w:val="en-GB"/>
        </w:rPr>
        <w:fldChar w:fldCharType="separate"/>
      </w:r>
      <w:r w:rsidR="00FD17CD" w:rsidRPr="006D05D9">
        <w:rPr>
          <w:lang w:val="en-GB"/>
        </w:rPr>
        <w:t>(Waongenngarm et al., 2020)</w:t>
      </w:r>
      <w:r w:rsidR="00FD17CD" w:rsidRPr="006D05D9">
        <w:rPr>
          <w:lang w:val="en-GB"/>
        </w:rPr>
        <w:fldChar w:fldCharType="end"/>
      </w:r>
      <w:r w:rsidR="00A45B34" w:rsidRPr="006D05D9">
        <w:rPr>
          <w:lang w:val="en-GB"/>
        </w:rPr>
        <w:t xml:space="preserve"> </w:t>
      </w:r>
      <w:r w:rsidR="00FD17CD" w:rsidRPr="006D05D9">
        <w:rPr>
          <w:lang w:val="en-GB"/>
        </w:rPr>
        <w:t xml:space="preserve">to </w:t>
      </w:r>
      <w:r w:rsidR="00752592" w:rsidRPr="006D05D9">
        <w:rPr>
          <w:lang w:val="en-GB"/>
        </w:rPr>
        <w:t xml:space="preserve"> 3 month</w:t>
      </w:r>
      <w:r w:rsidR="00E32243" w:rsidRPr="006D05D9">
        <w:rPr>
          <w:lang w:val="en-GB"/>
        </w:rPr>
        <w:t>s</w:t>
      </w:r>
      <w:r w:rsidR="00752592" w:rsidRPr="006D05D9">
        <w:rPr>
          <w:lang w:val="en-GB"/>
        </w:rPr>
        <w:t xml:space="preserve"> </w:t>
      </w:r>
      <w:r w:rsidR="009C5A2A" w:rsidRPr="006D05D9">
        <w:rPr>
          <w:lang w:val="en-GB"/>
        </w:rPr>
        <w:fldChar w:fldCharType="begin" w:fldLock="1"/>
      </w:r>
      <w:r w:rsidR="00741BAD" w:rsidRPr="006D05D9">
        <w:rPr>
          <w:lang w:val="en-GB"/>
        </w:rPr>
        <w:instrText>ADDIN CSL_CITATION {"citationItems":[{"id":"ITEM-1","itemData":{"DOI":"10.1016/j.apergo.2022.103738","ISSN":"18729126","PMID":"35247831","abstract":"This study aimed to evaluate the effects of workstation adjustment to reduce postural exposure and perceived discomfort among office workers in a cluster randomized controlled trial. Experimental (EG, n = 31) and control groups (CG, n = 30) were compared before (pre-intervention), immediately (post-intervention), and 3 months after (follow up) the intervention. EG received workstation adjustments and CG did not received the intervention. Postural exposure of head, upper back and upper arms was objectively measured by inclinometers. Overall level of perceived discomfort for the whole body was evaluated using a visual analogue scale (0–100 mm). EG showed a statistically significant reduction on the head (pre: 10.1°, SD 5.7°; post: 6.6°, SD 4.7°) and upper back flexion (pre: 15.4°, SD 10.7°; post: 10.4°, SD 8.4°) from pre to post-intervention. EG also showed a statistically significant reduction from pre (50.7°, SD 9.5°) to post-intervention (42.1°, SD 7.6°) and from pre to follow up (41.6°, SD 6.5°) on upper arm elevation. CG did not show any difference between evaluations. Perceived discomfort increased 7.2 (SD 2.0) mm in CG and decreased 22.1 (SD 2.2) mm in EG between pre and post intervention. The variation between pre intervention and follow up was 4.5 (SD 1.2) mm increase for the CG and 24.1 (SD 1.5) mm of reduction for the EG (P &lt; 0.01). There was no significant difference for the post intervention and follow up for both groups (P &gt; 0.05). The results show evidence of the workstation adjustment to reduce postural exposure and perceived discomfort among office workers.","author":[{"dropping-particle":"","family":"Cabegi de Barros","given":"Fernanda","non-dropping-particle":"","parse-names":false,"suffix":""},{"dropping-particle":"","family":"Moriguchi","given":"Cristiane Shinohara","non-dropping-particle":"","parse-names":false,"suffix":""},{"dropping-particle":"","family":"Oliveira Sato","given":"Tatiana","non-dropping-particle":"de","parse-names":false,"suffix":""}],"container-title":"Applied Ergonomics","id":"ITEM-1","issue":"February","issued":{"date-parts":[["2022"]]},"page":"103738","publisher":"Elsevier Ltd","title":"Effects of workstation adjustment to reduce postural exposure and perceived discomfort among office workers - A cluster randomized controlled trial","type":"article-journal","volume":"102"},"uris":["http://www.mendeley.com/documents/?uuid=d8d546a4-e0d5-436d-871c-0dbb70294e87"]}],"mendeley":{"formattedCitation":"(Cabegi de Barros et al., 2022)","plainTextFormattedCitation":"(Cabegi de Barros et al., 2022)","previouslyFormattedCitation":"(Cabegi de Barros et al., 2022)"},"properties":{"noteIndex":0},"schema":"https://github.com/citation-style-language/schema/raw/master/csl-citation.json"}</w:instrText>
      </w:r>
      <w:r w:rsidR="009C5A2A" w:rsidRPr="006D05D9">
        <w:rPr>
          <w:lang w:val="en-GB"/>
        </w:rPr>
        <w:fldChar w:fldCharType="separate"/>
      </w:r>
      <w:r w:rsidR="009C5A2A" w:rsidRPr="006D05D9">
        <w:rPr>
          <w:lang w:val="en-GB"/>
        </w:rPr>
        <w:t>(Cabegi de Barros et al., 2022)</w:t>
      </w:r>
      <w:r w:rsidR="009C5A2A" w:rsidRPr="006D05D9">
        <w:rPr>
          <w:lang w:val="en-GB"/>
        </w:rPr>
        <w:fldChar w:fldCharType="end"/>
      </w:r>
      <w:r w:rsidR="00F41FE4" w:rsidRPr="006D05D9">
        <w:rPr>
          <w:lang w:val="en-GB"/>
        </w:rPr>
        <w:t>.</w:t>
      </w:r>
      <w:r w:rsidR="00A45B34" w:rsidRPr="006D05D9">
        <w:rPr>
          <w:lang w:val="en-GB"/>
        </w:rPr>
        <w:t xml:space="preserve"> </w:t>
      </w:r>
      <w:r w:rsidR="005C07C6" w:rsidRPr="006D05D9">
        <w:rPr>
          <w:lang w:val="en-GB"/>
        </w:rPr>
        <w:t>Prolonged</w:t>
      </w:r>
      <w:r w:rsidR="002C24FC" w:rsidRPr="006D05D9">
        <w:rPr>
          <w:lang w:val="en-GB"/>
        </w:rPr>
        <w:t xml:space="preserve"> seating in experimental settings </w:t>
      </w:r>
      <w:r w:rsidR="00D821FA" w:rsidRPr="006D05D9">
        <w:rPr>
          <w:lang w:val="en-GB"/>
        </w:rPr>
        <w:t>must</w:t>
      </w:r>
      <w:r w:rsidR="002C24FC" w:rsidRPr="006D05D9">
        <w:rPr>
          <w:lang w:val="en-GB"/>
        </w:rPr>
        <w:t xml:space="preserve"> be </w:t>
      </w:r>
      <w:r w:rsidR="00F77F58" w:rsidRPr="006D05D9">
        <w:rPr>
          <w:lang w:val="en-GB"/>
        </w:rPr>
        <w:t xml:space="preserve">carefully </w:t>
      </w:r>
      <w:r w:rsidR="00D821FA" w:rsidRPr="006D05D9">
        <w:rPr>
          <w:lang w:val="en-GB"/>
        </w:rPr>
        <w:t>considered</w:t>
      </w:r>
      <w:r w:rsidR="00F77F58" w:rsidRPr="006D05D9">
        <w:rPr>
          <w:lang w:val="en-GB"/>
        </w:rPr>
        <w:t xml:space="preserve"> </w:t>
      </w:r>
      <w:r w:rsidR="00B82743" w:rsidRPr="006D05D9">
        <w:rPr>
          <w:lang w:val="en-GB"/>
        </w:rPr>
        <w:t>to</w:t>
      </w:r>
      <w:r w:rsidR="00F77F58" w:rsidRPr="006D05D9">
        <w:rPr>
          <w:lang w:val="en-GB"/>
        </w:rPr>
        <w:t xml:space="preserve"> not induce any damage in </w:t>
      </w:r>
      <w:r w:rsidR="00C80D6B" w:rsidRPr="006D05D9">
        <w:rPr>
          <w:lang w:val="en-GB"/>
        </w:rPr>
        <w:t>the</w:t>
      </w:r>
      <w:r w:rsidR="00F77F58" w:rsidRPr="006D05D9">
        <w:rPr>
          <w:lang w:val="en-GB"/>
        </w:rPr>
        <w:t xml:space="preserve"> subjects. For example, t</w:t>
      </w:r>
      <w:r w:rsidR="00A45B34" w:rsidRPr="006D05D9">
        <w:rPr>
          <w:lang w:val="en-GB"/>
        </w:rPr>
        <w:t xml:space="preserve">he study </w:t>
      </w:r>
      <w:r w:rsidR="005C169D" w:rsidRPr="006D05D9">
        <w:rPr>
          <w:lang w:val="en-GB"/>
        </w:rPr>
        <w:t xml:space="preserve">of  Christensen et al. </w:t>
      </w:r>
      <w:r w:rsidR="005C169D" w:rsidRPr="006D05D9">
        <w:rPr>
          <w:lang w:val="en-GB"/>
        </w:rPr>
        <w:fldChar w:fldCharType="begin" w:fldLock="1"/>
      </w:r>
      <w:r w:rsidR="00984030" w:rsidRPr="006D05D9">
        <w:rPr>
          <w:lang w:val="en-GB"/>
        </w:rPr>
        <w:instrText>ADDIN CSL_CITATION {"citationItems":[{"id":"ITEM-1","itemData":{"DOI":"10.1016/j.apergo.2023.104020","ISSN":"18729126","PMID":"36958253","abstract":"Introduction: Sitting posture may contribute to spinal pain. Effects of postures on pain, sensitivity and muscle activity during computer tasks were investigated. Methods: Twenty-five healthy participants, seated at a workstation without backrest, completed four, 15-min typing tasks: A)Upright with forearm-support; B)Upright without forearm-support; C)Slumped with forearm-support; D)Slumped without forearm-support. Participants rated pain every minute on a numerical rating scale (NRS). RMS-EMG was recorded from upper/lower trapezius (UT, LT), serratus anterior and anterior/middle deltoid. At baseline and after tasks, pressure pain thresholds (PPTs) were recorded bilaterally over the head, UT, and leg. Results: All tasks caused clinically relevant increased NRS (≥2/10) compared to baseline (P &lt; 0.001). NRS was higher in Task-D (P &lt; 0.003) and lower in Task-B (P &lt; 0.005) than others. PPTs did not change from baseline. Task-D caused higher UT and LT RMS-EMG (P &lt; 0.02) than other tasks. Conclusion: A 15-min task caused pain irrespective of posture with some causing larger changes than others.","author":[{"dropping-particle":"","family":"Christensen","given":"Steffan Wittrup Mc Phee","non-dropping-particle":"","parse-names":false,"suffix":""},{"dropping-particle":"","family":"Palsson","given":"Thorvaldur Skuli","non-dropping-particle":"","parse-names":false,"suffix":""},{"dropping-particle":"","family":"Krebs","given":"Hans Jørgen","non-dropping-particle":"","parse-names":false,"suffix":""},{"dropping-particle":"","family":"Graven-Nielsen","given":"Thomas","non-dropping-particle":"","parse-names":false,"suffix":""},{"dropping-particle":"","family":"Hirata","given":"Rogerio Pessoto","non-dropping-particle":"","parse-names":false,"suffix":""}],"container-title":"Applied Ergonomics","id":"ITEM-1","issue":"March","issued":{"date-parts":[["2023"]]},"title":"Prolonged slumped sitting causes neck pain and increased axioscapular muscle activity during a computer task in healthy participants – A randomized crossover study","type":"article-journal","volume":"110"},"uris":["http://www.mendeley.com/documents/?uuid=821e956a-f162-4199-8094-688754967684"]}],"mendeley":{"formattedCitation":"(Christensen et al., 2023)","manualFormatting":"(2023)","plainTextFormattedCitation":"(Christensen et al., 2023)","previouslyFormattedCitation":"(Christensen et al., 2023)"},"properties":{"noteIndex":0},"schema":"https://github.com/citation-style-language/schema/raw/master/csl-citation.json"}</w:instrText>
      </w:r>
      <w:r w:rsidR="005C169D" w:rsidRPr="006D05D9">
        <w:rPr>
          <w:lang w:val="en-GB"/>
        </w:rPr>
        <w:fldChar w:fldCharType="separate"/>
      </w:r>
      <w:r w:rsidR="005C169D" w:rsidRPr="006D05D9">
        <w:rPr>
          <w:lang w:val="en-GB"/>
        </w:rPr>
        <w:t>(2023)</w:t>
      </w:r>
      <w:r w:rsidR="005C169D" w:rsidRPr="006D05D9">
        <w:rPr>
          <w:lang w:val="en-GB"/>
        </w:rPr>
        <w:fldChar w:fldCharType="end"/>
      </w:r>
      <w:r w:rsidR="005C169D" w:rsidRPr="006D05D9">
        <w:rPr>
          <w:lang w:val="en-GB"/>
        </w:rPr>
        <w:t xml:space="preserve"> </w:t>
      </w:r>
      <w:r w:rsidR="00A45B34" w:rsidRPr="006D05D9">
        <w:rPr>
          <w:lang w:val="en-GB"/>
        </w:rPr>
        <w:t xml:space="preserve">shows that with 15 minutes </w:t>
      </w:r>
      <w:r w:rsidR="007E6A6E" w:rsidRPr="006D05D9">
        <w:rPr>
          <w:lang w:val="en-GB"/>
        </w:rPr>
        <w:t xml:space="preserve">seated computer task caused </w:t>
      </w:r>
      <w:r w:rsidR="002C24FC" w:rsidRPr="006D05D9">
        <w:rPr>
          <w:lang w:val="en-GB"/>
        </w:rPr>
        <w:t xml:space="preserve">neck </w:t>
      </w:r>
      <w:r w:rsidR="007E6A6E" w:rsidRPr="006D05D9">
        <w:rPr>
          <w:lang w:val="en-GB"/>
        </w:rPr>
        <w:t>pain in an otherwise healthy population, irrespective of sitting posture</w:t>
      </w:r>
      <w:r w:rsidR="00B82743" w:rsidRPr="006D05D9">
        <w:rPr>
          <w:lang w:val="en-GB"/>
        </w:rPr>
        <w:t>.</w:t>
      </w:r>
      <w:r w:rsidR="002C24FC" w:rsidRPr="006D05D9">
        <w:rPr>
          <w:lang w:val="en-GB"/>
        </w:rPr>
        <w:t xml:space="preserve"> </w:t>
      </w:r>
      <w:r w:rsidR="005C169D" w:rsidRPr="006D05D9">
        <w:rPr>
          <w:lang w:val="en-GB"/>
        </w:rPr>
        <w:t>Also the study of</w:t>
      </w:r>
      <w:r w:rsidR="00984030" w:rsidRPr="006D05D9">
        <w:rPr>
          <w:lang w:val="en-GB"/>
        </w:rPr>
        <w:t xml:space="preserve"> Nunes et al.</w:t>
      </w:r>
      <w:r w:rsidR="005C169D" w:rsidRPr="006D05D9">
        <w:rPr>
          <w:lang w:val="en-GB"/>
        </w:rPr>
        <w:t xml:space="preserve"> </w:t>
      </w:r>
      <w:r w:rsidR="00984030" w:rsidRPr="006D05D9">
        <w:rPr>
          <w:lang w:val="en-GB"/>
        </w:rPr>
        <w:fldChar w:fldCharType="begin" w:fldLock="1"/>
      </w:r>
      <w:r w:rsidR="000A68D5" w:rsidRPr="006D05D9">
        <w:rPr>
          <w:lang w:val="en-GB"/>
        </w:rPr>
        <w:instrText>ADDIN CSL_CITATION {"citationItems":[{"id":"ITEM-1","itemData":{"DOI":"10.1016/j.ergon.2021.103172","ISSN":"18728219","abstract":"Objective: This study aimed to assess the prevalence of neck pain and to identify associated occupational factors in Portuguese office workers. Background: There is still necessary to quantify the association of the use of new technologies with neck pain in office workers. Methods: Six hundred-and-one office workers completed online questionnaires with questions related to anthropometric parameters, work-related variables, workstation setup, and musculoskeletal pain from the Portuguese version of the Standardized Nordic Musculoskeletal Questionnaire. Results: The prevalence of neck pain was 56.1%. An average of 35.6% of the office workers with neck pain reported pain in more than three body segments. The significantly risk factors were “age between 50 and 65” [OR: 1.92 (1.26–2.91) P = 0.002], “working without break for 2 h” [OR: 1.82 (1.00–3.31) P = 0.05], “more than 3 h” [OR: 2.41 (1.35–4.10) P = 0.003], screen localization not centered” [OR: 2.01 (1.01–4.00) P = 0.045], and “use of computer mouse more than 50% of the worktime” [OR: 2.05 (1.14–3.71) P = 0.017]. Conclusion: There was a high prevalence of neck pain and a considerable number of painful body segments in office workers. Age, working without break, screen localization and the use of computer mouse where the significant risk factors associated with the development of neck pain. Relevance to industry: A high prevalence of neck pain and number of areas with pain in office workers require a detailed pain mechanism assessment. There were associated occupational risk factors for the development of neck pain. Call for concerted actions to explore optimal and efficient management plans.","author":[{"dropping-particle":"","family":"Nunes","given":"A.","non-dropping-particle":"","parse-names":false,"suffix":""},{"dropping-particle":"","family":"Espanha","given":"M.","non-dropping-particle":"","parse-names":false,"suffix":""},{"dropping-particle":"","family":"Teles","given":"J.","non-dropping-particle":"","parse-names":false,"suffix":""},{"dropping-particle":"","family":"Petersen","given":"K.","non-dropping-particle":"","parse-names":false,"suffix":""},{"dropping-particle":"","family":"Arendt-Nielsen","given":"L.","non-dropping-particle":"","parse-names":false,"suffix":""},{"dropping-particle":"","family":"Carnide","given":"F.","non-dropping-particle":"","parse-names":false,"suffix":""}],"container-title":"International Journal of Industrial Ergonomics","id":"ITEM-1","issue":"June","issued":{"date-parts":[["2021"]]},"page":"103172","publisher":"Elsevier B.V.","title":"Neck pain prevalence and associated occupational factors in Portuguese office workers","type":"article-journal","volume":"85"},"uris":["http://www.mendeley.com/documents/?uuid=d8cf2baf-62c5-4a40-b677-a744f2808a14"]}],"mendeley":{"formattedCitation":"(Nunes et al., 2021)","manualFormatting":"(2021)","plainTextFormattedCitation":"(Nunes et al., 2021)","previouslyFormattedCitation":"(Nunes et al., 2021)"},"properties":{"noteIndex":0},"schema":"https://github.com/citation-style-language/schema/raw/master/csl-citation.json"}</w:instrText>
      </w:r>
      <w:r w:rsidR="00984030" w:rsidRPr="006D05D9">
        <w:rPr>
          <w:lang w:val="en-GB"/>
        </w:rPr>
        <w:fldChar w:fldCharType="separate"/>
      </w:r>
      <w:r w:rsidR="00984030" w:rsidRPr="006D05D9">
        <w:rPr>
          <w:lang w:val="en-GB"/>
        </w:rPr>
        <w:t>(2021)</w:t>
      </w:r>
      <w:r w:rsidR="00984030" w:rsidRPr="006D05D9">
        <w:rPr>
          <w:lang w:val="en-GB"/>
        </w:rPr>
        <w:fldChar w:fldCharType="end"/>
      </w:r>
      <w:r w:rsidR="005C169D" w:rsidRPr="006D05D9">
        <w:rPr>
          <w:lang w:val="en-GB"/>
        </w:rPr>
        <w:t xml:space="preserve"> show</w:t>
      </w:r>
      <w:r w:rsidR="00104BC9" w:rsidRPr="006D05D9">
        <w:rPr>
          <w:lang w:val="en-GB"/>
        </w:rPr>
        <w:t>ed</w:t>
      </w:r>
      <w:r w:rsidR="005C169D" w:rsidRPr="006D05D9">
        <w:rPr>
          <w:lang w:val="en-GB"/>
        </w:rPr>
        <w:t xml:space="preserve"> that  the significantly risk factors for neck pain were “working without </w:t>
      </w:r>
      <w:r w:rsidR="00104BC9" w:rsidRPr="006D05D9">
        <w:rPr>
          <w:lang w:val="en-GB"/>
        </w:rPr>
        <w:t xml:space="preserve">a </w:t>
      </w:r>
      <w:r w:rsidR="005C169D" w:rsidRPr="006D05D9">
        <w:rPr>
          <w:lang w:val="en-GB"/>
        </w:rPr>
        <w:t>break for 2 h” [OR: 1.82 (1.00–3.31) P = 0.05] or “more than 3 h”.</w:t>
      </w:r>
      <w:r w:rsidR="00104BC9" w:rsidRPr="006D05D9">
        <w:rPr>
          <w:lang w:val="en-GB"/>
        </w:rPr>
        <w:t xml:space="preserve"> In </w:t>
      </w:r>
      <w:r w:rsidR="00B82743" w:rsidRPr="006D05D9">
        <w:rPr>
          <w:lang w:val="en-GB"/>
        </w:rPr>
        <w:t>general,</w:t>
      </w:r>
      <w:r w:rsidR="00104BC9" w:rsidRPr="006D05D9">
        <w:rPr>
          <w:lang w:val="en-GB"/>
        </w:rPr>
        <w:t xml:space="preserve"> experimental protocols go </w:t>
      </w:r>
      <w:r w:rsidR="003D4053" w:rsidRPr="006D05D9">
        <w:rPr>
          <w:lang w:val="en-GB"/>
        </w:rPr>
        <w:t>through</w:t>
      </w:r>
      <w:r w:rsidR="00104BC9" w:rsidRPr="006D05D9">
        <w:rPr>
          <w:lang w:val="en-GB"/>
        </w:rPr>
        <w:t xml:space="preserve"> review of the ethics </w:t>
      </w:r>
      <w:r w:rsidR="003D4053" w:rsidRPr="006D05D9">
        <w:rPr>
          <w:lang w:val="en-GB"/>
        </w:rPr>
        <w:t>committees</w:t>
      </w:r>
      <w:r w:rsidR="00104BC9" w:rsidRPr="006D05D9">
        <w:rPr>
          <w:lang w:val="en-GB"/>
        </w:rPr>
        <w:t xml:space="preserve">, who </w:t>
      </w:r>
      <w:r w:rsidR="000E4566" w:rsidRPr="006D05D9">
        <w:rPr>
          <w:lang w:val="en-GB"/>
        </w:rPr>
        <w:t>considering</w:t>
      </w:r>
      <w:r w:rsidR="00104BC9" w:rsidRPr="006D05D9">
        <w:rPr>
          <w:lang w:val="en-GB"/>
        </w:rPr>
        <w:t xml:space="preserve"> the presented evidence ma</w:t>
      </w:r>
      <w:r w:rsidR="00B82743" w:rsidRPr="006D05D9">
        <w:rPr>
          <w:lang w:val="en-GB"/>
        </w:rPr>
        <w:t>y</w:t>
      </w:r>
      <w:r w:rsidR="00104BC9" w:rsidRPr="006D05D9">
        <w:rPr>
          <w:lang w:val="en-GB"/>
        </w:rPr>
        <w:t xml:space="preserve"> delay or </w:t>
      </w:r>
      <w:r w:rsidR="00EA654E" w:rsidRPr="006D05D9">
        <w:rPr>
          <w:lang w:val="en-GB"/>
        </w:rPr>
        <w:t>even</w:t>
      </w:r>
      <w:r w:rsidR="00104BC9" w:rsidRPr="006D05D9">
        <w:rPr>
          <w:lang w:val="en-GB"/>
        </w:rPr>
        <w:t xml:space="preserve"> reject </w:t>
      </w:r>
      <w:r w:rsidR="00EA654E" w:rsidRPr="006D05D9">
        <w:rPr>
          <w:lang w:val="en-GB"/>
        </w:rPr>
        <w:t>projects</w:t>
      </w:r>
      <w:r w:rsidR="00104BC9" w:rsidRPr="006D05D9">
        <w:rPr>
          <w:lang w:val="en-GB"/>
        </w:rPr>
        <w:t xml:space="preserve"> that expose </w:t>
      </w:r>
      <w:r w:rsidR="003D4053" w:rsidRPr="006D05D9">
        <w:rPr>
          <w:lang w:val="en-GB"/>
        </w:rPr>
        <w:t xml:space="preserve">subjects to musculoskeletal pain. Perhaps other field studies could be used </w:t>
      </w:r>
      <w:proofErr w:type="gramStart"/>
      <w:r w:rsidR="003D4053" w:rsidRPr="006D05D9">
        <w:rPr>
          <w:lang w:val="en-GB"/>
        </w:rPr>
        <w:t>in order to</w:t>
      </w:r>
      <w:proofErr w:type="gramEnd"/>
      <w:r w:rsidR="003D4053" w:rsidRPr="006D05D9">
        <w:rPr>
          <w:lang w:val="en-GB"/>
        </w:rPr>
        <w:t xml:space="preserve"> test during long period of time in real settings </w:t>
      </w:r>
      <w:r w:rsidR="00EA654E" w:rsidRPr="006D05D9">
        <w:rPr>
          <w:lang w:val="en-GB"/>
        </w:rPr>
        <w:t>where</w:t>
      </w:r>
      <w:r w:rsidR="003D4053" w:rsidRPr="006D05D9">
        <w:rPr>
          <w:lang w:val="en-GB"/>
        </w:rPr>
        <w:t xml:space="preserve"> subjects are already exposed to prolonged seating and assess time exposure</w:t>
      </w:r>
      <w:r w:rsidR="00EA654E" w:rsidRPr="006D05D9">
        <w:rPr>
          <w:lang w:val="en-GB"/>
        </w:rPr>
        <w:t xml:space="preserve"> related to discomfort reports.</w:t>
      </w:r>
    </w:p>
    <w:p w14:paraId="01172D0F" w14:textId="77777777" w:rsidR="005C169D" w:rsidRPr="006D05D9" w:rsidRDefault="005C169D" w:rsidP="009A4388">
      <w:pPr>
        <w:rPr>
          <w:b/>
          <w:bCs/>
          <w:sz w:val="24"/>
          <w:szCs w:val="24"/>
          <w:lang w:val="en-GB"/>
        </w:rPr>
      </w:pPr>
    </w:p>
    <w:p w14:paraId="200E8CB3" w14:textId="77777777" w:rsidR="000E4566" w:rsidRPr="006D05D9" w:rsidRDefault="000E4566" w:rsidP="009A4388">
      <w:pPr>
        <w:rPr>
          <w:b/>
          <w:bCs/>
          <w:sz w:val="24"/>
          <w:szCs w:val="24"/>
          <w:lang w:val="en-GB"/>
        </w:rPr>
      </w:pPr>
    </w:p>
    <w:p w14:paraId="3CE84610" w14:textId="3BC4AEF4" w:rsidR="009A4388" w:rsidRPr="006D05D9" w:rsidRDefault="001F4EC5" w:rsidP="009A4388">
      <w:pPr>
        <w:rPr>
          <w:b/>
          <w:bCs/>
          <w:sz w:val="24"/>
          <w:szCs w:val="24"/>
          <w:lang w:val="en-GB"/>
        </w:rPr>
      </w:pPr>
      <w:r w:rsidRPr="006D05D9">
        <w:rPr>
          <w:b/>
          <w:bCs/>
          <w:sz w:val="24"/>
          <w:szCs w:val="24"/>
          <w:lang w:val="en-GB"/>
        </w:rPr>
        <w:t xml:space="preserve">4.6. </w:t>
      </w:r>
      <w:r w:rsidR="009A4388" w:rsidRPr="006D05D9">
        <w:rPr>
          <w:b/>
          <w:bCs/>
          <w:sz w:val="24"/>
          <w:szCs w:val="24"/>
          <w:lang w:val="en-GB"/>
        </w:rPr>
        <w:t>Limitations</w:t>
      </w:r>
    </w:p>
    <w:p w14:paraId="6384B89B" w14:textId="77777777" w:rsidR="00BE3384" w:rsidRPr="006D05D9" w:rsidRDefault="00BE3384" w:rsidP="00003A3C">
      <w:pPr>
        <w:spacing w:after="160"/>
        <w:ind w:firstLine="284"/>
        <w:rPr>
          <w:lang w:val="en-GB"/>
        </w:rPr>
      </w:pPr>
    </w:p>
    <w:p w14:paraId="0FF2AD53" w14:textId="4F80ADFF" w:rsidR="00646A5A" w:rsidRPr="006D05D9" w:rsidRDefault="00646A5A" w:rsidP="00003A3C">
      <w:pPr>
        <w:spacing w:after="160"/>
        <w:ind w:firstLine="284"/>
        <w:rPr>
          <w:lang w:val="en-GB"/>
        </w:rPr>
      </w:pPr>
      <w:r w:rsidRPr="006D05D9">
        <w:rPr>
          <w:lang w:val="en-GB"/>
        </w:rPr>
        <w:t>To contextualize this study, it</w:t>
      </w:r>
      <w:r w:rsidR="007F5EBC">
        <w:rPr>
          <w:lang w:val="en-GB"/>
        </w:rPr>
        <w:t xml:space="preserve"> i</w:t>
      </w:r>
      <w:r w:rsidRPr="006D05D9">
        <w:rPr>
          <w:lang w:val="en-GB"/>
        </w:rPr>
        <w:t>s important to acknowledge several limitations. Firstly, the study was conducted in laboratory settings, with each desk height tested for a relatively short 50-minute task duration. This brevity may limit the applicability of findings to educational tasks throughout a full workday. Secondly, while workstation assignments were rotated to mitigate bias, they were completed within a single session separated by a 30-minute rest break.</w:t>
      </w:r>
      <w:r w:rsidR="00545403" w:rsidRPr="006D05D9">
        <w:rPr>
          <w:lang w:val="en-GB"/>
        </w:rPr>
        <w:t xml:space="preserve"> </w:t>
      </w:r>
      <w:r w:rsidRPr="006D05D9">
        <w:rPr>
          <w:lang w:val="en-GB"/>
        </w:rPr>
        <w:t>However, despite these constraints, there were no significant differences observed between the workstations.</w:t>
      </w:r>
    </w:p>
    <w:p w14:paraId="37C60745" w14:textId="72A1D9D6" w:rsidR="00545403" w:rsidRPr="006D05D9" w:rsidRDefault="00545403" w:rsidP="00003A3C">
      <w:pPr>
        <w:spacing w:after="160"/>
        <w:ind w:firstLine="284"/>
        <w:rPr>
          <w:lang w:val="en-GB"/>
        </w:rPr>
      </w:pPr>
      <w:r w:rsidRPr="006D05D9">
        <w:rPr>
          <w:lang w:val="en-GB"/>
        </w:rPr>
        <w:lastRenderedPageBreak/>
        <w:t xml:space="preserve">For future study we recommend the measures of electromyography and posture of the lumbar region, since higher table decreased the lumbar flexion </w:t>
      </w:r>
      <w:r w:rsidRPr="006D05D9">
        <w:rPr>
          <w:lang w:val="en-GB"/>
        </w:rPr>
        <w:fldChar w:fldCharType="begin" w:fldLock="1"/>
      </w:r>
      <w:r w:rsidR="005C169D" w:rsidRPr="006D05D9">
        <w:rPr>
          <w:lang w:val="en-GB"/>
        </w:rPr>
        <w:instrText>ADDIN CSL_CITATION {"citationItems":[{"id":"ITEM-1","itemData":{"ISBN":"0850668026","author":[{"dropping-particle":"","family":"Mandal","given":"AC","non-dropping-particle":"","parse-names":false,"suffix":""}],"chapter-number":"13","container-title":"Hard Facts about Soft Machines: The ergonomics of seating","edition":"First","editor":[{"dropping-particle":"","family":"Lueder","given":"R","non-dropping-particle":"","parse-names":false,"suffix":""},{"dropping-particle":"","family":"Noro","given":"K","non-dropping-particle":"","parse-names":false,"suffix":""}],"id":"ITEM-1","issued":{"date-parts":[["1994"]]},"page":"173-178","publisher":"Taylor &amp; Francis","publisher-place":"London","title":"Influence of furniture height on posture and back pain","type":"chapter"},"uris":["http://www.mendeley.com/documents/?uuid=fac9e80a-9506-48a0-8e14-5f7ba0f2cbd7"]}],"mendeley":{"formattedCitation":"(Mandal, 1994)","plainTextFormattedCitation":"(Mandal, 1994)","previouslyFormattedCitation":"(Mandal, 1994)"},"properties":{"noteIndex":0},"schema":"https://github.com/citation-style-language/schema/raw/master/csl-citation.json"}</w:instrText>
      </w:r>
      <w:r w:rsidRPr="006D05D9">
        <w:rPr>
          <w:lang w:val="en-GB"/>
        </w:rPr>
        <w:fldChar w:fldCharType="separate"/>
      </w:r>
      <w:r w:rsidRPr="006D05D9">
        <w:rPr>
          <w:lang w:val="en-GB"/>
        </w:rPr>
        <w:t>(Mandal, 1994)</w:t>
      </w:r>
      <w:r w:rsidRPr="006D05D9">
        <w:rPr>
          <w:lang w:val="en-GB"/>
        </w:rPr>
        <w:fldChar w:fldCharType="end"/>
      </w:r>
      <w:r w:rsidRPr="006D05D9">
        <w:rPr>
          <w:lang w:val="en-GB"/>
        </w:rPr>
        <w:t>.</w:t>
      </w:r>
      <w:r w:rsidR="00E6772E" w:rsidRPr="006D05D9">
        <w:rPr>
          <w:lang w:val="en-GB"/>
        </w:rPr>
        <w:t xml:space="preserve"> Similarly, gender differences </w:t>
      </w:r>
      <w:r w:rsidR="00E6294D" w:rsidRPr="006D05D9">
        <w:rPr>
          <w:lang w:val="en-GB"/>
        </w:rPr>
        <w:t>and the</w:t>
      </w:r>
      <w:r w:rsidR="007507D9" w:rsidRPr="006D05D9">
        <w:rPr>
          <w:lang w:val="en-GB"/>
        </w:rPr>
        <w:t>i</w:t>
      </w:r>
      <w:r w:rsidR="00E6294D" w:rsidRPr="006D05D9">
        <w:rPr>
          <w:lang w:val="en-GB"/>
        </w:rPr>
        <w:t xml:space="preserve">r specific postures should be assessed </w:t>
      </w:r>
      <w:r w:rsidR="003510D0" w:rsidRPr="006D05D9">
        <w:rPr>
          <w:lang w:val="en-GB"/>
        </w:rPr>
        <w:t>to</w:t>
      </w:r>
      <w:r w:rsidR="00E6294D" w:rsidRPr="006D05D9">
        <w:rPr>
          <w:lang w:val="en-GB"/>
        </w:rPr>
        <w:t xml:space="preserve"> determine the </w:t>
      </w:r>
      <w:r w:rsidR="000E4566" w:rsidRPr="006D05D9">
        <w:rPr>
          <w:lang w:val="en-GB"/>
        </w:rPr>
        <w:t>contributions</w:t>
      </w:r>
      <w:r w:rsidR="00E6294D" w:rsidRPr="006D05D9">
        <w:rPr>
          <w:lang w:val="en-GB"/>
        </w:rPr>
        <w:t xml:space="preserve"> of </w:t>
      </w:r>
      <w:r w:rsidR="007507D9" w:rsidRPr="006D05D9">
        <w:rPr>
          <w:lang w:val="en-GB"/>
        </w:rPr>
        <w:t xml:space="preserve">gender, </w:t>
      </w:r>
      <w:proofErr w:type="gramStart"/>
      <w:r w:rsidR="007507D9" w:rsidRPr="006D05D9">
        <w:rPr>
          <w:lang w:val="en-GB"/>
        </w:rPr>
        <w:t>posture</w:t>
      </w:r>
      <w:proofErr w:type="gramEnd"/>
      <w:r w:rsidR="007507D9" w:rsidRPr="006D05D9">
        <w:rPr>
          <w:lang w:val="en-GB"/>
        </w:rPr>
        <w:t xml:space="preserve"> and preference. Finally, time of the experimental protocols should be further considered, and </w:t>
      </w:r>
      <w:r w:rsidR="000C31BD" w:rsidRPr="006D05D9">
        <w:rPr>
          <w:lang w:val="en-GB"/>
        </w:rPr>
        <w:t>possibly</w:t>
      </w:r>
      <w:r w:rsidR="007507D9" w:rsidRPr="006D05D9">
        <w:rPr>
          <w:lang w:val="en-GB"/>
        </w:rPr>
        <w:t xml:space="preserve"> field testing can be carried out to not expose subject to </w:t>
      </w:r>
      <w:r w:rsidR="000C31BD" w:rsidRPr="006D05D9">
        <w:rPr>
          <w:lang w:val="en-GB"/>
        </w:rPr>
        <w:t>unnecessary</w:t>
      </w:r>
      <w:r w:rsidR="007507D9" w:rsidRPr="006D05D9">
        <w:rPr>
          <w:lang w:val="en-GB"/>
        </w:rPr>
        <w:t xml:space="preserve"> seating time when measuring discomfort.</w:t>
      </w:r>
    </w:p>
    <w:p w14:paraId="5CCC0445" w14:textId="77777777" w:rsidR="00F201C4" w:rsidRPr="006D05D9" w:rsidRDefault="00F201C4" w:rsidP="00FB4136">
      <w:pPr>
        <w:rPr>
          <w:b/>
          <w:bCs/>
          <w:sz w:val="26"/>
          <w:szCs w:val="26"/>
          <w:lang w:val="en-GB"/>
        </w:rPr>
      </w:pPr>
    </w:p>
    <w:p w14:paraId="3CE6CB1E" w14:textId="1EDB43FD" w:rsidR="008A0730" w:rsidRPr="006D05D9" w:rsidRDefault="008A0730" w:rsidP="00FB4136">
      <w:pPr>
        <w:rPr>
          <w:b/>
          <w:bCs/>
          <w:sz w:val="26"/>
          <w:szCs w:val="26"/>
          <w:lang w:val="en-GB"/>
        </w:rPr>
      </w:pPr>
      <w:r w:rsidRPr="006D05D9">
        <w:rPr>
          <w:b/>
          <w:bCs/>
          <w:sz w:val="26"/>
          <w:szCs w:val="26"/>
          <w:lang w:val="en-GB"/>
        </w:rPr>
        <w:t>5. Conclusion</w:t>
      </w:r>
    </w:p>
    <w:p w14:paraId="695DFF9C" w14:textId="77777777" w:rsidR="008A0730" w:rsidRPr="006D05D9" w:rsidRDefault="008A0730" w:rsidP="00FB4136">
      <w:pPr>
        <w:rPr>
          <w:lang w:val="en-GB"/>
        </w:rPr>
      </w:pPr>
    </w:p>
    <w:p w14:paraId="5DD11234" w14:textId="362A5A80" w:rsidR="00AB26F6" w:rsidRPr="006D05D9" w:rsidRDefault="00F201C4" w:rsidP="00AB26F6">
      <w:pPr>
        <w:ind w:firstLine="284"/>
        <w:rPr>
          <w:lang w:val="en-GB"/>
        </w:rPr>
      </w:pPr>
      <w:r w:rsidRPr="006D05D9">
        <w:rPr>
          <w:lang w:val="en-GB"/>
        </w:rPr>
        <w:t xml:space="preserve">In conclusion, our study supports the use of a new equation to define the maximum acceptable elbow rest height considering elbow rest height based on 30° of </w:t>
      </w:r>
      <w:r w:rsidR="004E796B" w:rsidRPr="006D05D9">
        <w:rPr>
          <w:lang w:val="en-GB"/>
        </w:rPr>
        <w:t>abduction</w:t>
      </w:r>
      <w:r w:rsidRPr="006D05D9">
        <w:rPr>
          <w:lang w:val="en-GB"/>
        </w:rPr>
        <w:t xml:space="preserve"> and 35° </w:t>
      </w:r>
      <w:r w:rsidR="000D4576" w:rsidRPr="006D05D9">
        <w:rPr>
          <w:lang w:val="en-GB"/>
        </w:rPr>
        <w:t>flexion</w:t>
      </w:r>
      <w:r w:rsidR="00AB26F6" w:rsidRPr="006D05D9">
        <w:rPr>
          <w:lang w:val="en-GB"/>
        </w:rPr>
        <w:t>. The findings of this research shed light on several important aspects related to desk height adjustment, particularly concerning kinematics, electromyography, performance, preference, and discomfort.</w:t>
      </w:r>
      <w:r w:rsidR="009A2A08" w:rsidRPr="006D05D9">
        <w:rPr>
          <w:lang w:val="en-GB"/>
        </w:rPr>
        <w:t xml:space="preserve"> Considering the bottom to top matching procedure, when elbow/forearms are fully supported on the desk's surface, all the previously mentioned parameters were kept within safe thresholds. This is highly relevant since one mayor </w:t>
      </w:r>
      <w:r w:rsidR="00003A3C" w:rsidRPr="006D05D9">
        <w:rPr>
          <w:lang w:val="en-GB"/>
        </w:rPr>
        <w:t>argument</w:t>
      </w:r>
      <w:r w:rsidR="009A2A08" w:rsidRPr="006D05D9">
        <w:rPr>
          <w:lang w:val="en-GB"/>
        </w:rPr>
        <w:t xml:space="preserve"> for not using the proposed equation could be shoulders with higher flexion and abduction angles (</w:t>
      </w:r>
      <w:r w:rsidR="00003A3C" w:rsidRPr="006D05D9">
        <w:rPr>
          <w:lang w:val="en-GB"/>
        </w:rPr>
        <w:t>i.e.</w:t>
      </w:r>
      <w:r w:rsidR="009A2A08" w:rsidRPr="006D05D9">
        <w:rPr>
          <w:lang w:val="en-GB"/>
        </w:rPr>
        <w:t xml:space="preserve"> awkward posture), </w:t>
      </w:r>
      <w:r w:rsidR="005746A2" w:rsidRPr="006D05D9">
        <w:rPr>
          <w:lang w:val="en-GB"/>
        </w:rPr>
        <w:t>however</w:t>
      </w:r>
      <w:r w:rsidR="009A2A08" w:rsidRPr="006D05D9">
        <w:rPr>
          <w:lang w:val="en-GB"/>
        </w:rPr>
        <w:t xml:space="preserve"> while keeping the </w:t>
      </w:r>
      <w:r w:rsidR="00003A3C" w:rsidRPr="006D05D9">
        <w:rPr>
          <w:lang w:val="en-GB"/>
        </w:rPr>
        <w:t>forearms</w:t>
      </w:r>
      <w:r w:rsidR="009A2A08" w:rsidRPr="006D05D9">
        <w:rPr>
          <w:lang w:val="en-GB"/>
        </w:rPr>
        <w:t xml:space="preserve"> fully supported the results showed no difference with the original equation. Furthermore, </w:t>
      </w:r>
      <w:r w:rsidR="00003A3C" w:rsidRPr="006D05D9">
        <w:rPr>
          <w:lang w:val="en-GB"/>
        </w:rPr>
        <w:t>i</w:t>
      </w:r>
      <w:r w:rsidR="009A2A08" w:rsidRPr="006D05D9">
        <w:rPr>
          <w:lang w:val="en-GB"/>
        </w:rPr>
        <w:t xml:space="preserve">n the current study, most of the test time subjects assumed this position, thus reflecting that forearm/elbow support is a valid and naturally assumed posture when working with a desk in typical and frequently performed tasks, such </w:t>
      </w:r>
      <w:r w:rsidR="005746A2" w:rsidRPr="006D05D9">
        <w:rPr>
          <w:lang w:val="en-GB"/>
        </w:rPr>
        <w:t>as typing</w:t>
      </w:r>
      <w:r w:rsidR="009A2A08" w:rsidRPr="006D05D9">
        <w:rPr>
          <w:lang w:val="en-GB"/>
        </w:rPr>
        <w:t xml:space="preserve">, </w:t>
      </w:r>
      <w:proofErr w:type="gramStart"/>
      <w:r w:rsidR="009A2A08" w:rsidRPr="006D05D9">
        <w:rPr>
          <w:lang w:val="en-GB"/>
        </w:rPr>
        <w:t>reading</w:t>
      </w:r>
      <w:proofErr w:type="gramEnd"/>
      <w:r w:rsidR="009A2A08" w:rsidRPr="006D05D9">
        <w:rPr>
          <w:lang w:val="en-GB"/>
        </w:rPr>
        <w:t xml:space="preserve"> or performing light manual tasks. </w:t>
      </w:r>
    </w:p>
    <w:p w14:paraId="5789A14C" w14:textId="77777777" w:rsidR="00003A3C" w:rsidRPr="006D05D9" w:rsidRDefault="00003A3C" w:rsidP="00AB26F6">
      <w:pPr>
        <w:ind w:firstLine="284"/>
        <w:rPr>
          <w:lang w:val="en-GB"/>
        </w:rPr>
      </w:pPr>
    </w:p>
    <w:p w14:paraId="4974CD4B" w14:textId="34BD82CB" w:rsidR="009A2A08" w:rsidRPr="006D05D9" w:rsidRDefault="009A2A08" w:rsidP="009A2A08">
      <w:pPr>
        <w:ind w:firstLine="284"/>
        <w:rPr>
          <w:lang w:val="en-GB"/>
        </w:rPr>
      </w:pPr>
      <w:r w:rsidRPr="006D05D9">
        <w:rPr>
          <w:lang w:val="en-GB"/>
        </w:rPr>
        <w:t>In summary, while the proposed desk height adjustment showed promising results further research is warranted to explore its long-term effects considering gender-specific preferences and posture variations. Additionally, future studies should consider incorporating lumbar posture assessments and longer intervention durations to provide more comprehensive insights into the impact of desk height adjustments on overall workstation ergonomics.</w:t>
      </w:r>
    </w:p>
    <w:p w14:paraId="6CCAB5E0" w14:textId="77777777" w:rsidR="009A2A08" w:rsidRPr="006D05D9" w:rsidRDefault="009A2A08" w:rsidP="00AB26F6">
      <w:pPr>
        <w:ind w:firstLine="284"/>
        <w:rPr>
          <w:lang w:val="en-GB"/>
        </w:rPr>
      </w:pPr>
    </w:p>
    <w:p w14:paraId="38B44D4D" w14:textId="77777777" w:rsidR="00AB26F6" w:rsidRPr="006D05D9" w:rsidRDefault="00AB26F6" w:rsidP="00AB26F6">
      <w:pPr>
        <w:ind w:firstLine="284"/>
        <w:rPr>
          <w:lang w:val="en-GB"/>
        </w:rPr>
      </w:pPr>
    </w:p>
    <w:p w14:paraId="57D37DF7" w14:textId="77777777" w:rsidR="00AB26F6" w:rsidRPr="006D05D9" w:rsidRDefault="00AB26F6" w:rsidP="00AB26F6">
      <w:pPr>
        <w:ind w:firstLine="284"/>
        <w:rPr>
          <w:lang w:val="en-GB"/>
        </w:rPr>
      </w:pPr>
    </w:p>
    <w:p w14:paraId="2939E264" w14:textId="77777777" w:rsidR="00662BEA" w:rsidRPr="006D05D9" w:rsidRDefault="00662BEA" w:rsidP="00FB4136">
      <w:pPr>
        <w:rPr>
          <w:b/>
          <w:bCs/>
          <w:sz w:val="26"/>
          <w:szCs w:val="26"/>
          <w:lang w:val="en-GB"/>
        </w:rPr>
      </w:pPr>
    </w:p>
    <w:p w14:paraId="49162EC8" w14:textId="77777777" w:rsidR="00662BEA" w:rsidRPr="006D05D9" w:rsidRDefault="00662BEA" w:rsidP="00FB4136">
      <w:pPr>
        <w:rPr>
          <w:b/>
          <w:bCs/>
          <w:sz w:val="26"/>
          <w:szCs w:val="26"/>
          <w:lang w:val="en-GB"/>
        </w:rPr>
      </w:pPr>
    </w:p>
    <w:p w14:paraId="6B8A672A" w14:textId="77777777" w:rsidR="00662BEA" w:rsidRPr="006D05D9" w:rsidRDefault="00662BEA" w:rsidP="00FB4136">
      <w:pPr>
        <w:rPr>
          <w:b/>
          <w:bCs/>
          <w:sz w:val="26"/>
          <w:szCs w:val="26"/>
          <w:lang w:val="en-GB"/>
        </w:rPr>
      </w:pPr>
    </w:p>
    <w:p w14:paraId="0A38F530" w14:textId="77777777" w:rsidR="00E00E7C" w:rsidRPr="006D05D9" w:rsidRDefault="00E00E7C">
      <w:pPr>
        <w:spacing w:after="160" w:line="259" w:lineRule="auto"/>
        <w:jc w:val="left"/>
        <w:rPr>
          <w:b/>
          <w:bCs/>
          <w:sz w:val="26"/>
          <w:szCs w:val="26"/>
          <w:lang w:val="en-GB"/>
        </w:rPr>
      </w:pPr>
      <w:r w:rsidRPr="006D05D9">
        <w:rPr>
          <w:b/>
          <w:bCs/>
          <w:sz w:val="26"/>
          <w:szCs w:val="26"/>
          <w:lang w:val="en-GB"/>
        </w:rPr>
        <w:br w:type="page"/>
      </w:r>
    </w:p>
    <w:p w14:paraId="3D3FCADC" w14:textId="796DF410" w:rsidR="008A0730" w:rsidRPr="006D05D9" w:rsidRDefault="008A0730" w:rsidP="00FB4136">
      <w:pPr>
        <w:rPr>
          <w:b/>
          <w:bCs/>
          <w:sz w:val="26"/>
          <w:szCs w:val="26"/>
          <w:lang w:val="en-GB"/>
        </w:rPr>
      </w:pPr>
      <w:r w:rsidRPr="006D05D9">
        <w:rPr>
          <w:b/>
          <w:bCs/>
          <w:sz w:val="26"/>
          <w:szCs w:val="26"/>
          <w:lang w:val="en-GB"/>
        </w:rPr>
        <w:lastRenderedPageBreak/>
        <w:t>6. References</w:t>
      </w:r>
    </w:p>
    <w:p w14:paraId="01A71107" w14:textId="55C9A338" w:rsidR="00C26E81" w:rsidRPr="006D05D9" w:rsidRDefault="006D7062" w:rsidP="00C26E81">
      <w:pPr>
        <w:widowControl w:val="0"/>
        <w:autoSpaceDE w:val="0"/>
        <w:autoSpaceDN w:val="0"/>
        <w:adjustRightInd w:val="0"/>
        <w:ind w:left="480" w:hanging="480"/>
        <w:rPr>
          <w:rFonts w:ascii="Calibri" w:hAnsi="Calibri" w:cs="Calibri"/>
          <w:kern w:val="0"/>
          <w:lang w:val="en-GB"/>
        </w:rPr>
      </w:pPr>
      <w:r w:rsidRPr="006D05D9">
        <w:rPr>
          <w:lang w:val="en-GB"/>
        </w:rPr>
        <w:fldChar w:fldCharType="begin" w:fldLock="1"/>
      </w:r>
      <w:r w:rsidRPr="006D05D9">
        <w:rPr>
          <w:lang w:val="en-GB"/>
        </w:rPr>
        <w:instrText xml:space="preserve">ADDIN Mendeley Bibliography CSL_BIBLIOGRAPHY </w:instrText>
      </w:r>
      <w:r w:rsidRPr="006D05D9">
        <w:rPr>
          <w:lang w:val="en-GB"/>
        </w:rPr>
        <w:fldChar w:fldCharType="separate"/>
      </w:r>
      <w:r w:rsidR="00C26E81" w:rsidRPr="006D05D9">
        <w:rPr>
          <w:rFonts w:ascii="Calibri" w:hAnsi="Calibri" w:cs="Calibri"/>
          <w:kern w:val="0"/>
          <w:lang w:val="en-GB"/>
        </w:rPr>
        <w:t>Altaboli, A., Aliskandarani, H., Alshaikhi, A., Alahmar, H., Muttardi, R., 2023. Anthropometric Evaluation of University Classroom Furniture, in: Physical Ergonomics and Human Factors. https://doi.org/10.54941/ahfe1003040</w:t>
      </w:r>
    </w:p>
    <w:p w14:paraId="0144D9D7" w14:textId="77777777" w:rsidR="00C26E81" w:rsidRPr="0035140A" w:rsidRDefault="00C26E81" w:rsidP="00C26E81">
      <w:pPr>
        <w:widowControl w:val="0"/>
        <w:autoSpaceDE w:val="0"/>
        <w:autoSpaceDN w:val="0"/>
        <w:adjustRightInd w:val="0"/>
        <w:ind w:left="480" w:hanging="480"/>
        <w:rPr>
          <w:rFonts w:ascii="Calibri" w:hAnsi="Calibri" w:cs="Calibri"/>
          <w:kern w:val="0"/>
          <w:lang w:val="es-CL"/>
        </w:rPr>
      </w:pPr>
      <w:r w:rsidRPr="006D05D9">
        <w:rPr>
          <w:rFonts w:ascii="Calibri" w:hAnsi="Calibri" w:cs="Calibri"/>
          <w:kern w:val="0"/>
          <w:lang w:val="en-GB"/>
        </w:rPr>
        <w:t xml:space="preserve">Bai, Y., Kamarudin, K.M., Alli, H., 2024. A systematic review of research on sitting and working furniture ergonomic from 2012 to 2022: Analysis of assessment approaches. </w:t>
      </w:r>
      <w:r w:rsidRPr="0035140A">
        <w:rPr>
          <w:rFonts w:ascii="Calibri" w:hAnsi="Calibri" w:cs="Calibri"/>
          <w:kern w:val="0"/>
          <w:lang w:val="es-CL"/>
        </w:rPr>
        <w:t>Heliyon 10, e28384. https://doi.org/10.1016/j.heliyon.2024.e28384</w:t>
      </w:r>
    </w:p>
    <w:p w14:paraId="4965CB99"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35140A">
        <w:rPr>
          <w:rFonts w:ascii="Calibri" w:hAnsi="Calibri" w:cs="Calibri"/>
          <w:kern w:val="0"/>
          <w:lang w:val="es-CL"/>
        </w:rPr>
        <w:t xml:space="preserve">Cabegi de Barros, F., Moriguchi, C.S., de Oliveira Sato, T., 2022. </w:t>
      </w:r>
      <w:r w:rsidRPr="006D05D9">
        <w:rPr>
          <w:rFonts w:ascii="Calibri" w:hAnsi="Calibri" w:cs="Calibri"/>
          <w:kern w:val="0"/>
          <w:lang w:val="en-GB"/>
        </w:rPr>
        <w:t>Effects of workstation adjustment to reduce postural exposure and perceived discomfort among office workers - A cluster randomized controlled trial. Appl. Ergon. 102, 103738. https://doi.org/10.1016/j.apergo.2022.103738</w:t>
      </w:r>
    </w:p>
    <w:p w14:paraId="61407E4A"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Cantin, N., Delisle, I., Baillargeon, M., 2019. Reducing Child-Furniture Incompatibility in Primary Schools. J. Occup. Ther. Sch. Early Interv. 12, 200–209. https://doi.org/10.1080/19411243.2018.1538843</w:t>
      </w:r>
    </w:p>
    <w:p w14:paraId="0239B5FA"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Carneiro, V., Gomes, A., Rangel, B., 2017. Proposal for a universal measurement system for school chairs and desks for children from 6 to 10 years old. Appl. Ergon. 58, 372–385. https://doi.org/10.1016/j.apergo.2016.06.020</w:t>
      </w:r>
    </w:p>
    <w:p w14:paraId="7B06EA2B"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Castellucci, H.I., Arezes, P.M., Molenbroek, J.F.M., 2015. Equations for defining the mismatch between students and school furniture: A systematic review. Int. J. Ind. Ergon. 48, 117–126. https://doi.org/10.1016/j.ergon.2015.05.002</w:t>
      </w:r>
    </w:p>
    <w:p w14:paraId="53527639"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Castellucci, H.I., Arezes, P.M., Molenbroek, J.F.M., 2014. Applying different equations to evaluate the level of mismatch between students and school furniture. Appl. Ergon. 45, 1123–32. https://doi.org/10.1016/j.apergo.2014.01.012</w:t>
      </w:r>
    </w:p>
    <w:p w14:paraId="1D8E4A31"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Castellucci, H.I., Arezes, P.M., Molenbroek, J.F.M., de Bruin, R., Viviani, C., 2017. The influence of school furniture on students’ performance and physical responses: results of a systematic review. Ergonomics 60, 93–110. https://doi.org/10.1080/00140139.2016.1170889</w:t>
      </w:r>
    </w:p>
    <w:p w14:paraId="76C0F956"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Castellucci, H.I., Viviani, C., Arezes, P., Molenbroek, J.F.M., Martínez, M., Aparici, V., 2021. Application of mismatch equations in dynamic seating designs. Appl. Ergon. 90, 103273. https://doi.org/10.1016/j.apergo.2020.103273</w:t>
      </w:r>
    </w:p>
    <w:p w14:paraId="642A59A4"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Chaffin, D., Anderson, G., 1991. Occupational Biomechanics, 2nd ed. John Wiley, New York.</w:t>
      </w:r>
    </w:p>
    <w:p w14:paraId="47BDDD17"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Christensen, S.W.M.P., Palsson, T.S., Krebs, H.J., Graven-Nielsen, T., Hirata, R.P., 2023. Prolonged slumped sitting causes neck pain and increased axioscapular muscle activity during a computer task in healthy participants – A randomized crossover study. Appl. Ergon. 110. https://doi.org/10.1016/j.apergo.2023.104020</w:t>
      </w:r>
    </w:p>
    <w:p w14:paraId="59D7A680"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de Bruin, R., Castellucci, H.I., 2022. School Furniture and Anthropometric Fit, the Gap Between Theory and Practice. Ergon. Des. Q. Hum. Factors Appl. 106480462110672. https://doi.org/10.1177/10648046211067290</w:t>
      </w:r>
    </w:p>
    <w:p w14:paraId="411B72F6"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Dianat, I., Javadivala, Z., Asghari-Jafarabadi, M., Asl Hashemi, A., Haslegrave, C.M., 2013. The use of schoolbags and musculoskeletal symptoms among primary school children: are the recommended weight limits adequate? Ergonomics 56, 79–89. https://doi.org/10.1080/00140139.2012.729612</w:t>
      </w:r>
    </w:p>
    <w:p w14:paraId="551627E0"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Gligorović, B., Desnica, E., Palinkaš, I., 2018. The importance of ergonomics in schools - Secondary technical school students’ opinion on the comfort of furniture in the classroom for computer aided design. IOP Conf. Ser. Mater. Sci. Eng. 393. https://doi.org/10.1088/1757-899X/393/1/012111</w:t>
      </w:r>
    </w:p>
    <w:p w14:paraId="4E04946A" w14:textId="77777777" w:rsidR="00C26E81" w:rsidRPr="0035140A" w:rsidRDefault="00C26E81" w:rsidP="00C26E81">
      <w:pPr>
        <w:widowControl w:val="0"/>
        <w:autoSpaceDE w:val="0"/>
        <w:autoSpaceDN w:val="0"/>
        <w:adjustRightInd w:val="0"/>
        <w:ind w:left="480" w:hanging="480"/>
        <w:rPr>
          <w:rFonts w:ascii="Calibri" w:hAnsi="Calibri" w:cs="Calibri"/>
          <w:kern w:val="0"/>
          <w:lang w:val="es-CL"/>
        </w:rPr>
      </w:pPr>
      <w:r w:rsidRPr="006D05D9">
        <w:rPr>
          <w:rFonts w:ascii="Calibri" w:hAnsi="Calibri" w:cs="Calibri"/>
          <w:kern w:val="0"/>
          <w:lang w:val="en-GB"/>
        </w:rPr>
        <w:t xml:space="preserve">Gómez Echeverry, L.L., Jaramillo Henao, A.M., Ruiz Molina, M.A., Velásquez Restrepo, S.M., Páramo Velásquez, C.A., Silva Bolívar, G.J., 2018. </w:t>
      </w:r>
      <w:r w:rsidRPr="0035140A">
        <w:rPr>
          <w:rFonts w:ascii="Calibri" w:hAnsi="Calibri" w:cs="Calibri"/>
          <w:kern w:val="0"/>
          <w:lang w:val="es-CL"/>
        </w:rPr>
        <w:t xml:space="preserve">Human motion capture and analysis systems: a systematic review/Sistemas de captura y análisis de movimiento cinemático humano: una </w:t>
      </w:r>
      <w:r w:rsidRPr="0035140A">
        <w:rPr>
          <w:rFonts w:ascii="Calibri" w:hAnsi="Calibri" w:cs="Calibri"/>
          <w:kern w:val="0"/>
          <w:lang w:val="es-CL"/>
        </w:rPr>
        <w:lastRenderedPageBreak/>
        <w:t>revisión sistemática. Prospectiva 16, 24–34. https://doi.org/10.15665/rp.v16i2.1587</w:t>
      </w:r>
    </w:p>
    <w:p w14:paraId="20BE90C2"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35140A">
        <w:rPr>
          <w:rFonts w:ascii="Calibri" w:hAnsi="Calibri" w:cs="Calibri"/>
          <w:kern w:val="0"/>
          <w:lang w:val="es-CL"/>
        </w:rPr>
        <w:t xml:space="preserve">Gonçalves, J.S., Shinohara Moriguchi, C., Takekawa, K.S., Coury, H.J.C.G., Sato, T. de O., 2017. </w:t>
      </w:r>
      <w:r w:rsidRPr="006D05D9">
        <w:rPr>
          <w:rFonts w:ascii="Calibri" w:hAnsi="Calibri" w:cs="Calibri"/>
          <w:kern w:val="0"/>
          <w:lang w:val="en-GB"/>
        </w:rPr>
        <w:t>The effects of forearm support and shoulder posture on upper trapezius and anterior deltoid activity. J. Phys. Ther. Sci. 29, 793–798. https://doi.org/10.1589/jpts.29.793</w:t>
      </w:r>
    </w:p>
    <w:p w14:paraId="49C42BAE"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Halaki, M., Gi, K., 2012. Normalization of EMG Signals: To Normalize or Not to Normalize and What to Normalize to?, in: Computational Intelligence in Electromyography Analysis - A Perspective on Current Applications and Future Challenges. InTech. https://doi.org/10.5772/49957</w:t>
      </w:r>
    </w:p>
    <w:p w14:paraId="05CC9DD0"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ISO, 2017. ISO 7250-1: Basic human body measurements for technological design - Part 1: Body measurement definitions and landmarks. International Organization for Standardization, Geneva, Switzerland.</w:t>
      </w:r>
    </w:p>
    <w:p w14:paraId="15CEE1BF"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Jacquier-Bret, J., Gorce, P., 2024. Global Upper Body Assessment (GUBA) - A new Tool to Identify the Indicators That will lead to the Occurrence of Musculoskeletal Disorders of Light Weight Loads in Seated Position Based Body Mass Index and Postural Strategy. Int. J. Heal. Sci. Res. 14, 257–272. https://doi.org/10.52403/ijhsr.20240338</w:t>
      </w:r>
    </w:p>
    <w:p w14:paraId="3CB7242B"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Kahya, E., 2019. Mismatch between classroom furniture and anthropometric measures of university students. Int. J. Ind. Ergon. 74, 102864. https://doi.org/10.1016/j.ergon.2019.102864</w:t>
      </w:r>
    </w:p>
    <w:p w14:paraId="58F35FE9"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Kar, G., Hedge, A., 2021. Effect of workstation configuration on musculoskeletal discomfort, productivity, postural risks, and perceived fatigue in a sit-stand-walk intervention for computer-based work. Appl. Ergon. 90. https://doi.org/10.1016/j.apergo.2020.103211</w:t>
      </w:r>
    </w:p>
    <w:p w14:paraId="0BB342C4"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Kett, A.R., Sichting, F., 2020. Sedentary behaviour at work increases muscle stiffness of the back: Why roller massage has potential as an active break intervention. Appl. Ergon. 82, 102947. https://doi.org/10.1016/j.apergo.2019.102947</w:t>
      </w:r>
    </w:p>
    <w:p w14:paraId="771519DD"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Khoshabi, P., Nejati, E., Ahmadi, S.F., Chegini, A., Makui, A., Ghousi, R., 2020. Developing a multi-criteria decision making approach to compare types of classroom furniture considering mismatches for anthropometric measures of university students. PLoS One 15, 1–25. https://doi.org/10.1371/journal.pone.0239297</w:t>
      </w:r>
    </w:p>
    <w:p w14:paraId="7F8E2A1E" w14:textId="77777777" w:rsidR="00C26E81" w:rsidRPr="0035140A" w:rsidRDefault="00C26E81" w:rsidP="00C26E81">
      <w:pPr>
        <w:widowControl w:val="0"/>
        <w:autoSpaceDE w:val="0"/>
        <w:autoSpaceDN w:val="0"/>
        <w:adjustRightInd w:val="0"/>
        <w:ind w:left="480" w:hanging="480"/>
        <w:rPr>
          <w:rFonts w:ascii="Calibri" w:hAnsi="Calibri" w:cs="Calibri"/>
          <w:kern w:val="0"/>
          <w:lang w:val="es-CL"/>
        </w:rPr>
      </w:pPr>
      <w:r w:rsidRPr="006D05D9">
        <w:rPr>
          <w:rFonts w:ascii="Calibri" w:hAnsi="Calibri" w:cs="Calibri"/>
          <w:kern w:val="0"/>
          <w:lang w:val="en-GB"/>
        </w:rPr>
        <w:t xml:space="preserve">Kroemer, K.H.E., Grandjean, E., 1997. Fitting the task to the human. </w:t>
      </w:r>
      <w:r w:rsidRPr="0035140A">
        <w:rPr>
          <w:rFonts w:ascii="Calibri" w:hAnsi="Calibri" w:cs="Calibri"/>
          <w:kern w:val="0"/>
          <w:lang w:val="es-CL"/>
        </w:rPr>
        <w:t>A textbook of occupational Ergonomics.</w:t>
      </w:r>
    </w:p>
    <w:p w14:paraId="0BF2C467"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35140A">
        <w:rPr>
          <w:rFonts w:ascii="Calibri" w:hAnsi="Calibri" w:cs="Calibri"/>
          <w:kern w:val="0"/>
          <w:lang w:val="es-CL"/>
        </w:rPr>
        <w:t xml:space="preserve">Lee, S., De Barros, F.C., De Castro, C.S.M., De Oliveira Sato, T., 2021. </w:t>
      </w:r>
      <w:r w:rsidRPr="006D05D9">
        <w:rPr>
          <w:rFonts w:ascii="Calibri" w:hAnsi="Calibri" w:cs="Calibri"/>
          <w:kern w:val="0"/>
          <w:lang w:val="en-GB"/>
        </w:rPr>
        <w:t>Effect of an ergonomic intervention involving workstation adjustments on musculoskeletal pain in office workers—a randomized controlled clinical trial. Ind. Health 59, 78–85. https://doi.org/10.2486/indhealth.2020-0188</w:t>
      </w:r>
    </w:p>
    <w:p w14:paraId="7B654E80"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Lee, Y., Yun, M.H., 2019. Evaluation of the guidelines and children’s ability to select the anthropometrically recommendable height of school furniture: A case study of Korean primary school children. Work 64, 427–438. https://doi.org/10.3233/WOR-193005</w:t>
      </w:r>
    </w:p>
    <w:p w14:paraId="78816F58"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Lindstrom, L., 1985. Spectral analysis of EMG., in: Lectromyography and Evoked Potentials. Theories and Applications. Springer-Verlag, New York., pp. 103–107.</w:t>
      </w:r>
    </w:p>
    <w:p w14:paraId="18998413"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Macedo, A.C., Morais, A. V, Martins, H.F., Martins, J.C., Pais, S.M., Mayan, O.S., 2015. Match between classroom dimensions and students’ anthropometry: re-equipment according to European educational furniture standard. Hum. Factors 57, 48–60. https://doi.org/10.1177/0018720814533991</w:t>
      </w:r>
    </w:p>
    <w:p w14:paraId="546C7F2E"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MacKenzie, I.S., 2018. Fitts’ Law, in: The Wiley Handbook of Human Computer Interaction. Wiley, pp. 347–370. https://doi.org/10.1002/9781118976005.ch17</w:t>
      </w:r>
    </w:p>
    <w:p w14:paraId="6157DCFA"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Mandal, A., 1994. Influence of furniture height on posture and back pain, in: Lueder, R., Noro, K. (Eds.), Hard Facts about Soft Machines: The Ergonomics of Seating. Taylor &amp; Francis, London, pp. 173–178.</w:t>
      </w:r>
    </w:p>
    <w:p w14:paraId="02C557CA"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Marras, W.S., 2012. Basic Biomechanics and Workstation Design, in: Handbook of Human Factors and Ergonomics. Wiley, pp. 347–381. https://doi.org/10.1002/9781118131350.ch12</w:t>
      </w:r>
    </w:p>
    <w:p w14:paraId="67C58240"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lastRenderedPageBreak/>
        <w:t>Molloy, M., Salazar-Torres, J., Kerr, C., McDowell, B.C., Cosgrove, A.P., 2008. The effects of industry standard averaging and filtering techniques in kinematic gait analysis. Gait Posture 28, 559–562. https://doi.org/10.1016/j.gaitpost.2008.03.012</w:t>
      </w:r>
    </w:p>
    <w:p w14:paraId="1F22AEFD"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Nunes, A., Espanha, M., Teles, J., Petersen, K., Arendt-Nielsen, L., Carnide, F., 2021. Neck pain prevalence and associated occupational factors in Portuguese office workers. Int. J. Ind. Ergon. 85, 103172. https://doi.org/10.1016/j.ergon.2021.103172</w:t>
      </w:r>
    </w:p>
    <w:p w14:paraId="109FF34F"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Obinna, F.P., Sunday, A.A., Babatunde, O., 2021. Ergonomic assessment and health implications of classroom furniture designs in secondary schools: a case study. Theor. Issues Ergon. Sci. 22, 1–14. https://doi.org/10.1080/1463922X.2020.1753259</w:t>
      </w:r>
    </w:p>
    <w:p w14:paraId="6345D78B"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Ohlendorf, D., Avaniadi, I., Adjami, F., Christian, W., Doerry, C., Fay, V., Fisch, V., Gerez, A., Goecke, J., Kaya, U., Keller, J., Krüger, D., Pflaum, J., Porsch, L., Loewe, C., Scharnweber, B., Sosnov, P., Wanke, E.M., Oremek, G., Ackermann, H., Holzgreve, F., Keil, F., Groneberg, D.A., Maurer-Grubinger, C., 2023. Standard values of the upper body posture in healthy adults with special regard to age, sex and BMI. Sci. Rep. 13, 1–16. https://doi.org/10.1038/s41598-023-27976-8</w:t>
      </w:r>
    </w:p>
    <w:p w14:paraId="096AD208"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Onyebeke, L.C., Young, J.G., Trudeau, M.B., Dennerlein, J.T., 2014. Effects of forearm and palm supports on the upper extremity during computer mouse use. Appl. Ergon. 45, 564–570. https://doi.org/10.1016/j.apergo.2013.07.016</w:t>
      </w:r>
    </w:p>
    <w:p w14:paraId="62082AE9"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Parcells, C., Stommel, M., Hubbard, R.P., 1999. Mismatch of classroom furniture and student body dimensions: empirical findings and health implications. J. Adolesc. Heal. 24, 265–273.</w:t>
      </w:r>
    </w:p>
    <w:p w14:paraId="6E631AB6"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Park, S., 2013. Comparison of Muscle Activation during Dominant Hand Wrist Flexion when Writing. J. Phys. Ther. Sci. 25, 1529–1531. https://doi.org/10.1589/jpts.25.1529</w:t>
      </w:r>
    </w:p>
    <w:p w14:paraId="6B04B1CC"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Parvez, M.S., Rahman, A., Tasnim, N., 2019. Ergonomic mismatch between students anthropometry and university classroom furniture. Theor. Issues Ergon. Sci. 20, 603–631. https://doi.org/10.1080/1463922X.2019.1617909</w:t>
      </w:r>
    </w:p>
    <w:p w14:paraId="2E25DEB7"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Pheasant, S., 2003. Bodyspace, Second. ed. Taylor &amp; Francis, London.</w:t>
      </w:r>
    </w:p>
    <w:p w14:paraId="7DDDD2D7"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35140A">
        <w:rPr>
          <w:rFonts w:ascii="Calibri" w:hAnsi="Calibri" w:cs="Calibri"/>
          <w:kern w:val="0"/>
          <w:lang w:val="es-CL"/>
        </w:rPr>
        <w:t xml:space="preserve">Santiago, R.J., Santos Baptista, J., Magalhães, A., Torres Costa, J., 2023. </w:t>
      </w:r>
      <w:r w:rsidRPr="006D05D9">
        <w:rPr>
          <w:rFonts w:ascii="Calibri" w:hAnsi="Calibri" w:cs="Calibri"/>
          <w:kern w:val="0"/>
          <w:lang w:val="en-GB"/>
        </w:rPr>
        <w:t>Total forearm support during a typing task may reduce the risk of Trapezius’ Myalgia development. Int. J. Ind. Ergon. 95. https://doi.org/10.1016/j.ergon.2023.103449</w:t>
      </w:r>
    </w:p>
    <w:p w14:paraId="41EE836F"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Scott MacKenzie, I., 2015. Fitts’ Throughput and the Remarkable Case of Touch-Based Target Selection, in: Lecture Notes in Computer Science (Including Subseries Lecture Notes in Artificial Intelligence and Lecture Notes in Bioinformatics). pp. 238–249. https://doi.org/10.1007/978-3-319-20916-6_23</w:t>
      </w:r>
    </w:p>
    <w:p w14:paraId="76350094"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Slot, T., Charpentier, K., 2009. Evaluation of forearm support provided by the Workplace Board on perceived tension , comfort and productivity in pregnant and non-pregnant computer users. Work A J. Prev. Assess. Rehabil. 34, 67–77. https://doi.org/10.3233/WOR-2009-0903</w:t>
      </w:r>
    </w:p>
    <w:p w14:paraId="6A642400" w14:textId="77777777" w:rsidR="00C26E81" w:rsidRPr="0035140A" w:rsidRDefault="00C26E81" w:rsidP="00C26E81">
      <w:pPr>
        <w:widowControl w:val="0"/>
        <w:autoSpaceDE w:val="0"/>
        <w:autoSpaceDN w:val="0"/>
        <w:adjustRightInd w:val="0"/>
        <w:ind w:left="480" w:hanging="480"/>
        <w:rPr>
          <w:rFonts w:ascii="Calibri" w:hAnsi="Calibri" w:cs="Calibri"/>
          <w:kern w:val="0"/>
          <w:lang w:val="es-CL"/>
        </w:rPr>
      </w:pPr>
      <w:r w:rsidRPr="006D05D9">
        <w:rPr>
          <w:rFonts w:ascii="Calibri" w:hAnsi="Calibri" w:cs="Calibri"/>
          <w:kern w:val="0"/>
          <w:lang w:val="en-GB"/>
        </w:rPr>
        <w:t xml:space="preserve">van Niekerk, S.-M., Louw, Q.A., Grimmer-Somers, K., Harvey, J., Hendry, K.J., 2013. The anthropometric match between high school learners of the Cape Metropole area, Western Cape, South Africa and their computer workstation at school. </w:t>
      </w:r>
      <w:r w:rsidRPr="0035140A">
        <w:rPr>
          <w:rFonts w:ascii="Calibri" w:hAnsi="Calibri" w:cs="Calibri"/>
          <w:kern w:val="0"/>
          <w:lang w:val="es-CL"/>
        </w:rPr>
        <w:t>Appl. Ergon. 44, 366–71. https://doi.org/10.1016/j.apergo.2012.09.008</w:t>
      </w:r>
    </w:p>
    <w:p w14:paraId="1EC6061E" w14:textId="77777777" w:rsidR="00C26E81" w:rsidRPr="0035140A" w:rsidRDefault="00C26E81" w:rsidP="00C26E81">
      <w:pPr>
        <w:widowControl w:val="0"/>
        <w:autoSpaceDE w:val="0"/>
        <w:autoSpaceDN w:val="0"/>
        <w:adjustRightInd w:val="0"/>
        <w:ind w:left="480" w:hanging="480"/>
        <w:rPr>
          <w:rFonts w:ascii="Calibri" w:hAnsi="Calibri" w:cs="Calibri"/>
          <w:kern w:val="0"/>
          <w:lang w:val="es-CL"/>
        </w:rPr>
      </w:pPr>
      <w:r w:rsidRPr="0035140A">
        <w:rPr>
          <w:rFonts w:ascii="Calibri" w:hAnsi="Calibri" w:cs="Calibri"/>
          <w:kern w:val="0"/>
          <w:lang w:val="es-CL"/>
        </w:rPr>
        <w:t>Vio del Rio, F., 2018. Aumento de la obesidad en chile y en el mundo. Rev. Chil. Nutr. 45, 6–6. https://doi.org/10.4067/S0717-75182018000100006</w:t>
      </w:r>
    </w:p>
    <w:p w14:paraId="2DE578E1"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35140A">
        <w:rPr>
          <w:rFonts w:ascii="Calibri" w:hAnsi="Calibri" w:cs="Calibri"/>
          <w:kern w:val="0"/>
          <w:lang w:val="es-CL"/>
        </w:rPr>
        <w:t xml:space="preserve">Waongenngarm, P., van der Beek, A.J., Akkarakittichoke, N., Janwantanakul, P., 2020. </w:t>
      </w:r>
      <w:r w:rsidRPr="006D05D9">
        <w:rPr>
          <w:rFonts w:ascii="Calibri" w:hAnsi="Calibri" w:cs="Calibri"/>
          <w:kern w:val="0"/>
          <w:lang w:val="en-GB"/>
        </w:rPr>
        <w:t>Perceived musculoskeletal discomfort and its association with postural shifts during 4-h prolonged sitting in office workers. Appl. Ergon. 89, 103225. https://doi.org/10.1016/j.apergo.2020.103225</w:t>
      </w:r>
    </w:p>
    <w:p w14:paraId="575B0A42"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6D05D9">
        <w:rPr>
          <w:rFonts w:ascii="Calibri" w:hAnsi="Calibri" w:cs="Calibri"/>
          <w:kern w:val="0"/>
          <w:lang w:val="en-GB"/>
        </w:rPr>
        <w:t>Wiggermann, N., Keyserling, W.M., 2012. Effects of Anti-Fatigue Mats on Perceived Discomfort and Weight-Shifting During Prolonged Standing. Hum. Factors J. Hum. Factors Ergon. Soc. 55, 764–775. https://doi.org/10.1177/0018720812466672</w:t>
      </w:r>
    </w:p>
    <w:p w14:paraId="5AA55A7F" w14:textId="77777777" w:rsidR="00C26E81" w:rsidRPr="006D05D9" w:rsidRDefault="00C26E81" w:rsidP="00C26E81">
      <w:pPr>
        <w:widowControl w:val="0"/>
        <w:autoSpaceDE w:val="0"/>
        <w:autoSpaceDN w:val="0"/>
        <w:adjustRightInd w:val="0"/>
        <w:ind w:left="480" w:hanging="480"/>
        <w:rPr>
          <w:rFonts w:ascii="Calibri" w:hAnsi="Calibri" w:cs="Calibri"/>
          <w:kern w:val="0"/>
          <w:lang w:val="en-GB"/>
        </w:rPr>
      </w:pPr>
      <w:r w:rsidRPr="0035140A">
        <w:rPr>
          <w:rFonts w:ascii="Calibri" w:hAnsi="Calibri" w:cs="Calibri"/>
          <w:kern w:val="0"/>
          <w:lang w:val="es-CL"/>
        </w:rPr>
        <w:t xml:space="preserve">Yanto, Lu, C.W., Lu, J.M., 2017. </w:t>
      </w:r>
      <w:r w:rsidRPr="006D05D9">
        <w:rPr>
          <w:rFonts w:ascii="Calibri" w:hAnsi="Calibri" w:cs="Calibri"/>
          <w:kern w:val="0"/>
          <w:lang w:val="en-GB"/>
        </w:rPr>
        <w:t xml:space="preserve">Evaluation of the Indonesian National Standard for elementary </w:t>
      </w:r>
      <w:r w:rsidRPr="006D05D9">
        <w:rPr>
          <w:rFonts w:ascii="Calibri" w:hAnsi="Calibri" w:cs="Calibri"/>
          <w:kern w:val="0"/>
          <w:lang w:val="en-GB"/>
        </w:rPr>
        <w:lastRenderedPageBreak/>
        <w:t>school furniture based on children’s anthropometry. Appl. Ergon. 62, 168–181. https://doi.org/10.1016/j.apergo.2017.03.004</w:t>
      </w:r>
    </w:p>
    <w:p w14:paraId="148D8FC8" w14:textId="77777777" w:rsidR="00C26E81" w:rsidRPr="006D05D9" w:rsidRDefault="00C26E81" w:rsidP="00C26E81">
      <w:pPr>
        <w:widowControl w:val="0"/>
        <w:autoSpaceDE w:val="0"/>
        <w:autoSpaceDN w:val="0"/>
        <w:adjustRightInd w:val="0"/>
        <w:ind w:left="480" w:hanging="480"/>
        <w:rPr>
          <w:rFonts w:ascii="Calibri" w:hAnsi="Calibri" w:cs="Calibri"/>
          <w:lang w:val="en-GB"/>
        </w:rPr>
      </w:pPr>
      <w:r w:rsidRPr="006D05D9">
        <w:rPr>
          <w:rFonts w:ascii="Calibri" w:hAnsi="Calibri" w:cs="Calibri"/>
          <w:kern w:val="0"/>
          <w:lang w:val="en-GB"/>
        </w:rPr>
        <w:t>Zellers, J.A., Parker, S., Marmon, A., Grävare Silbernagel, K., 2019. Muscle activation during maximum voluntary contraction and m-wave related in healthy but not in injured conditions: Implications when normalizing electromyography. Clin. Biomech. 69, 104–108. https://doi.org/10.1016/j.clinbiomech.2019.07.007</w:t>
      </w:r>
    </w:p>
    <w:p w14:paraId="638EE303" w14:textId="16E51130" w:rsidR="008A0730" w:rsidRPr="006D05D9" w:rsidRDefault="006D7062" w:rsidP="004E796B">
      <w:pPr>
        <w:widowControl w:val="0"/>
        <w:autoSpaceDE w:val="0"/>
        <w:autoSpaceDN w:val="0"/>
        <w:adjustRightInd w:val="0"/>
        <w:ind w:left="480" w:hanging="480"/>
        <w:rPr>
          <w:lang w:val="en-GB"/>
        </w:rPr>
      </w:pPr>
      <w:r w:rsidRPr="006D05D9">
        <w:rPr>
          <w:lang w:val="en-GB"/>
        </w:rPr>
        <w:fldChar w:fldCharType="end"/>
      </w:r>
    </w:p>
    <w:sectPr w:rsidR="008A0730" w:rsidRPr="006D05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sGotT">
    <w:altName w:val="Calibri"/>
    <w:charset w:val="00"/>
    <w:family w:val="auto"/>
    <w:pitch w:val="variable"/>
    <w:sig w:usb0="800000AF" w:usb1="0000204A" w:usb2="00000000" w:usb3="00000000" w:csb0="00000011" w:csb1="00000000"/>
  </w:font>
  <w:font w:name="AdvTT5ada87c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EE9"/>
    <w:multiLevelType w:val="hybridMultilevel"/>
    <w:tmpl w:val="C6B81B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557122"/>
    <w:multiLevelType w:val="hybridMultilevel"/>
    <w:tmpl w:val="F998C53C"/>
    <w:lvl w:ilvl="0" w:tplc="114CE0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056B38"/>
    <w:multiLevelType w:val="hybridMultilevel"/>
    <w:tmpl w:val="033ED6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E1579C"/>
    <w:multiLevelType w:val="hybridMultilevel"/>
    <w:tmpl w:val="846459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ED1896"/>
    <w:multiLevelType w:val="hybridMultilevel"/>
    <w:tmpl w:val="C212A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44345C"/>
    <w:multiLevelType w:val="hybridMultilevel"/>
    <w:tmpl w:val="6DC234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6C50E0"/>
    <w:multiLevelType w:val="hybridMultilevel"/>
    <w:tmpl w:val="B426C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D31385B"/>
    <w:multiLevelType w:val="hybridMultilevel"/>
    <w:tmpl w:val="BF34A142"/>
    <w:lvl w:ilvl="0" w:tplc="BB4A83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01B2C75"/>
    <w:multiLevelType w:val="hybridMultilevel"/>
    <w:tmpl w:val="168C417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AA5060A"/>
    <w:multiLevelType w:val="multilevel"/>
    <w:tmpl w:val="96026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D475A63"/>
    <w:multiLevelType w:val="hybridMultilevel"/>
    <w:tmpl w:val="948C63B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DC53FC3"/>
    <w:multiLevelType w:val="hybridMultilevel"/>
    <w:tmpl w:val="BB1E15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86870716">
    <w:abstractNumId w:val="8"/>
  </w:num>
  <w:num w:numId="2" w16cid:durableId="816341923">
    <w:abstractNumId w:val="10"/>
  </w:num>
  <w:num w:numId="3" w16cid:durableId="654990071">
    <w:abstractNumId w:val="7"/>
  </w:num>
  <w:num w:numId="4" w16cid:durableId="1838962982">
    <w:abstractNumId w:val="9"/>
  </w:num>
  <w:num w:numId="5" w16cid:durableId="324283694">
    <w:abstractNumId w:val="5"/>
  </w:num>
  <w:num w:numId="6" w16cid:durableId="1559366850">
    <w:abstractNumId w:val="2"/>
  </w:num>
  <w:num w:numId="7" w16cid:durableId="526254175">
    <w:abstractNumId w:val="0"/>
  </w:num>
  <w:num w:numId="8" w16cid:durableId="982656203">
    <w:abstractNumId w:val="3"/>
  </w:num>
  <w:num w:numId="9" w16cid:durableId="755589279">
    <w:abstractNumId w:val="11"/>
  </w:num>
  <w:num w:numId="10" w16cid:durableId="1318074814">
    <w:abstractNumId w:val="6"/>
  </w:num>
  <w:num w:numId="11" w16cid:durableId="599723835">
    <w:abstractNumId w:val="1"/>
  </w:num>
  <w:num w:numId="12" w16cid:durableId="1471248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3NLKwMDO3sDAxNjFQ0lEKTi0uzszPAykwNKkFAO/FGeYtAAAA"/>
  </w:docVars>
  <w:rsids>
    <w:rsidRoot w:val="008A0730"/>
    <w:rsid w:val="00000EDA"/>
    <w:rsid w:val="00003A3C"/>
    <w:rsid w:val="000044CE"/>
    <w:rsid w:val="00004D0A"/>
    <w:rsid w:val="00006446"/>
    <w:rsid w:val="00007C56"/>
    <w:rsid w:val="00007F58"/>
    <w:rsid w:val="00010F20"/>
    <w:rsid w:val="00011C3C"/>
    <w:rsid w:val="00011C87"/>
    <w:rsid w:val="00013F8E"/>
    <w:rsid w:val="00015A35"/>
    <w:rsid w:val="0001703D"/>
    <w:rsid w:val="00017AF8"/>
    <w:rsid w:val="0002193A"/>
    <w:rsid w:val="00026445"/>
    <w:rsid w:val="000324D3"/>
    <w:rsid w:val="00032FB3"/>
    <w:rsid w:val="00035931"/>
    <w:rsid w:val="0003595B"/>
    <w:rsid w:val="0003612D"/>
    <w:rsid w:val="00036497"/>
    <w:rsid w:val="000369A5"/>
    <w:rsid w:val="00042534"/>
    <w:rsid w:val="00042652"/>
    <w:rsid w:val="00042D1A"/>
    <w:rsid w:val="000434ED"/>
    <w:rsid w:val="0004398A"/>
    <w:rsid w:val="00050CCC"/>
    <w:rsid w:val="00055609"/>
    <w:rsid w:val="00060F21"/>
    <w:rsid w:val="000611CE"/>
    <w:rsid w:val="0006225C"/>
    <w:rsid w:val="00062BF1"/>
    <w:rsid w:val="00062E1C"/>
    <w:rsid w:val="000630BB"/>
    <w:rsid w:val="000640FB"/>
    <w:rsid w:val="000649BB"/>
    <w:rsid w:val="00064DCF"/>
    <w:rsid w:val="000661E2"/>
    <w:rsid w:val="000663A7"/>
    <w:rsid w:val="000727E9"/>
    <w:rsid w:val="00073F89"/>
    <w:rsid w:val="000800E0"/>
    <w:rsid w:val="00082DD5"/>
    <w:rsid w:val="00083312"/>
    <w:rsid w:val="0008582D"/>
    <w:rsid w:val="000866E6"/>
    <w:rsid w:val="00086A7B"/>
    <w:rsid w:val="000879B4"/>
    <w:rsid w:val="00090F1F"/>
    <w:rsid w:val="00092B04"/>
    <w:rsid w:val="00092C3E"/>
    <w:rsid w:val="000931A3"/>
    <w:rsid w:val="00093986"/>
    <w:rsid w:val="000A0312"/>
    <w:rsid w:val="000A05EF"/>
    <w:rsid w:val="000A316E"/>
    <w:rsid w:val="000A4150"/>
    <w:rsid w:val="000A5192"/>
    <w:rsid w:val="000A68D5"/>
    <w:rsid w:val="000A6C12"/>
    <w:rsid w:val="000A7086"/>
    <w:rsid w:val="000A716B"/>
    <w:rsid w:val="000B0F91"/>
    <w:rsid w:val="000B1FC4"/>
    <w:rsid w:val="000B5458"/>
    <w:rsid w:val="000B56F7"/>
    <w:rsid w:val="000B6289"/>
    <w:rsid w:val="000B785C"/>
    <w:rsid w:val="000C31BD"/>
    <w:rsid w:val="000C53C9"/>
    <w:rsid w:val="000C749A"/>
    <w:rsid w:val="000C79DD"/>
    <w:rsid w:val="000D105C"/>
    <w:rsid w:val="000D285B"/>
    <w:rsid w:val="000D38EF"/>
    <w:rsid w:val="000D4027"/>
    <w:rsid w:val="000D4576"/>
    <w:rsid w:val="000D4622"/>
    <w:rsid w:val="000D47C0"/>
    <w:rsid w:val="000D7AC6"/>
    <w:rsid w:val="000E24D8"/>
    <w:rsid w:val="000E4566"/>
    <w:rsid w:val="000E4E04"/>
    <w:rsid w:val="000F37C4"/>
    <w:rsid w:val="000F3D01"/>
    <w:rsid w:val="000F48BD"/>
    <w:rsid w:val="000F48C5"/>
    <w:rsid w:val="000F4A7F"/>
    <w:rsid w:val="000F549F"/>
    <w:rsid w:val="000F744D"/>
    <w:rsid w:val="00102FBB"/>
    <w:rsid w:val="00104BC9"/>
    <w:rsid w:val="00104CB3"/>
    <w:rsid w:val="0010513C"/>
    <w:rsid w:val="00107242"/>
    <w:rsid w:val="0011163E"/>
    <w:rsid w:val="00113B5E"/>
    <w:rsid w:val="0011451E"/>
    <w:rsid w:val="00114AA9"/>
    <w:rsid w:val="0011561C"/>
    <w:rsid w:val="001178AC"/>
    <w:rsid w:val="00120A9D"/>
    <w:rsid w:val="00121891"/>
    <w:rsid w:val="00121D9E"/>
    <w:rsid w:val="001242F8"/>
    <w:rsid w:val="00126316"/>
    <w:rsid w:val="00127818"/>
    <w:rsid w:val="00136A37"/>
    <w:rsid w:val="00140207"/>
    <w:rsid w:val="00141927"/>
    <w:rsid w:val="00142FDF"/>
    <w:rsid w:val="001436F3"/>
    <w:rsid w:val="001454C6"/>
    <w:rsid w:val="001456BC"/>
    <w:rsid w:val="00145C92"/>
    <w:rsid w:val="0014663F"/>
    <w:rsid w:val="0015134C"/>
    <w:rsid w:val="0015143E"/>
    <w:rsid w:val="001545A0"/>
    <w:rsid w:val="0015608D"/>
    <w:rsid w:val="001603A8"/>
    <w:rsid w:val="00161CBF"/>
    <w:rsid w:val="00163636"/>
    <w:rsid w:val="00163C54"/>
    <w:rsid w:val="00164C94"/>
    <w:rsid w:val="0016545E"/>
    <w:rsid w:val="001656C0"/>
    <w:rsid w:val="0016708F"/>
    <w:rsid w:val="00167563"/>
    <w:rsid w:val="00170A71"/>
    <w:rsid w:val="00170B83"/>
    <w:rsid w:val="00170FDA"/>
    <w:rsid w:val="0017128F"/>
    <w:rsid w:val="00171E76"/>
    <w:rsid w:val="00173BDB"/>
    <w:rsid w:val="00174EF5"/>
    <w:rsid w:val="001753ED"/>
    <w:rsid w:val="00175AD4"/>
    <w:rsid w:val="001768D0"/>
    <w:rsid w:val="00180038"/>
    <w:rsid w:val="00182DEB"/>
    <w:rsid w:val="00185270"/>
    <w:rsid w:val="00186F7B"/>
    <w:rsid w:val="00187C6B"/>
    <w:rsid w:val="00190573"/>
    <w:rsid w:val="001911B8"/>
    <w:rsid w:val="00193B6F"/>
    <w:rsid w:val="00193D09"/>
    <w:rsid w:val="00194C55"/>
    <w:rsid w:val="00194C8A"/>
    <w:rsid w:val="00195F39"/>
    <w:rsid w:val="001967EF"/>
    <w:rsid w:val="00196EBC"/>
    <w:rsid w:val="001A3058"/>
    <w:rsid w:val="001A38E2"/>
    <w:rsid w:val="001A4C71"/>
    <w:rsid w:val="001A5F0B"/>
    <w:rsid w:val="001A7C2A"/>
    <w:rsid w:val="001B0B97"/>
    <w:rsid w:val="001B2EDA"/>
    <w:rsid w:val="001B3DCF"/>
    <w:rsid w:val="001B7AEF"/>
    <w:rsid w:val="001D1174"/>
    <w:rsid w:val="001D1198"/>
    <w:rsid w:val="001D1D21"/>
    <w:rsid w:val="001D2107"/>
    <w:rsid w:val="001D3ABA"/>
    <w:rsid w:val="001D7864"/>
    <w:rsid w:val="001E21B2"/>
    <w:rsid w:val="001E2A4C"/>
    <w:rsid w:val="001E4AEA"/>
    <w:rsid w:val="001E5820"/>
    <w:rsid w:val="001E641D"/>
    <w:rsid w:val="001F0942"/>
    <w:rsid w:val="001F1265"/>
    <w:rsid w:val="001F14F2"/>
    <w:rsid w:val="001F29A9"/>
    <w:rsid w:val="001F40E3"/>
    <w:rsid w:val="001F4126"/>
    <w:rsid w:val="001F4EC5"/>
    <w:rsid w:val="001F4F7A"/>
    <w:rsid w:val="001F7557"/>
    <w:rsid w:val="00200E23"/>
    <w:rsid w:val="00201266"/>
    <w:rsid w:val="0020223C"/>
    <w:rsid w:val="0020300B"/>
    <w:rsid w:val="00203B5E"/>
    <w:rsid w:val="0020453C"/>
    <w:rsid w:val="0020572F"/>
    <w:rsid w:val="0020586D"/>
    <w:rsid w:val="002117BC"/>
    <w:rsid w:val="00212BDC"/>
    <w:rsid w:val="00215125"/>
    <w:rsid w:val="00220B46"/>
    <w:rsid w:val="00222A00"/>
    <w:rsid w:val="0022504D"/>
    <w:rsid w:val="00225E68"/>
    <w:rsid w:val="002312EF"/>
    <w:rsid w:val="002359C8"/>
    <w:rsid w:val="002370F9"/>
    <w:rsid w:val="0024101D"/>
    <w:rsid w:val="0024113F"/>
    <w:rsid w:val="002414F4"/>
    <w:rsid w:val="002416C1"/>
    <w:rsid w:val="00241AC1"/>
    <w:rsid w:val="002437E2"/>
    <w:rsid w:val="00244E3E"/>
    <w:rsid w:val="002506FF"/>
    <w:rsid w:val="00252055"/>
    <w:rsid w:val="002608E5"/>
    <w:rsid w:val="00260C95"/>
    <w:rsid w:val="00260D5D"/>
    <w:rsid w:val="00260DE8"/>
    <w:rsid w:val="00262DF7"/>
    <w:rsid w:val="00263629"/>
    <w:rsid w:val="00263D2E"/>
    <w:rsid w:val="0026405C"/>
    <w:rsid w:val="002640B0"/>
    <w:rsid w:val="00265093"/>
    <w:rsid w:val="00265A1D"/>
    <w:rsid w:val="00270EC9"/>
    <w:rsid w:val="002725DB"/>
    <w:rsid w:val="00272F1A"/>
    <w:rsid w:val="00273368"/>
    <w:rsid w:val="00276560"/>
    <w:rsid w:val="00281875"/>
    <w:rsid w:val="00283ABE"/>
    <w:rsid w:val="00284F08"/>
    <w:rsid w:val="00285AE5"/>
    <w:rsid w:val="00286DAD"/>
    <w:rsid w:val="00287422"/>
    <w:rsid w:val="002905CC"/>
    <w:rsid w:val="00290757"/>
    <w:rsid w:val="00290BDD"/>
    <w:rsid w:val="00295D30"/>
    <w:rsid w:val="0029685D"/>
    <w:rsid w:val="002A230B"/>
    <w:rsid w:val="002A2A0B"/>
    <w:rsid w:val="002A4FA3"/>
    <w:rsid w:val="002A5835"/>
    <w:rsid w:val="002A703C"/>
    <w:rsid w:val="002A7261"/>
    <w:rsid w:val="002A73D7"/>
    <w:rsid w:val="002A75F5"/>
    <w:rsid w:val="002A78DD"/>
    <w:rsid w:val="002B1A9B"/>
    <w:rsid w:val="002B1EDF"/>
    <w:rsid w:val="002B2E9C"/>
    <w:rsid w:val="002B3012"/>
    <w:rsid w:val="002B4F9C"/>
    <w:rsid w:val="002B50EA"/>
    <w:rsid w:val="002B566D"/>
    <w:rsid w:val="002B65B0"/>
    <w:rsid w:val="002B6FC5"/>
    <w:rsid w:val="002C24FC"/>
    <w:rsid w:val="002C2D08"/>
    <w:rsid w:val="002C3CB7"/>
    <w:rsid w:val="002C5235"/>
    <w:rsid w:val="002C677C"/>
    <w:rsid w:val="002D0059"/>
    <w:rsid w:val="002D20D3"/>
    <w:rsid w:val="002D3B96"/>
    <w:rsid w:val="002D6549"/>
    <w:rsid w:val="002E1498"/>
    <w:rsid w:val="002E2A8E"/>
    <w:rsid w:val="002E4068"/>
    <w:rsid w:val="002F006F"/>
    <w:rsid w:val="002F0B60"/>
    <w:rsid w:val="002F4BA3"/>
    <w:rsid w:val="002F5CBB"/>
    <w:rsid w:val="002F6DD3"/>
    <w:rsid w:val="002F7568"/>
    <w:rsid w:val="00302CA5"/>
    <w:rsid w:val="00303BB3"/>
    <w:rsid w:val="00304F33"/>
    <w:rsid w:val="00307794"/>
    <w:rsid w:val="00307D18"/>
    <w:rsid w:val="0031037A"/>
    <w:rsid w:val="00310E66"/>
    <w:rsid w:val="00312AF1"/>
    <w:rsid w:val="00314651"/>
    <w:rsid w:val="003174DE"/>
    <w:rsid w:val="0032462B"/>
    <w:rsid w:val="00331974"/>
    <w:rsid w:val="00332261"/>
    <w:rsid w:val="003326EB"/>
    <w:rsid w:val="00332E65"/>
    <w:rsid w:val="00333A5A"/>
    <w:rsid w:val="0033533C"/>
    <w:rsid w:val="00335652"/>
    <w:rsid w:val="00335970"/>
    <w:rsid w:val="00336EEA"/>
    <w:rsid w:val="003370D8"/>
    <w:rsid w:val="003370F0"/>
    <w:rsid w:val="00340165"/>
    <w:rsid w:val="0034153A"/>
    <w:rsid w:val="00343AF4"/>
    <w:rsid w:val="00344BA7"/>
    <w:rsid w:val="00350ED6"/>
    <w:rsid w:val="003510D0"/>
    <w:rsid w:val="0035140A"/>
    <w:rsid w:val="0035284B"/>
    <w:rsid w:val="00353A06"/>
    <w:rsid w:val="00353AAF"/>
    <w:rsid w:val="00354CC5"/>
    <w:rsid w:val="00354EDF"/>
    <w:rsid w:val="00360F01"/>
    <w:rsid w:val="003621EA"/>
    <w:rsid w:val="00363CC8"/>
    <w:rsid w:val="00364B02"/>
    <w:rsid w:val="00370DA5"/>
    <w:rsid w:val="00372398"/>
    <w:rsid w:val="003740E3"/>
    <w:rsid w:val="003754D0"/>
    <w:rsid w:val="00377653"/>
    <w:rsid w:val="00377F5C"/>
    <w:rsid w:val="0038567D"/>
    <w:rsid w:val="003868BE"/>
    <w:rsid w:val="00386EB2"/>
    <w:rsid w:val="00387EE7"/>
    <w:rsid w:val="00390091"/>
    <w:rsid w:val="00392D5F"/>
    <w:rsid w:val="0039484B"/>
    <w:rsid w:val="0039680F"/>
    <w:rsid w:val="003A11E8"/>
    <w:rsid w:val="003A136F"/>
    <w:rsid w:val="003A2A3F"/>
    <w:rsid w:val="003A4333"/>
    <w:rsid w:val="003A6710"/>
    <w:rsid w:val="003A67E4"/>
    <w:rsid w:val="003B084F"/>
    <w:rsid w:val="003B0D34"/>
    <w:rsid w:val="003B1D30"/>
    <w:rsid w:val="003B2137"/>
    <w:rsid w:val="003B2A67"/>
    <w:rsid w:val="003B3D5D"/>
    <w:rsid w:val="003B4645"/>
    <w:rsid w:val="003B5CD1"/>
    <w:rsid w:val="003B6793"/>
    <w:rsid w:val="003C0353"/>
    <w:rsid w:val="003C1E4C"/>
    <w:rsid w:val="003C29C1"/>
    <w:rsid w:val="003C5CD3"/>
    <w:rsid w:val="003C6CD2"/>
    <w:rsid w:val="003D2F11"/>
    <w:rsid w:val="003D33B0"/>
    <w:rsid w:val="003D4053"/>
    <w:rsid w:val="003D47C3"/>
    <w:rsid w:val="003D4DA9"/>
    <w:rsid w:val="003D77BC"/>
    <w:rsid w:val="003E0071"/>
    <w:rsid w:val="003E1BD5"/>
    <w:rsid w:val="003E1ECD"/>
    <w:rsid w:val="003E47B0"/>
    <w:rsid w:val="003E5EE8"/>
    <w:rsid w:val="003E687E"/>
    <w:rsid w:val="003E7BF2"/>
    <w:rsid w:val="003F06DF"/>
    <w:rsid w:val="003F19E3"/>
    <w:rsid w:val="003F4A83"/>
    <w:rsid w:val="003F4EF3"/>
    <w:rsid w:val="003F5600"/>
    <w:rsid w:val="003F582D"/>
    <w:rsid w:val="003F5D35"/>
    <w:rsid w:val="003F5F7D"/>
    <w:rsid w:val="003F7071"/>
    <w:rsid w:val="003F750A"/>
    <w:rsid w:val="00401B8D"/>
    <w:rsid w:val="00401EC5"/>
    <w:rsid w:val="0040736A"/>
    <w:rsid w:val="0041282E"/>
    <w:rsid w:val="00412A0F"/>
    <w:rsid w:val="0041363E"/>
    <w:rsid w:val="00414479"/>
    <w:rsid w:val="004144E0"/>
    <w:rsid w:val="00420243"/>
    <w:rsid w:val="00420BCF"/>
    <w:rsid w:val="00421BC3"/>
    <w:rsid w:val="004258C4"/>
    <w:rsid w:val="004261DB"/>
    <w:rsid w:val="00426813"/>
    <w:rsid w:val="00427513"/>
    <w:rsid w:val="0043122B"/>
    <w:rsid w:val="004312C5"/>
    <w:rsid w:val="0043264F"/>
    <w:rsid w:val="004334A5"/>
    <w:rsid w:val="004335B2"/>
    <w:rsid w:val="00433770"/>
    <w:rsid w:val="0043487F"/>
    <w:rsid w:val="004350E5"/>
    <w:rsid w:val="004359D2"/>
    <w:rsid w:val="00437DC8"/>
    <w:rsid w:val="00440277"/>
    <w:rsid w:val="004415C7"/>
    <w:rsid w:val="00441A62"/>
    <w:rsid w:val="0044696F"/>
    <w:rsid w:val="00450A2E"/>
    <w:rsid w:val="00450B24"/>
    <w:rsid w:val="004622C5"/>
    <w:rsid w:val="00464EAC"/>
    <w:rsid w:val="00467571"/>
    <w:rsid w:val="00467599"/>
    <w:rsid w:val="00467CB6"/>
    <w:rsid w:val="00475CE0"/>
    <w:rsid w:val="00480894"/>
    <w:rsid w:val="00481310"/>
    <w:rsid w:val="00481827"/>
    <w:rsid w:val="004819DC"/>
    <w:rsid w:val="00481F54"/>
    <w:rsid w:val="00484EC8"/>
    <w:rsid w:val="00485254"/>
    <w:rsid w:val="004867A6"/>
    <w:rsid w:val="00491886"/>
    <w:rsid w:val="00492146"/>
    <w:rsid w:val="00492C3D"/>
    <w:rsid w:val="004947A2"/>
    <w:rsid w:val="00494B91"/>
    <w:rsid w:val="00497EB1"/>
    <w:rsid w:val="004A4118"/>
    <w:rsid w:val="004A5CB8"/>
    <w:rsid w:val="004A6236"/>
    <w:rsid w:val="004B4990"/>
    <w:rsid w:val="004B4ABB"/>
    <w:rsid w:val="004B4F8A"/>
    <w:rsid w:val="004B6BAF"/>
    <w:rsid w:val="004C0065"/>
    <w:rsid w:val="004C034C"/>
    <w:rsid w:val="004C31D9"/>
    <w:rsid w:val="004C396D"/>
    <w:rsid w:val="004C5042"/>
    <w:rsid w:val="004C5603"/>
    <w:rsid w:val="004C65EA"/>
    <w:rsid w:val="004D07C0"/>
    <w:rsid w:val="004D209F"/>
    <w:rsid w:val="004D39EB"/>
    <w:rsid w:val="004D6154"/>
    <w:rsid w:val="004D6ED7"/>
    <w:rsid w:val="004E3495"/>
    <w:rsid w:val="004E367B"/>
    <w:rsid w:val="004E3DA2"/>
    <w:rsid w:val="004E6025"/>
    <w:rsid w:val="004E796B"/>
    <w:rsid w:val="004E7D45"/>
    <w:rsid w:val="004F14B9"/>
    <w:rsid w:val="004F5134"/>
    <w:rsid w:val="004F517F"/>
    <w:rsid w:val="004F61FF"/>
    <w:rsid w:val="004F7705"/>
    <w:rsid w:val="00501D76"/>
    <w:rsid w:val="00502F91"/>
    <w:rsid w:val="00504BA2"/>
    <w:rsid w:val="005051FD"/>
    <w:rsid w:val="00505703"/>
    <w:rsid w:val="0050586C"/>
    <w:rsid w:val="00507B1E"/>
    <w:rsid w:val="0051275F"/>
    <w:rsid w:val="00513DFE"/>
    <w:rsid w:val="00513E27"/>
    <w:rsid w:val="00514FE6"/>
    <w:rsid w:val="005153AC"/>
    <w:rsid w:val="005153FF"/>
    <w:rsid w:val="00515A9C"/>
    <w:rsid w:val="00517127"/>
    <w:rsid w:val="005176E7"/>
    <w:rsid w:val="0052146B"/>
    <w:rsid w:val="0052492B"/>
    <w:rsid w:val="0052589E"/>
    <w:rsid w:val="00526FBD"/>
    <w:rsid w:val="005307E6"/>
    <w:rsid w:val="00531992"/>
    <w:rsid w:val="00532B01"/>
    <w:rsid w:val="00532B18"/>
    <w:rsid w:val="005330F8"/>
    <w:rsid w:val="005334DA"/>
    <w:rsid w:val="00533AEF"/>
    <w:rsid w:val="005341A2"/>
    <w:rsid w:val="0053502A"/>
    <w:rsid w:val="005354E0"/>
    <w:rsid w:val="00535B8E"/>
    <w:rsid w:val="00535B8F"/>
    <w:rsid w:val="0053704D"/>
    <w:rsid w:val="005404AA"/>
    <w:rsid w:val="00540B5D"/>
    <w:rsid w:val="00542A2C"/>
    <w:rsid w:val="005436E0"/>
    <w:rsid w:val="00544738"/>
    <w:rsid w:val="0054476C"/>
    <w:rsid w:val="00545403"/>
    <w:rsid w:val="005455FE"/>
    <w:rsid w:val="00547AB2"/>
    <w:rsid w:val="00547AD6"/>
    <w:rsid w:val="00550750"/>
    <w:rsid w:val="0055472C"/>
    <w:rsid w:val="00555ACF"/>
    <w:rsid w:val="0055617A"/>
    <w:rsid w:val="005568D5"/>
    <w:rsid w:val="005574D4"/>
    <w:rsid w:val="005604A4"/>
    <w:rsid w:val="00562991"/>
    <w:rsid w:val="00562D8D"/>
    <w:rsid w:val="00562DD7"/>
    <w:rsid w:val="00562DFD"/>
    <w:rsid w:val="00563C7F"/>
    <w:rsid w:val="00564678"/>
    <w:rsid w:val="005648DB"/>
    <w:rsid w:val="00566BFE"/>
    <w:rsid w:val="00567515"/>
    <w:rsid w:val="00567CCB"/>
    <w:rsid w:val="0057195A"/>
    <w:rsid w:val="005746A2"/>
    <w:rsid w:val="00580FBE"/>
    <w:rsid w:val="00583586"/>
    <w:rsid w:val="00583DB3"/>
    <w:rsid w:val="00584590"/>
    <w:rsid w:val="00584D1F"/>
    <w:rsid w:val="005869BE"/>
    <w:rsid w:val="005872F3"/>
    <w:rsid w:val="00587961"/>
    <w:rsid w:val="00592566"/>
    <w:rsid w:val="005962D2"/>
    <w:rsid w:val="005979A9"/>
    <w:rsid w:val="005979D7"/>
    <w:rsid w:val="005A1AAE"/>
    <w:rsid w:val="005A1D1F"/>
    <w:rsid w:val="005A248D"/>
    <w:rsid w:val="005A2723"/>
    <w:rsid w:val="005A408F"/>
    <w:rsid w:val="005A4F0E"/>
    <w:rsid w:val="005A5025"/>
    <w:rsid w:val="005A6115"/>
    <w:rsid w:val="005A71A9"/>
    <w:rsid w:val="005B3508"/>
    <w:rsid w:val="005B63CF"/>
    <w:rsid w:val="005B693D"/>
    <w:rsid w:val="005B75CD"/>
    <w:rsid w:val="005B7802"/>
    <w:rsid w:val="005C07C6"/>
    <w:rsid w:val="005C160D"/>
    <w:rsid w:val="005C169D"/>
    <w:rsid w:val="005C3358"/>
    <w:rsid w:val="005C3EAE"/>
    <w:rsid w:val="005C6A54"/>
    <w:rsid w:val="005C6AE2"/>
    <w:rsid w:val="005C7D01"/>
    <w:rsid w:val="005D2380"/>
    <w:rsid w:val="005D24E4"/>
    <w:rsid w:val="005D47B7"/>
    <w:rsid w:val="005D6856"/>
    <w:rsid w:val="005D77A7"/>
    <w:rsid w:val="005E0355"/>
    <w:rsid w:val="005E1355"/>
    <w:rsid w:val="005E33AC"/>
    <w:rsid w:val="005E4BC5"/>
    <w:rsid w:val="005E57AB"/>
    <w:rsid w:val="005E60B8"/>
    <w:rsid w:val="005E654D"/>
    <w:rsid w:val="005F3DFF"/>
    <w:rsid w:val="00601164"/>
    <w:rsid w:val="00602D7E"/>
    <w:rsid w:val="006030B2"/>
    <w:rsid w:val="0060792E"/>
    <w:rsid w:val="00607C7D"/>
    <w:rsid w:val="00607EF0"/>
    <w:rsid w:val="00610D0D"/>
    <w:rsid w:val="0061186A"/>
    <w:rsid w:val="0061309D"/>
    <w:rsid w:val="00616D5A"/>
    <w:rsid w:val="006170DA"/>
    <w:rsid w:val="00617A31"/>
    <w:rsid w:val="00621A40"/>
    <w:rsid w:val="006237DA"/>
    <w:rsid w:val="00623F98"/>
    <w:rsid w:val="006245B9"/>
    <w:rsid w:val="00624770"/>
    <w:rsid w:val="00624E62"/>
    <w:rsid w:val="00625F50"/>
    <w:rsid w:val="00626F5C"/>
    <w:rsid w:val="00632A62"/>
    <w:rsid w:val="00633B5B"/>
    <w:rsid w:val="00637B15"/>
    <w:rsid w:val="0064292B"/>
    <w:rsid w:val="00643137"/>
    <w:rsid w:val="00646A5A"/>
    <w:rsid w:val="00650C99"/>
    <w:rsid w:val="00654A17"/>
    <w:rsid w:val="006623AB"/>
    <w:rsid w:val="00662BEA"/>
    <w:rsid w:val="006649F6"/>
    <w:rsid w:val="0066696B"/>
    <w:rsid w:val="006675D8"/>
    <w:rsid w:val="006700E8"/>
    <w:rsid w:val="0067038E"/>
    <w:rsid w:val="00671A0B"/>
    <w:rsid w:val="00671D6E"/>
    <w:rsid w:val="00674D55"/>
    <w:rsid w:val="006753E2"/>
    <w:rsid w:val="00682CE0"/>
    <w:rsid w:val="006838EA"/>
    <w:rsid w:val="00683C9F"/>
    <w:rsid w:val="00683D6B"/>
    <w:rsid w:val="00683F14"/>
    <w:rsid w:val="00685334"/>
    <w:rsid w:val="006855C9"/>
    <w:rsid w:val="00685939"/>
    <w:rsid w:val="00687992"/>
    <w:rsid w:val="00690382"/>
    <w:rsid w:val="00691494"/>
    <w:rsid w:val="0069260C"/>
    <w:rsid w:val="00692A34"/>
    <w:rsid w:val="00692CF8"/>
    <w:rsid w:val="00694110"/>
    <w:rsid w:val="00694BED"/>
    <w:rsid w:val="00696566"/>
    <w:rsid w:val="00697262"/>
    <w:rsid w:val="006A0415"/>
    <w:rsid w:val="006A1872"/>
    <w:rsid w:val="006A1E97"/>
    <w:rsid w:val="006B2763"/>
    <w:rsid w:val="006B2A61"/>
    <w:rsid w:val="006B2BC0"/>
    <w:rsid w:val="006B4946"/>
    <w:rsid w:val="006B4A81"/>
    <w:rsid w:val="006B4D70"/>
    <w:rsid w:val="006B6563"/>
    <w:rsid w:val="006C04FF"/>
    <w:rsid w:val="006C340D"/>
    <w:rsid w:val="006C6AF4"/>
    <w:rsid w:val="006D05D9"/>
    <w:rsid w:val="006D1A08"/>
    <w:rsid w:val="006D31BF"/>
    <w:rsid w:val="006D3AE7"/>
    <w:rsid w:val="006D3B8C"/>
    <w:rsid w:val="006D3E67"/>
    <w:rsid w:val="006D528F"/>
    <w:rsid w:val="006D5F68"/>
    <w:rsid w:val="006D6A66"/>
    <w:rsid w:val="006D7062"/>
    <w:rsid w:val="006D7EFA"/>
    <w:rsid w:val="006E1DD9"/>
    <w:rsid w:val="006E2C24"/>
    <w:rsid w:val="006E344A"/>
    <w:rsid w:val="006E3A20"/>
    <w:rsid w:val="006E6E1A"/>
    <w:rsid w:val="006F468D"/>
    <w:rsid w:val="006F4CC4"/>
    <w:rsid w:val="006F6875"/>
    <w:rsid w:val="006F6AD6"/>
    <w:rsid w:val="007021CD"/>
    <w:rsid w:val="007043CE"/>
    <w:rsid w:val="007046B7"/>
    <w:rsid w:val="0070555D"/>
    <w:rsid w:val="00706161"/>
    <w:rsid w:val="00706C19"/>
    <w:rsid w:val="00706F08"/>
    <w:rsid w:val="00707C6E"/>
    <w:rsid w:val="00711493"/>
    <w:rsid w:val="00712BE6"/>
    <w:rsid w:val="00713232"/>
    <w:rsid w:val="0071520D"/>
    <w:rsid w:val="0071590B"/>
    <w:rsid w:val="00717F95"/>
    <w:rsid w:val="0072385D"/>
    <w:rsid w:val="007249CD"/>
    <w:rsid w:val="00725D93"/>
    <w:rsid w:val="007279E6"/>
    <w:rsid w:val="00730996"/>
    <w:rsid w:val="00732D8B"/>
    <w:rsid w:val="007331C5"/>
    <w:rsid w:val="0073564E"/>
    <w:rsid w:val="00736070"/>
    <w:rsid w:val="0073656B"/>
    <w:rsid w:val="007404D5"/>
    <w:rsid w:val="007406D0"/>
    <w:rsid w:val="00741386"/>
    <w:rsid w:val="00741BAD"/>
    <w:rsid w:val="00742527"/>
    <w:rsid w:val="0074377D"/>
    <w:rsid w:val="00743A00"/>
    <w:rsid w:val="00743C52"/>
    <w:rsid w:val="00745EC6"/>
    <w:rsid w:val="00747488"/>
    <w:rsid w:val="00747C9B"/>
    <w:rsid w:val="007507D9"/>
    <w:rsid w:val="00750E2C"/>
    <w:rsid w:val="00752592"/>
    <w:rsid w:val="00752730"/>
    <w:rsid w:val="0075373A"/>
    <w:rsid w:val="00755B08"/>
    <w:rsid w:val="00760833"/>
    <w:rsid w:val="00761B2A"/>
    <w:rsid w:val="00766522"/>
    <w:rsid w:val="00772863"/>
    <w:rsid w:val="00772C6C"/>
    <w:rsid w:val="00774513"/>
    <w:rsid w:val="007776CE"/>
    <w:rsid w:val="00780019"/>
    <w:rsid w:val="00781503"/>
    <w:rsid w:val="00784A31"/>
    <w:rsid w:val="00786EDD"/>
    <w:rsid w:val="007872E8"/>
    <w:rsid w:val="00787A87"/>
    <w:rsid w:val="00791F2B"/>
    <w:rsid w:val="007941BC"/>
    <w:rsid w:val="0079457E"/>
    <w:rsid w:val="007A1667"/>
    <w:rsid w:val="007A34DC"/>
    <w:rsid w:val="007A5417"/>
    <w:rsid w:val="007A5523"/>
    <w:rsid w:val="007B743C"/>
    <w:rsid w:val="007B78A5"/>
    <w:rsid w:val="007B7C00"/>
    <w:rsid w:val="007C26E7"/>
    <w:rsid w:val="007C2B25"/>
    <w:rsid w:val="007C2DEE"/>
    <w:rsid w:val="007C5629"/>
    <w:rsid w:val="007C632D"/>
    <w:rsid w:val="007D23B0"/>
    <w:rsid w:val="007D344C"/>
    <w:rsid w:val="007D3947"/>
    <w:rsid w:val="007D47FE"/>
    <w:rsid w:val="007D59C2"/>
    <w:rsid w:val="007D5B8F"/>
    <w:rsid w:val="007D71B4"/>
    <w:rsid w:val="007D73F0"/>
    <w:rsid w:val="007E3EE0"/>
    <w:rsid w:val="007E55E8"/>
    <w:rsid w:val="007E6A6E"/>
    <w:rsid w:val="007E6E9D"/>
    <w:rsid w:val="007F25BF"/>
    <w:rsid w:val="007F4328"/>
    <w:rsid w:val="007F5EBC"/>
    <w:rsid w:val="007F71D2"/>
    <w:rsid w:val="007F7C5C"/>
    <w:rsid w:val="00804C59"/>
    <w:rsid w:val="00805E8D"/>
    <w:rsid w:val="008060B0"/>
    <w:rsid w:val="008063F8"/>
    <w:rsid w:val="00806737"/>
    <w:rsid w:val="00810FE7"/>
    <w:rsid w:val="00811864"/>
    <w:rsid w:val="00812558"/>
    <w:rsid w:val="00813838"/>
    <w:rsid w:val="00814B62"/>
    <w:rsid w:val="00815404"/>
    <w:rsid w:val="008179DA"/>
    <w:rsid w:val="00822D1B"/>
    <w:rsid w:val="0082316F"/>
    <w:rsid w:val="008250A3"/>
    <w:rsid w:val="00825418"/>
    <w:rsid w:val="00826FA7"/>
    <w:rsid w:val="00827819"/>
    <w:rsid w:val="00830A2C"/>
    <w:rsid w:val="00831975"/>
    <w:rsid w:val="00833315"/>
    <w:rsid w:val="00833DF8"/>
    <w:rsid w:val="00837F3B"/>
    <w:rsid w:val="00841838"/>
    <w:rsid w:val="00841B56"/>
    <w:rsid w:val="00842F0D"/>
    <w:rsid w:val="00844A9E"/>
    <w:rsid w:val="00844E08"/>
    <w:rsid w:val="008463A8"/>
    <w:rsid w:val="008466BA"/>
    <w:rsid w:val="00850929"/>
    <w:rsid w:val="008518C9"/>
    <w:rsid w:val="00852A6D"/>
    <w:rsid w:val="00856617"/>
    <w:rsid w:val="00857E69"/>
    <w:rsid w:val="00860262"/>
    <w:rsid w:val="00860A3B"/>
    <w:rsid w:val="00860AE9"/>
    <w:rsid w:val="00860F5F"/>
    <w:rsid w:val="00865C4D"/>
    <w:rsid w:val="00865E92"/>
    <w:rsid w:val="00866A7A"/>
    <w:rsid w:val="0086791A"/>
    <w:rsid w:val="008702BC"/>
    <w:rsid w:val="00872232"/>
    <w:rsid w:val="008739DA"/>
    <w:rsid w:val="00877F63"/>
    <w:rsid w:val="008832BC"/>
    <w:rsid w:val="0088512F"/>
    <w:rsid w:val="008870E6"/>
    <w:rsid w:val="00890383"/>
    <w:rsid w:val="00890883"/>
    <w:rsid w:val="00890C61"/>
    <w:rsid w:val="00892108"/>
    <w:rsid w:val="008929E7"/>
    <w:rsid w:val="00893955"/>
    <w:rsid w:val="00895921"/>
    <w:rsid w:val="008962DF"/>
    <w:rsid w:val="008969A5"/>
    <w:rsid w:val="00897BD8"/>
    <w:rsid w:val="008A0730"/>
    <w:rsid w:val="008A5529"/>
    <w:rsid w:val="008A61E0"/>
    <w:rsid w:val="008A6746"/>
    <w:rsid w:val="008A7472"/>
    <w:rsid w:val="008A7593"/>
    <w:rsid w:val="008A7B46"/>
    <w:rsid w:val="008B169F"/>
    <w:rsid w:val="008B197E"/>
    <w:rsid w:val="008B3799"/>
    <w:rsid w:val="008B472E"/>
    <w:rsid w:val="008B6243"/>
    <w:rsid w:val="008B7F11"/>
    <w:rsid w:val="008C1490"/>
    <w:rsid w:val="008C228F"/>
    <w:rsid w:val="008C34E3"/>
    <w:rsid w:val="008C3CAF"/>
    <w:rsid w:val="008D004B"/>
    <w:rsid w:val="008D1989"/>
    <w:rsid w:val="008D1D9D"/>
    <w:rsid w:val="008D2E78"/>
    <w:rsid w:val="008D2FEA"/>
    <w:rsid w:val="008D5A06"/>
    <w:rsid w:val="008D6904"/>
    <w:rsid w:val="008E1CFA"/>
    <w:rsid w:val="008E2A70"/>
    <w:rsid w:val="008E41E5"/>
    <w:rsid w:val="008E62FC"/>
    <w:rsid w:val="008F0FAC"/>
    <w:rsid w:val="008F2929"/>
    <w:rsid w:val="008F4E17"/>
    <w:rsid w:val="008F724A"/>
    <w:rsid w:val="008F7718"/>
    <w:rsid w:val="00902643"/>
    <w:rsid w:val="00906FBE"/>
    <w:rsid w:val="00910FF1"/>
    <w:rsid w:val="00911534"/>
    <w:rsid w:val="0091719A"/>
    <w:rsid w:val="00921FD5"/>
    <w:rsid w:val="00926CD4"/>
    <w:rsid w:val="00927366"/>
    <w:rsid w:val="009300E1"/>
    <w:rsid w:val="009306D3"/>
    <w:rsid w:val="009317C6"/>
    <w:rsid w:val="00931E62"/>
    <w:rsid w:val="00931F55"/>
    <w:rsid w:val="0093214D"/>
    <w:rsid w:val="00932DAE"/>
    <w:rsid w:val="00933415"/>
    <w:rsid w:val="00934FF1"/>
    <w:rsid w:val="009409DF"/>
    <w:rsid w:val="009436FC"/>
    <w:rsid w:val="00943BF0"/>
    <w:rsid w:val="009458AA"/>
    <w:rsid w:val="00945B67"/>
    <w:rsid w:val="00945F9A"/>
    <w:rsid w:val="00946358"/>
    <w:rsid w:val="00946755"/>
    <w:rsid w:val="00950D73"/>
    <w:rsid w:val="00953A4D"/>
    <w:rsid w:val="009552B6"/>
    <w:rsid w:val="0095677B"/>
    <w:rsid w:val="009603AC"/>
    <w:rsid w:val="00963CB6"/>
    <w:rsid w:val="00965000"/>
    <w:rsid w:val="009658ED"/>
    <w:rsid w:val="00966163"/>
    <w:rsid w:val="009671FD"/>
    <w:rsid w:val="00967679"/>
    <w:rsid w:val="00971266"/>
    <w:rsid w:val="00973163"/>
    <w:rsid w:val="00973A84"/>
    <w:rsid w:val="00975EAB"/>
    <w:rsid w:val="009766F2"/>
    <w:rsid w:val="00981391"/>
    <w:rsid w:val="00981A86"/>
    <w:rsid w:val="0098220C"/>
    <w:rsid w:val="0098389B"/>
    <w:rsid w:val="009839A7"/>
    <w:rsid w:val="00984030"/>
    <w:rsid w:val="0098498D"/>
    <w:rsid w:val="00986848"/>
    <w:rsid w:val="00986BAA"/>
    <w:rsid w:val="00990692"/>
    <w:rsid w:val="0099697F"/>
    <w:rsid w:val="00997310"/>
    <w:rsid w:val="009A0BC8"/>
    <w:rsid w:val="009A1D8C"/>
    <w:rsid w:val="009A2A08"/>
    <w:rsid w:val="009A31D2"/>
    <w:rsid w:val="009A3BAB"/>
    <w:rsid w:val="009A3ECB"/>
    <w:rsid w:val="009A4388"/>
    <w:rsid w:val="009A462E"/>
    <w:rsid w:val="009A7E6B"/>
    <w:rsid w:val="009B0CBB"/>
    <w:rsid w:val="009B1571"/>
    <w:rsid w:val="009B38E5"/>
    <w:rsid w:val="009B4733"/>
    <w:rsid w:val="009B5B5D"/>
    <w:rsid w:val="009B63C4"/>
    <w:rsid w:val="009B6B36"/>
    <w:rsid w:val="009B6E31"/>
    <w:rsid w:val="009B7DBD"/>
    <w:rsid w:val="009C091B"/>
    <w:rsid w:val="009C11C3"/>
    <w:rsid w:val="009C2EA4"/>
    <w:rsid w:val="009C3098"/>
    <w:rsid w:val="009C5526"/>
    <w:rsid w:val="009C5A2A"/>
    <w:rsid w:val="009C67F0"/>
    <w:rsid w:val="009D035D"/>
    <w:rsid w:val="009D0600"/>
    <w:rsid w:val="009D264D"/>
    <w:rsid w:val="009D71C2"/>
    <w:rsid w:val="009D7DB0"/>
    <w:rsid w:val="009E03AD"/>
    <w:rsid w:val="009E12ED"/>
    <w:rsid w:val="009E1362"/>
    <w:rsid w:val="009E218B"/>
    <w:rsid w:val="009E2654"/>
    <w:rsid w:val="009E26B5"/>
    <w:rsid w:val="009E3CC2"/>
    <w:rsid w:val="009E3FFB"/>
    <w:rsid w:val="009F12D1"/>
    <w:rsid w:val="009F3196"/>
    <w:rsid w:val="009F5552"/>
    <w:rsid w:val="00A01A8E"/>
    <w:rsid w:val="00A01E28"/>
    <w:rsid w:val="00A02290"/>
    <w:rsid w:val="00A022CE"/>
    <w:rsid w:val="00A06184"/>
    <w:rsid w:val="00A14BFA"/>
    <w:rsid w:val="00A152CF"/>
    <w:rsid w:val="00A1586C"/>
    <w:rsid w:val="00A16C23"/>
    <w:rsid w:val="00A17D42"/>
    <w:rsid w:val="00A22F5A"/>
    <w:rsid w:val="00A24BB5"/>
    <w:rsid w:val="00A2641F"/>
    <w:rsid w:val="00A26EDA"/>
    <w:rsid w:val="00A325A5"/>
    <w:rsid w:val="00A341ED"/>
    <w:rsid w:val="00A34CE8"/>
    <w:rsid w:val="00A35148"/>
    <w:rsid w:val="00A3634B"/>
    <w:rsid w:val="00A4117F"/>
    <w:rsid w:val="00A41A7C"/>
    <w:rsid w:val="00A42222"/>
    <w:rsid w:val="00A427CC"/>
    <w:rsid w:val="00A42D69"/>
    <w:rsid w:val="00A45B34"/>
    <w:rsid w:val="00A47956"/>
    <w:rsid w:val="00A50211"/>
    <w:rsid w:val="00A51C2C"/>
    <w:rsid w:val="00A51E3E"/>
    <w:rsid w:val="00A52A63"/>
    <w:rsid w:val="00A5490A"/>
    <w:rsid w:val="00A54EB6"/>
    <w:rsid w:val="00A55370"/>
    <w:rsid w:val="00A55A79"/>
    <w:rsid w:val="00A5695E"/>
    <w:rsid w:val="00A57127"/>
    <w:rsid w:val="00A6024B"/>
    <w:rsid w:val="00A61729"/>
    <w:rsid w:val="00A618E0"/>
    <w:rsid w:val="00A61E94"/>
    <w:rsid w:val="00A62447"/>
    <w:rsid w:val="00A629FD"/>
    <w:rsid w:val="00A63232"/>
    <w:rsid w:val="00A64C61"/>
    <w:rsid w:val="00A655E7"/>
    <w:rsid w:val="00A6643C"/>
    <w:rsid w:val="00A70047"/>
    <w:rsid w:val="00A73D19"/>
    <w:rsid w:val="00A74ACA"/>
    <w:rsid w:val="00A75191"/>
    <w:rsid w:val="00A76BAB"/>
    <w:rsid w:val="00A76EED"/>
    <w:rsid w:val="00A8510C"/>
    <w:rsid w:val="00A86C23"/>
    <w:rsid w:val="00A875F3"/>
    <w:rsid w:val="00A87C26"/>
    <w:rsid w:val="00A90F17"/>
    <w:rsid w:val="00A9273C"/>
    <w:rsid w:val="00A97DD7"/>
    <w:rsid w:val="00AA2867"/>
    <w:rsid w:val="00AA2CE6"/>
    <w:rsid w:val="00AA5F81"/>
    <w:rsid w:val="00AA74EF"/>
    <w:rsid w:val="00AB04CF"/>
    <w:rsid w:val="00AB26F6"/>
    <w:rsid w:val="00AB404F"/>
    <w:rsid w:val="00AB4053"/>
    <w:rsid w:val="00AB656A"/>
    <w:rsid w:val="00AB78A2"/>
    <w:rsid w:val="00AC1143"/>
    <w:rsid w:val="00AC3914"/>
    <w:rsid w:val="00AC7BCB"/>
    <w:rsid w:val="00AD006C"/>
    <w:rsid w:val="00AD15D0"/>
    <w:rsid w:val="00AD2021"/>
    <w:rsid w:val="00AD4896"/>
    <w:rsid w:val="00AD6777"/>
    <w:rsid w:val="00AD7238"/>
    <w:rsid w:val="00AD7F45"/>
    <w:rsid w:val="00AE25E2"/>
    <w:rsid w:val="00AE3039"/>
    <w:rsid w:val="00AF0F85"/>
    <w:rsid w:val="00AF1189"/>
    <w:rsid w:val="00AF1F91"/>
    <w:rsid w:val="00AF2724"/>
    <w:rsid w:val="00AF5B6E"/>
    <w:rsid w:val="00B0184B"/>
    <w:rsid w:val="00B02683"/>
    <w:rsid w:val="00B0791C"/>
    <w:rsid w:val="00B12BA5"/>
    <w:rsid w:val="00B14141"/>
    <w:rsid w:val="00B16A06"/>
    <w:rsid w:val="00B23B09"/>
    <w:rsid w:val="00B2609F"/>
    <w:rsid w:val="00B275D4"/>
    <w:rsid w:val="00B309D1"/>
    <w:rsid w:val="00B3184E"/>
    <w:rsid w:val="00B31F9B"/>
    <w:rsid w:val="00B34BF5"/>
    <w:rsid w:val="00B35687"/>
    <w:rsid w:val="00B3648C"/>
    <w:rsid w:val="00B401B0"/>
    <w:rsid w:val="00B4093F"/>
    <w:rsid w:val="00B40A13"/>
    <w:rsid w:val="00B42815"/>
    <w:rsid w:val="00B42B74"/>
    <w:rsid w:val="00B42C12"/>
    <w:rsid w:val="00B45529"/>
    <w:rsid w:val="00B464C4"/>
    <w:rsid w:val="00B52670"/>
    <w:rsid w:val="00B545BE"/>
    <w:rsid w:val="00B55969"/>
    <w:rsid w:val="00B575D3"/>
    <w:rsid w:val="00B5789D"/>
    <w:rsid w:val="00B6027D"/>
    <w:rsid w:val="00B63B2B"/>
    <w:rsid w:val="00B67971"/>
    <w:rsid w:val="00B67B57"/>
    <w:rsid w:val="00B70AFA"/>
    <w:rsid w:val="00B70B05"/>
    <w:rsid w:val="00B7235D"/>
    <w:rsid w:val="00B7274E"/>
    <w:rsid w:val="00B73D22"/>
    <w:rsid w:val="00B742FF"/>
    <w:rsid w:val="00B744C3"/>
    <w:rsid w:val="00B7540D"/>
    <w:rsid w:val="00B7573A"/>
    <w:rsid w:val="00B80376"/>
    <w:rsid w:val="00B8058D"/>
    <w:rsid w:val="00B82743"/>
    <w:rsid w:val="00B82C15"/>
    <w:rsid w:val="00B85570"/>
    <w:rsid w:val="00B856A9"/>
    <w:rsid w:val="00B86332"/>
    <w:rsid w:val="00B87792"/>
    <w:rsid w:val="00B87F08"/>
    <w:rsid w:val="00B91524"/>
    <w:rsid w:val="00B91CD9"/>
    <w:rsid w:val="00B9250B"/>
    <w:rsid w:val="00B94AA8"/>
    <w:rsid w:val="00B94ADB"/>
    <w:rsid w:val="00B9530D"/>
    <w:rsid w:val="00B97B28"/>
    <w:rsid w:val="00BA254B"/>
    <w:rsid w:val="00BA4252"/>
    <w:rsid w:val="00BA4A87"/>
    <w:rsid w:val="00BA5F2C"/>
    <w:rsid w:val="00BA7BAA"/>
    <w:rsid w:val="00BB0D92"/>
    <w:rsid w:val="00BB1065"/>
    <w:rsid w:val="00BB127D"/>
    <w:rsid w:val="00BB22E6"/>
    <w:rsid w:val="00BB2A84"/>
    <w:rsid w:val="00BB5087"/>
    <w:rsid w:val="00BB5AAE"/>
    <w:rsid w:val="00BC0268"/>
    <w:rsid w:val="00BC070E"/>
    <w:rsid w:val="00BC22F3"/>
    <w:rsid w:val="00BC54E8"/>
    <w:rsid w:val="00BC5AB3"/>
    <w:rsid w:val="00BC68F8"/>
    <w:rsid w:val="00BD033F"/>
    <w:rsid w:val="00BD0C21"/>
    <w:rsid w:val="00BD16C5"/>
    <w:rsid w:val="00BD1D2F"/>
    <w:rsid w:val="00BD44EA"/>
    <w:rsid w:val="00BD56F2"/>
    <w:rsid w:val="00BE1C42"/>
    <w:rsid w:val="00BE2970"/>
    <w:rsid w:val="00BE3384"/>
    <w:rsid w:val="00BE40A8"/>
    <w:rsid w:val="00BE412D"/>
    <w:rsid w:val="00BE450B"/>
    <w:rsid w:val="00BE4A43"/>
    <w:rsid w:val="00BE52C1"/>
    <w:rsid w:val="00BE5953"/>
    <w:rsid w:val="00BF014F"/>
    <w:rsid w:val="00BF0399"/>
    <w:rsid w:val="00BF528F"/>
    <w:rsid w:val="00C05019"/>
    <w:rsid w:val="00C061FC"/>
    <w:rsid w:val="00C07AE2"/>
    <w:rsid w:val="00C111A2"/>
    <w:rsid w:val="00C111C1"/>
    <w:rsid w:val="00C112B4"/>
    <w:rsid w:val="00C12195"/>
    <w:rsid w:val="00C17088"/>
    <w:rsid w:val="00C20449"/>
    <w:rsid w:val="00C2261F"/>
    <w:rsid w:val="00C26E81"/>
    <w:rsid w:val="00C31521"/>
    <w:rsid w:val="00C41DE7"/>
    <w:rsid w:val="00C43231"/>
    <w:rsid w:val="00C435EC"/>
    <w:rsid w:val="00C443BB"/>
    <w:rsid w:val="00C44EFA"/>
    <w:rsid w:val="00C47043"/>
    <w:rsid w:val="00C4790E"/>
    <w:rsid w:val="00C47F03"/>
    <w:rsid w:val="00C5012C"/>
    <w:rsid w:val="00C501FC"/>
    <w:rsid w:val="00C50456"/>
    <w:rsid w:val="00C50998"/>
    <w:rsid w:val="00C51486"/>
    <w:rsid w:val="00C52A57"/>
    <w:rsid w:val="00C53898"/>
    <w:rsid w:val="00C55E37"/>
    <w:rsid w:val="00C5613C"/>
    <w:rsid w:val="00C56524"/>
    <w:rsid w:val="00C568F9"/>
    <w:rsid w:val="00C5727D"/>
    <w:rsid w:val="00C655AA"/>
    <w:rsid w:val="00C65811"/>
    <w:rsid w:val="00C6631D"/>
    <w:rsid w:val="00C70390"/>
    <w:rsid w:val="00C71EB9"/>
    <w:rsid w:val="00C7287E"/>
    <w:rsid w:val="00C74E6D"/>
    <w:rsid w:val="00C75CF5"/>
    <w:rsid w:val="00C76762"/>
    <w:rsid w:val="00C77CBD"/>
    <w:rsid w:val="00C8042A"/>
    <w:rsid w:val="00C80D6B"/>
    <w:rsid w:val="00C83863"/>
    <w:rsid w:val="00C84D4E"/>
    <w:rsid w:val="00C84EAE"/>
    <w:rsid w:val="00C85CFB"/>
    <w:rsid w:val="00C87113"/>
    <w:rsid w:val="00C87282"/>
    <w:rsid w:val="00C87B03"/>
    <w:rsid w:val="00C9248E"/>
    <w:rsid w:val="00C9466D"/>
    <w:rsid w:val="00C9609A"/>
    <w:rsid w:val="00C96EE2"/>
    <w:rsid w:val="00C97BAA"/>
    <w:rsid w:val="00CA0161"/>
    <w:rsid w:val="00CA08AF"/>
    <w:rsid w:val="00CA26A2"/>
    <w:rsid w:val="00CA419C"/>
    <w:rsid w:val="00CA462B"/>
    <w:rsid w:val="00CA5117"/>
    <w:rsid w:val="00CA58C2"/>
    <w:rsid w:val="00CA743A"/>
    <w:rsid w:val="00CA7EDA"/>
    <w:rsid w:val="00CB1A9B"/>
    <w:rsid w:val="00CB248B"/>
    <w:rsid w:val="00CB27B2"/>
    <w:rsid w:val="00CB3564"/>
    <w:rsid w:val="00CB3FE3"/>
    <w:rsid w:val="00CB6482"/>
    <w:rsid w:val="00CB7027"/>
    <w:rsid w:val="00CB7B91"/>
    <w:rsid w:val="00CB7E22"/>
    <w:rsid w:val="00CC293D"/>
    <w:rsid w:val="00CC2FE9"/>
    <w:rsid w:val="00CC3E5F"/>
    <w:rsid w:val="00CC3F8F"/>
    <w:rsid w:val="00CC6C5A"/>
    <w:rsid w:val="00CC7CFB"/>
    <w:rsid w:val="00CD0887"/>
    <w:rsid w:val="00CD0EA4"/>
    <w:rsid w:val="00CD20F0"/>
    <w:rsid w:val="00CD2805"/>
    <w:rsid w:val="00CD4A7A"/>
    <w:rsid w:val="00CD655F"/>
    <w:rsid w:val="00CD6594"/>
    <w:rsid w:val="00CE1500"/>
    <w:rsid w:val="00CE3D37"/>
    <w:rsid w:val="00CE47AA"/>
    <w:rsid w:val="00CE4B02"/>
    <w:rsid w:val="00CE4D94"/>
    <w:rsid w:val="00CE75CF"/>
    <w:rsid w:val="00CF22C9"/>
    <w:rsid w:val="00CF62E5"/>
    <w:rsid w:val="00D009B9"/>
    <w:rsid w:val="00D02006"/>
    <w:rsid w:val="00D02630"/>
    <w:rsid w:val="00D0708B"/>
    <w:rsid w:val="00D070D2"/>
    <w:rsid w:val="00D11AD7"/>
    <w:rsid w:val="00D13A01"/>
    <w:rsid w:val="00D13E4C"/>
    <w:rsid w:val="00D1441D"/>
    <w:rsid w:val="00D15DA7"/>
    <w:rsid w:val="00D20681"/>
    <w:rsid w:val="00D21CEF"/>
    <w:rsid w:val="00D247FD"/>
    <w:rsid w:val="00D25D34"/>
    <w:rsid w:val="00D26AF3"/>
    <w:rsid w:val="00D2713D"/>
    <w:rsid w:val="00D30469"/>
    <w:rsid w:val="00D315A9"/>
    <w:rsid w:val="00D323B4"/>
    <w:rsid w:val="00D33F5F"/>
    <w:rsid w:val="00D356DD"/>
    <w:rsid w:val="00D411BD"/>
    <w:rsid w:val="00D43706"/>
    <w:rsid w:val="00D439F7"/>
    <w:rsid w:val="00D443FF"/>
    <w:rsid w:val="00D445F0"/>
    <w:rsid w:val="00D4560E"/>
    <w:rsid w:val="00D45796"/>
    <w:rsid w:val="00D45B55"/>
    <w:rsid w:val="00D474C3"/>
    <w:rsid w:val="00D47B7F"/>
    <w:rsid w:val="00D5209A"/>
    <w:rsid w:val="00D53C56"/>
    <w:rsid w:val="00D54C0F"/>
    <w:rsid w:val="00D55713"/>
    <w:rsid w:val="00D578D7"/>
    <w:rsid w:val="00D626CF"/>
    <w:rsid w:val="00D6274D"/>
    <w:rsid w:val="00D64050"/>
    <w:rsid w:val="00D65655"/>
    <w:rsid w:val="00D67377"/>
    <w:rsid w:val="00D6755F"/>
    <w:rsid w:val="00D6793C"/>
    <w:rsid w:val="00D7028F"/>
    <w:rsid w:val="00D73B95"/>
    <w:rsid w:val="00D7444A"/>
    <w:rsid w:val="00D75F36"/>
    <w:rsid w:val="00D76B9D"/>
    <w:rsid w:val="00D821FA"/>
    <w:rsid w:val="00D8293B"/>
    <w:rsid w:val="00D85C12"/>
    <w:rsid w:val="00D923C7"/>
    <w:rsid w:val="00D92D30"/>
    <w:rsid w:val="00D94A94"/>
    <w:rsid w:val="00D97101"/>
    <w:rsid w:val="00D97B38"/>
    <w:rsid w:val="00DA085F"/>
    <w:rsid w:val="00DA1955"/>
    <w:rsid w:val="00DA3709"/>
    <w:rsid w:val="00DA4754"/>
    <w:rsid w:val="00DA5189"/>
    <w:rsid w:val="00DA55E5"/>
    <w:rsid w:val="00DA663A"/>
    <w:rsid w:val="00DB0FF1"/>
    <w:rsid w:val="00DB2A18"/>
    <w:rsid w:val="00DB2ABC"/>
    <w:rsid w:val="00DB3837"/>
    <w:rsid w:val="00DB56A9"/>
    <w:rsid w:val="00DC11C7"/>
    <w:rsid w:val="00DC4E5B"/>
    <w:rsid w:val="00DD04AD"/>
    <w:rsid w:val="00DD1D20"/>
    <w:rsid w:val="00DD3AFD"/>
    <w:rsid w:val="00DD44F8"/>
    <w:rsid w:val="00DD45F8"/>
    <w:rsid w:val="00DD4769"/>
    <w:rsid w:val="00DD4C1B"/>
    <w:rsid w:val="00DD64F8"/>
    <w:rsid w:val="00DE0F4E"/>
    <w:rsid w:val="00DE35A0"/>
    <w:rsid w:val="00DF13BC"/>
    <w:rsid w:val="00DF3294"/>
    <w:rsid w:val="00DF3FD9"/>
    <w:rsid w:val="00DF668D"/>
    <w:rsid w:val="00DF6BF8"/>
    <w:rsid w:val="00E00C0B"/>
    <w:rsid w:val="00E00E7C"/>
    <w:rsid w:val="00E0257D"/>
    <w:rsid w:val="00E03353"/>
    <w:rsid w:val="00E038E6"/>
    <w:rsid w:val="00E04F85"/>
    <w:rsid w:val="00E05AC7"/>
    <w:rsid w:val="00E05ECD"/>
    <w:rsid w:val="00E05FFC"/>
    <w:rsid w:val="00E07C38"/>
    <w:rsid w:val="00E10A60"/>
    <w:rsid w:val="00E1368F"/>
    <w:rsid w:val="00E15951"/>
    <w:rsid w:val="00E15C50"/>
    <w:rsid w:val="00E17573"/>
    <w:rsid w:val="00E17B2D"/>
    <w:rsid w:val="00E20E48"/>
    <w:rsid w:val="00E22C3E"/>
    <w:rsid w:val="00E23F2F"/>
    <w:rsid w:val="00E268DE"/>
    <w:rsid w:val="00E27B1A"/>
    <w:rsid w:val="00E301B1"/>
    <w:rsid w:val="00E313C8"/>
    <w:rsid w:val="00E32243"/>
    <w:rsid w:val="00E33747"/>
    <w:rsid w:val="00E337A6"/>
    <w:rsid w:val="00E37D04"/>
    <w:rsid w:val="00E41912"/>
    <w:rsid w:val="00E42A89"/>
    <w:rsid w:val="00E42C56"/>
    <w:rsid w:val="00E43356"/>
    <w:rsid w:val="00E43510"/>
    <w:rsid w:val="00E4495E"/>
    <w:rsid w:val="00E45D9B"/>
    <w:rsid w:val="00E46235"/>
    <w:rsid w:val="00E47605"/>
    <w:rsid w:val="00E51FA4"/>
    <w:rsid w:val="00E538E4"/>
    <w:rsid w:val="00E543FE"/>
    <w:rsid w:val="00E55EF8"/>
    <w:rsid w:val="00E6034F"/>
    <w:rsid w:val="00E60B10"/>
    <w:rsid w:val="00E61428"/>
    <w:rsid w:val="00E6294D"/>
    <w:rsid w:val="00E634A4"/>
    <w:rsid w:val="00E63C20"/>
    <w:rsid w:val="00E6537A"/>
    <w:rsid w:val="00E6772E"/>
    <w:rsid w:val="00E70D93"/>
    <w:rsid w:val="00E71D6D"/>
    <w:rsid w:val="00E73AAE"/>
    <w:rsid w:val="00E772E3"/>
    <w:rsid w:val="00E804B7"/>
    <w:rsid w:val="00E816F7"/>
    <w:rsid w:val="00E82AAB"/>
    <w:rsid w:val="00E83C1D"/>
    <w:rsid w:val="00E902C6"/>
    <w:rsid w:val="00E91052"/>
    <w:rsid w:val="00E9194D"/>
    <w:rsid w:val="00E919AD"/>
    <w:rsid w:val="00E94A2F"/>
    <w:rsid w:val="00E94C71"/>
    <w:rsid w:val="00E96D09"/>
    <w:rsid w:val="00EA1656"/>
    <w:rsid w:val="00EA3AFC"/>
    <w:rsid w:val="00EA4B2E"/>
    <w:rsid w:val="00EA51CD"/>
    <w:rsid w:val="00EA654E"/>
    <w:rsid w:val="00EB0FA8"/>
    <w:rsid w:val="00EB190D"/>
    <w:rsid w:val="00EB1E2A"/>
    <w:rsid w:val="00EB344E"/>
    <w:rsid w:val="00EB4898"/>
    <w:rsid w:val="00EB555B"/>
    <w:rsid w:val="00EB6FFF"/>
    <w:rsid w:val="00EC19A4"/>
    <w:rsid w:val="00EC25F1"/>
    <w:rsid w:val="00EC5127"/>
    <w:rsid w:val="00EC517B"/>
    <w:rsid w:val="00EC5B8A"/>
    <w:rsid w:val="00ED0133"/>
    <w:rsid w:val="00ED1845"/>
    <w:rsid w:val="00ED1FE6"/>
    <w:rsid w:val="00ED29E9"/>
    <w:rsid w:val="00ED3AC9"/>
    <w:rsid w:val="00ED59FF"/>
    <w:rsid w:val="00EE0BD1"/>
    <w:rsid w:val="00EE0D72"/>
    <w:rsid w:val="00EE436F"/>
    <w:rsid w:val="00EE459F"/>
    <w:rsid w:val="00EE4F20"/>
    <w:rsid w:val="00EE58F6"/>
    <w:rsid w:val="00EE6C2F"/>
    <w:rsid w:val="00EF31C5"/>
    <w:rsid w:val="00EF632E"/>
    <w:rsid w:val="00F00240"/>
    <w:rsid w:val="00F00828"/>
    <w:rsid w:val="00F00994"/>
    <w:rsid w:val="00F014FF"/>
    <w:rsid w:val="00F03E59"/>
    <w:rsid w:val="00F07233"/>
    <w:rsid w:val="00F074EF"/>
    <w:rsid w:val="00F07EFC"/>
    <w:rsid w:val="00F12535"/>
    <w:rsid w:val="00F12D90"/>
    <w:rsid w:val="00F1326E"/>
    <w:rsid w:val="00F15ADD"/>
    <w:rsid w:val="00F170FE"/>
    <w:rsid w:val="00F201C4"/>
    <w:rsid w:val="00F24169"/>
    <w:rsid w:val="00F31615"/>
    <w:rsid w:val="00F32C05"/>
    <w:rsid w:val="00F33841"/>
    <w:rsid w:val="00F354C0"/>
    <w:rsid w:val="00F41FE4"/>
    <w:rsid w:val="00F42D77"/>
    <w:rsid w:val="00F43A89"/>
    <w:rsid w:val="00F51C13"/>
    <w:rsid w:val="00F51D46"/>
    <w:rsid w:val="00F528C1"/>
    <w:rsid w:val="00F55C61"/>
    <w:rsid w:val="00F63F17"/>
    <w:rsid w:val="00F64AE6"/>
    <w:rsid w:val="00F657B3"/>
    <w:rsid w:val="00F6621F"/>
    <w:rsid w:val="00F666DC"/>
    <w:rsid w:val="00F67DC6"/>
    <w:rsid w:val="00F70026"/>
    <w:rsid w:val="00F70E80"/>
    <w:rsid w:val="00F71C32"/>
    <w:rsid w:val="00F71E9C"/>
    <w:rsid w:val="00F726B1"/>
    <w:rsid w:val="00F73759"/>
    <w:rsid w:val="00F75A10"/>
    <w:rsid w:val="00F77F58"/>
    <w:rsid w:val="00F81AC6"/>
    <w:rsid w:val="00F821F4"/>
    <w:rsid w:val="00F82D3C"/>
    <w:rsid w:val="00F82DB6"/>
    <w:rsid w:val="00F83C29"/>
    <w:rsid w:val="00F83E85"/>
    <w:rsid w:val="00F84763"/>
    <w:rsid w:val="00F86CC6"/>
    <w:rsid w:val="00F87019"/>
    <w:rsid w:val="00F91336"/>
    <w:rsid w:val="00F94289"/>
    <w:rsid w:val="00F943E5"/>
    <w:rsid w:val="00F9773F"/>
    <w:rsid w:val="00F97F5F"/>
    <w:rsid w:val="00FA0D20"/>
    <w:rsid w:val="00FA3FBB"/>
    <w:rsid w:val="00FA6118"/>
    <w:rsid w:val="00FA7E9D"/>
    <w:rsid w:val="00FB15FE"/>
    <w:rsid w:val="00FB207C"/>
    <w:rsid w:val="00FB2813"/>
    <w:rsid w:val="00FB2DD1"/>
    <w:rsid w:val="00FB4136"/>
    <w:rsid w:val="00FB4450"/>
    <w:rsid w:val="00FB44BE"/>
    <w:rsid w:val="00FB4899"/>
    <w:rsid w:val="00FB5420"/>
    <w:rsid w:val="00FB5ADB"/>
    <w:rsid w:val="00FB73E2"/>
    <w:rsid w:val="00FB797A"/>
    <w:rsid w:val="00FC03E4"/>
    <w:rsid w:val="00FC11EB"/>
    <w:rsid w:val="00FC17F4"/>
    <w:rsid w:val="00FC1F0F"/>
    <w:rsid w:val="00FC3B2A"/>
    <w:rsid w:val="00FC57D2"/>
    <w:rsid w:val="00FC5988"/>
    <w:rsid w:val="00FC64A3"/>
    <w:rsid w:val="00FD17CD"/>
    <w:rsid w:val="00FD5346"/>
    <w:rsid w:val="00FE1123"/>
    <w:rsid w:val="00FE1435"/>
    <w:rsid w:val="00FE5C3F"/>
    <w:rsid w:val="00FE60F8"/>
    <w:rsid w:val="00FE66C7"/>
    <w:rsid w:val="00FE6713"/>
    <w:rsid w:val="00FF4AAA"/>
    <w:rsid w:val="00FF7C9F"/>
    <w:rsid w:val="1824F590"/>
    <w:rsid w:val="23828DD0"/>
    <w:rsid w:val="24ACB942"/>
    <w:rsid w:val="25BF9DB1"/>
    <w:rsid w:val="27DC47A7"/>
    <w:rsid w:val="3DAF5907"/>
    <w:rsid w:val="4342AA72"/>
    <w:rsid w:val="5E442AD5"/>
    <w:rsid w:val="61AEA4C1"/>
    <w:rsid w:val="7405419A"/>
    <w:rsid w:val="7579BF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EA17"/>
  <w15:chartTrackingRefBased/>
  <w15:docId w15:val="{AFD6F708-A4DA-45AD-BDEB-DCF03F21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E7C"/>
    <w:pPr>
      <w:spacing w:after="0" w:line="240" w:lineRule="auto"/>
      <w:jc w:val="both"/>
    </w:pPr>
    <w:rPr>
      <w:lang w:val="en-US"/>
    </w:rPr>
  </w:style>
  <w:style w:type="paragraph" w:styleId="Ttulo1">
    <w:name w:val="heading 1"/>
    <w:basedOn w:val="Normal"/>
    <w:next w:val="Normal"/>
    <w:link w:val="Ttulo1Car"/>
    <w:uiPriority w:val="9"/>
    <w:qFormat/>
    <w:rsid w:val="00AF5B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B8058D"/>
    <w:pPr>
      <w:spacing w:before="100" w:beforeAutospacing="1" w:after="100" w:afterAutospacing="1"/>
      <w:jc w:val="left"/>
      <w:outlineLvl w:val="3"/>
    </w:pPr>
    <w:rPr>
      <w:rFonts w:ascii="Times New Roman" w:eastAsia="Times New Roman" w:hAnsi="Times New Roman" w:cs="Times New Roman"/>
      <w:b/>
      <w:bCs/>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730"/>
    <w:pPr>
      <w:ind w:left="720"/>
      <w:contextualSpacing/>
    </w:pPr>
  </w:style>
  <w:style w:type="character" w:styleId="Refdecomentario">
    <w:name w:val="annotation reference"/>
    <w:uiPriority w:val="99"/>
    <w:semiHidden/>
    <w:rsid w:val="005604A4"/>
    <w:rPr>
      <w:sz w:val="16"/>
    </w:rPr>
  </w:style>
  <w:style w:type="paragraph" w:customStyle="1" w:styleId="Displayedequation">
    <w:name w:val="Displayed equation"/>
    <w:basedOn w:val="Normal"/>
    <w:next w:val="Normal"/>
    <w:qFormat/>
    <w:rsid w:val="002A4FA3"/>
    <w:pPr>
      <w:tabs>
        <w:tab w:val="center" w:pos="4253"/>
        <w:tab w:val="right" w:pos="8222"/>
      </w:tabs>
      <w:spacing w:before="240" w:after="240" w:line="360" w:lineRule="auto"/>
      <w:jc w:val="center"/>
    </w:pPr>
    <w:rPr>
      <w:rFonts w:ascii="NewsGotT" w:eastAsia="Times New Roman" w:hAnsi="NewsGotT" w:cs="Times New Roman"/>
      <w:kern w:val="0"/>
      <w:szCs w:val="24"/>
      <w:lang w:eastAsia="en-GB"/>
      <w14:ligatures w14:val="none"/>
    </w:rPr>
  </w:style>
  <w:style w:type="paragraph" w:styleId="Textocomentario">
    <w:name w:val="annotation text"/>
    <w:basedOn w:val="Normal"/>
    <w:link w:val="TextocomentarioCar"/>
    <w:uiPriority w:val="99"/>
    <w:unhideWhenUsed/>
    <w:rsid w:val="002B566D"/>
    <w:rPr>
      <w:sz w:val="20"/>
      <w:szCs w:val="20"/>
    </w:rPr>
  </w:style>
  <w:style w:type="character" w:customStyle="1" w:styleId="TextocomentarioCar">
    <w:name w:val="Texto comentario Car"/>
    <w:basedOn w:val="Fuentedeprrafopredeter"/>
    <w:link w:val="Textocomentario"/>
    <w:uiPriority w:val="99"/>
    <w:rsid w:val="002B566D"/>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2B566D"/>
    <w:rPr>
      <w:b/>
      <w:bCs/>
    </w:rPr>
  </w:style>
  <w:style w:type="character" w:customStyle="1" w:styleId="AsuntodelcomentarioCar">
    <w:name w:val="Asunto del comentario Car"/>
    <w:basedOn w:val="TextocomentarioCar"/>
    <w:link w:val="Asuntodelcomentario"/>
    <w:uiPriority w:val="99"/>
    <w:semiHidden/>
    <w:rsid w:val="002B566D"/>
    <w:rPr>
      <w:b/>
      <w:bCs/>
      <w:sz w:val="20"/>
      <w:szCs w:val="20"/>
      <w:lang w:val="en-GB"/>
    </w:rPr>
  </w:style>
  <w:style w:type="character" w:styleId="Textodelmarcadordeposicin">
    <w:name w:val="Placeholder Text"/>
    <w:basedOn w:val="Fuentedeprrafopredeter"/>
    <w:uiPriority w:val="99"/>
    <w:semiHidden/>
    <w:rsid w:val="00050CCC"/>
    <w:rPr>
      <w:color w:val="808080"/>
    </w:rPr>
  </w:style>
  <w:style w:type="character" w:styleId="Hipervnculo">
    <w:name w:val="Hyperlink"/>
    <w:basedOn w:val="Fuentedeprrafopredeter"/>
    <w:uiPriority w:val="99"/>
    <w:unhideWhenUsed/>
    <w:rsid w:val="00742527"/>
    <w:rPr>
      <w:color w:val="0563C1" w:themeColor="hyperlink"/>
      <w:u w:val="single"/>
    </w:rPr>
  </w:style>
  <w:style w:type="character" w:styleId="Mencinsinresolver">
    <w:name w:val="Unresolved Mention"/>
    <w:basedOn w:val="Fuentedeprrafopredeter"/>
    <w:uiPriority w:val="99"/>
    <w:semiHidden/>
    <w:unhideWhenUsed/>
    <w:rsid w:val="00742527"/>
    <w:rPr>
      <w:color w:val="605E5C"/>
      <w:shd w:val="clear" w:color="auto" w:fill="E1DFDD"/>
    </w:rPr>
  </w:style>
  <w:style w:type="character" w:customStyle="1" w:styleId="hgkelc">
    <w:name w:val="hgkelc"/>
    <w:basedOn w:val="Fuentedeprrafopredeter"/>
    <w:rsid w:val="003B084F"/>
  </w:style>
  <w:style w:type="paragraph" w:styleId="NormalWeb">
    <w:name w:val="Normal (Web)"/>
    <w:basedOn w:val="Normal"/>
    <w:uiPriority w:val="99"/>
    <w:unhideWhenUsed/>
    <w:rsid w:val="00810FE7"/>
    <w:pPr>
      <w:spacing w:before="100" w:beforeAutospacing="1" w:after="100" w:afterAutospacing="1"/>
      <w:jc w:val="left"/>
    </w:pPr>
    <w:rPr>
      <w:rFonts w:ascii="Times New Roman" w:eastAsia="Times New Roman" w:hAnsi="Times New Roman" w:cs="Times New Roman"/>
      <w:kern w:val="0"/>
      <w:sz w:val="24"/>
      <w:szCs w:val="24"/>
      <w:lang w:val="es-ES" w:eastAsia="es-ES"/>
      <w14:ligatures w14:val="none"/>
    </w:rPr>
  </w:style>
  <w:style w:type="character" w:customStyle="1" w:styleId="fontstyle01">
    <w:name w:val="fontstyle01"/>
    <w:basedOn w:val="Fuentedeprrafopredeter"/>
    <w:rsid w:val="001F1265"/>
    <w:rPr>
      <w:rFonts w:ascii="AdvTT5ada87cc" w:hAnsi="AdvTT5ada87cc" w:hint="default"/>
      <w:b w:val="0"/>
      <w:bCs w:val="0"/>
      <w:i w:val="0"/>
      <w:iCs w:val="0"/>
      <w:color w:val="000000"/>
      <w:sz w:val="20"/>
      <w:szCs w:val="20"/>
    </w:rPr>
  </w:style>
  <w:style w:type="character" w:styleId="nfasis">
    <w:name w:val="Emphasis"/>
    <w:basedOn w:val="Fuentedeprrafopredeter"/>
    <w:uiPriority w:val="20"/>
    <w:qFormat/>
    <w:rsid w:val="001F40E3"/>
    <w:rPr>
      <w:i/>
      <w:iCs/>
    </w:rPr>
  </w:style>
  <w:style w:type="character" w:customStyle="1" w:styleId="Ttulo4Car">
    <w:name w:val="Título 4 Car"/>
    <w:basedOn w:val="Fuentedeprrafopredeter"/>
    <w:link w:val="Ttulo4"/>
    <w:uiPriority w:val="9"/>
    <w:rsid w:val="00B8058D"/>
    <w:rPr>
      <w:rFonts w:ascii="Times New Roman" w:eastAsia="Times New Roman" w:hAnsi="Times New Roman" w:cs="Times New Roman"/>
      <w:b/>
      <w:bCs/>
      <w:kern w:val="0"/>
      <w:sz w:val="24"/>
      <w:szCs w:val="24"/>
      <w:lang w:val="es-ES" w:eastAsia="es-ES"/>
      <w14:ligatures w14:val="none"/>
    </w:rPr>
  </w:style>
  <w:style w:type="paragraph" w:customStyle="1" w:styleId="p">
    <w:name w:val="p"/>
    <w:basedOn w:val="Normal"/>
    <w:rsid w:val="00B8058D"/>
    <w:pPr>
      <w:spacing w:before="100" w:beforeAutospacing="1" w:after="100" w:afterAutospacing="1"/>
      <w:jc w:val="left"/>
    </w:pPr>
    <w:rPr>
      <w:rFonts w:ascii="Times New Roman" w:eastAsia="Times New Roman" w:hAnsi="Times New Roman" w:cs="Times New Roman"/>
      <w:kern w:val="0"/>
      <w:sz w:val="24"/>
      <w:szCs w:val="24"/>
      <w:lang w:val="es-ES" w:eastAsia="es-ES"/>
      <w14:ligatures w14:val="none"/>
    </w:rPr>
  </w:style>
  <w:style w:type="paragraph" w:styleId="Descripcin">
    <w:name w:val="caption"/>
    <w:basedOn w:val="Normal"/>
    <w:next w:val="Normal"/>
    <w:uiPriority w:val="35"/>
    <w:unhideWhenUsed/>
    <w:qFormat/>
    <w:rsid w:val="00F943E5"/>
    <w:pPr>
      <w:spacing w:after="200"/>
    </w:pPr>
    <w:rPr>
      <w:i/>
      <w:iCs/>
      <w:color w:val="44546A" w:themeColor="text2"/>
      <w:sz w:val="18"/>
      <w:szCs w:val="18"/>
    </w:rPr>
  </w:style>
  <w:style w:type="paragraph" w:styleId="Sinespaciado">
    <w:name w:val="No Spacing"/>
    <w:uiPriority w:val="1"/>
    <w:qFormat/>
    <w:rsid w:val="00AF5B6E"/>
    <w:pPr>
      <w:spacing w:after="0" w:line="240" w:lineRule="auto"/>
      <w:jc w:val="both"/>
    </w:pPr>
    <w:rPr>
      <w:lang w:val="en-US"/>
    </w:rPr>
  </w:style>
  <w:style w:type="character" w:customStyle="1" w:styleId="Ttulo1Car">
    <w:name w:val="Título 1 Car"/>
    <w:basedOn w:val="Fuentedeprrafopredeter"/>
    <w:link w:val="Ttulo1"/>
    <w:uiPriority w:val="9"/>
    <w:rsid w:val="00AF5B6E"/>
    <w:rPr>
      <w:rFonts w:asciiTheme="majorHAnsi" w:eastAsiaTheme="majorEastAsia" w:hAnsiTheme="majorHAnsi" w:cstheme="majorBidi"/>
      <w:color w:val="2F5496" w:themeColor="accent1" w:themeShade="BF"/>
      <w:sz w:val="32"/>
      <w:szCs w:val="32"/>
      <w:lang w:val="en-US"/>
    </w:rPr>
  </w:style>
  <w:style w:type="paragraph" w:styleId="Revisin">
    <w:name w:val="Revision"/>
    <w:hidden/>
    <w:uiPriority w:val="99"/>
    <w:semiHidden/>
    <w:rsid w:val="007B78A5"/>
    <w:pPr>
      <w:spacing w:after="0" w:line="240" w:lineRule="auto"/>
    </w:pPr>
    <w:rPr>
      <w:lang w:val="en-US"/>
    </w:rPr>
  </w:style>
  <w:style w:type="table" w:styleId="Tablaconcuadrcula">
    <w:name w:val="Table Grid"/>
    <w:basedOn w:val="Tablanormal"/>
    <w:uiPriority w:val="39"/>
    <w:rsid w:val="0006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8C228F"/>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C228F"/>
    <w:rPr>
      <w:rFonts w:eastAsiaTheme="minorEastAsia"/>
      <w:color w:val="5A5A5A" w:themeColor="text1" w:themeTint="A5"/>
      <w:spacing w:val="15"/>
      <w:lang w:val="en-US"/>
    </w:rPr>
  </w:style>
  <w:style w:type="paragraph" w:styleId="Textodeglobo">
    <w:name w:val="Balloon Text"/>
    <w:basedOn w:val="Normal"/>
    <w:link w:val="TextodegloboCar"/>
    <w:uiPriority w:val="99"/>
    <w:semiHidden/>
    <w:unhideWhenUsed/>
    <w:rsid w:val="006D05D9"/>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D05D9"/>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908">
      <w:bodyDiv w:val="1"/>
      <w:marLeft w:val="0"/>
      <w:marRight w:val="0"/>
      <w:marTop w:val="0"/>
      <w:marBottom w:val="0"/>
      <w:divBdr>
        <w:top w:val="none" w:sz="0" w:space="0" w:color="auto"/>
        <w:left w:val="none" w:sz="0" w:space="0" w:color="auto"/>
        <w:bottom w:val="none" w:sz="0" w:space="0" w:color="auto"/>
        <w:right w:val="none" w:sz="0" w:space="0" w:color="auto"/>
      </w:divBdr>
    </w:div>
    <w:div w:id="91127590">
      <w:bodyDiv w:val="1"/>
      <w:marLeft w:val="0"/>
      <w:marRight w:val="0"/>
      <w:marTop w:val="0"/>
      <w:marBottom w:val="0"/>
      <w:divBdr>
        <w:top w:val="none" w:sz="0" w:space="0" w:color="auto"/>
        <w:left w:val="none" w:sz="0" w:space="0" w:color="auto"/>
        <w:bottom w:val="none" w:sz="0" w:space="0" w:color="auto"/>
        <w:right w:val="none" w:sz="0" w:space="0" w:color="auto"/>
      </w:divBdr>
    </w:div>
    <w:div w:id="439222450">
      <w:bodyDiv w:val="1"/>
      <w:marLeft w:val="0"/>
      <w:marRight w:val="0"/>
      <w:marTop w:val="0"/>
      <w:marBottom w:val="0"/>
      <w:divBdr>
        <w:top w:val="none" w:sz="0" w:space="0" w:color="auto"/>
        <w:left w:val="none" w:sz="0" w:space="0" w:color="auto"/>
        <w:bottom w:val="none" w:sz="0" w:space="0" w:color="auto"/>
        <w:right w:val="none" w:sz="0" w:space="0" w:color="auto"/>
      </w:divBdr>
    </w:div>
    <w:div w:id="635374772">
      <w:bodyDiv w:val="1"/>
      <w:marLeft w:val="0"/>
      <w:marRight w:val="0"/>
      <w:marTop w:val="0"/>
      <w:marBottom w:val="0"/>
      <w:divBdr>
        <w:top w:val="none" w:sz="0" w:space="0" w:color="auto"/>
        <w:left w:val="none" w:sz="0" w:space="0" w:color="auto"/>
        <w:bottom w:val="none" w:sz="0" w:space="0" w:color="auto"/>
        <w:right w:val="none" w:sz="0" w:space="0" w:color="auto"/>
      </w:divBdr>
    </w:div>
    <w:div w:id="735934945">
      <w:bodyDiv w:val="1"/>
      <w:marLeft w:val="0"/>
      <w:marRight w:val="0"/>
      <w:marTop w:val="0"/>
      <w:marBottom w:val="0"/>
      <w:divBdr>
        <w:top w:val="none" w:sz="0" w:space="0" w:color="auto"/>
        <w:left w:val="none" w:sz="0" w:space="0" w:color="auto"/>
        <w:bottom w:val="none" w:sz="0" w:space="0" w:color="auto"/>
        <w:right w:val="none" w:sz="0" w:space="0" w:color="auto"/>
      </w:divBdr>
    </w:div>
    <w:div w:id="798691299">
      <w:bodyDiv w:val="1"/>
      <w:marLeft w:val="0"/>
      <w:marRight w:val="0"/>
      <w:marTop w:val="0"/>
      <w:marBottom w:val="0"/>
      <w:divBdr>
        <w:top w:val="none" w:sz="0" w:space="0" w:color="auto"/>
        <w:left w:val="none" w:sz="0" w:space="0" w:color="auto"/>
        <w:bottom w:val="none" w:sz="0" w:space="0" w:color="auto"/>
        <w:right w:val="none" w:sz="0" w:space="0" w:color="auto"/>
      </w:divBdr>
    </w:div>
    <w:div w:id="844785113">
      <w:bodyDiv w:val="1"/>
      <w:marLeft w:val="0"/>
      <w:marRight w:val="0"/>
      <w:marTop w:val="0"/>
      <w:marBottom w:val="0"/>
      <w:divBdr>
        <w:top w:val="none" w:sz="0" w:space="0" w:color="auto"/>
        <w:left w:val="none" w:sz="0" w:space="0" w:color="auto"/>
        <w:bottom w:val="none" w:sz="0" w:space="0" w:color="auto"/>
        <w:right w:val="none" w:sz="0" w:space="0" w:color="auto"/>
      </w:divBdr>
    </w:div>
    <w:div w:id="847333924">
      <w:bodyDiv w:val="1"/>
      <w:marLeft w:val="0"/>
      <w:marRight w:val="0"/>
      <w:marTop w:val="0"/>
      <w:marBottom w:val="0"/>
      <w:divBdr>
        <w:top w:val="none" w:sz="0" w:space="0" w:color="auto"/>
        <w:left w:val="none" w:sz="0" w:space="0" w:color="auto"/>
        <w:bottom w:val="none" w:sz="0" w:space="0" w:color="auto"/>
        <w:right w:val="none" w:sz="0" w:space="0" w:color="auto"/>
      </w:divBdr>
    </w:div>
    <w:div w:id="868447137">
      <w:bodyDiv w:val="1"/>
      <w:marLeft w:val="0"/>
      <w:marRight w:val="0"/>
      <w:marTop w:val="0"/>
      <w:marBottom w:val="0"/>
      <w:divBdr>
        <w:top w:val="none" w:sz="0" w:space="0" w:color="auto"/>
        <w:left w:val="none" w:sz="0" w:space="0" w:color="auto"/>
        <w:bottom w:val="none" w:sz="0" w:space="0" w:color="auto"/>
        <w:right w:val="none" w:sz="0" w:space="0" w:color="auto"/>
      </w:divBdr>
    </w:div>
    <w:div w:id="1030178942">
      <w:bodyDiv w:val="1"/>
      <w:marLeft w:val="0"/>
      <w:marRight w:val="0"/>
      <w:marTop w:val="0"/>
      <w:marBottom w:val="0"/>
      <w:divBdr>
        <w:top w:val="none" w:sz="0" w:space="0" w:color="auto"/>
        <w:left w:val="none" w:sz="0" w:space="0" w:color="auto"/>
        <w:bottom w:val="none" w:sz="0" w:space="0" w:color="auto"/>
        <w:right w:val="none" w:sz="0" w:space="0" w:color="auto"/>
      </w:divBdr>
    </w:div>
    <w:div w:id="1076249263">
      <w:bodyDiv w:val="1"/>
      <w:marLeft w:val="0"/>
      <w:marRight w:val="0"/>
      <w:marTop w:val="0"/>
      <w:marBottom w:val="0"/>
      <w:divBdr>
        <w:top w:val="none" w:sz="0" w:space="0" w:color="auto"/>
        <w:left w:val="none" w:sz="0" w:space="0" w:color="auto"/>
        <w:bottom w:val="none" w:sz="0" w:space="0" w:color="auto"/>
        <w:right w:val="none" w:sz="0" w:space="0" w:color="auto"/>
      </w:divBdr>
    </w:div>
    <w:div w:id="1088306310">
      <w:bodyDiv w:val="1"/>
      <w:marLeft w:val="0"/>
      <w:marRight w:val="0"/>
      <w:marTop w:val="0"/>
      <w:marBottom w:val="0"/>
      <w:divBdr>
        <w:top w:val="none" w:sz="0" w:space="0" w:color="auto"/>
        <w:left w:val="none" w:sz="0" w:space="0" w:color="auto"/>
        <w:bottom w:val="none" w:sz="0" w:space="0" w:color="auto"/>
        <w:right w:val="none" w:sz="0" w:space="0" w:color="auto"/>
      </w:divBdr>
    </w:div>
    <w:div w:id="1142625048">
      <w:bodyDiv w:val="1"/>
      <w:marLeft w:val="0"/>
      <w:marRight w:val="0"/>
      <w:marTop w:val="0"/>
      <w:marBottom w:val="0"/>
      <w:divBdr>
        <w:top w:val="none" w:sz="0" w:space="0" w:color="auto"/>
        <w:left w:val="none" w:sz="0" w:space="0" w:color="auto"/>
        <w:bottom w:val="none" w:sz="0" w:space="0" w:color="auto"/>
        <w:right w:val="none" w:sz="0" w:space="0" w:color="auto"/>
      </w:divBdr>
    </w:div>
    <w:div w:id="1232618634">
      <w:bodyDiv w:val="1"/>
      <w:marLeft w:val="0"/>
      <w:marRight w:val="0"/>
      <w:marTop w:val="0"/>
      <w:marBottom w:val="0"/>
      <w:divBdr>
        <w:top w:val="none" w:sz="0" w:space="0" w:color="auto"/>
        <w:left w:val="none" w:sz="0" w:space="0" w:color="auto"/>
        <w:bottom w:val="none" w:sz="0" w:space="0" w:color="auto"/>
        <w:right w:val="none" w:sz="0" w:space="0" w:color="auto"/>
      </w:divBdr>
    </w:div>
    <w:div w:id="1234194486">
      <w:bodyDiv w:val="1"/>
      <w:marLeft w:val="0"/>
      <w:marRight w:val="0"/>
      <w:marTop w:val="0"/>
      <w:marBottom w:val="0"/>
      <w:divBdr>
        <w:top w:val="none" w:sz="0" w:space="0" w:color="auto"/>
        <w:left w:val="none" w:sz="0" w:space="0" w:color="auto"/>
        <w:bottom w:val="none" w:sz="0" w:space="0" w:color="auto"/>
        <w:right w:val="none" w:sz="0" w:space="0" w:color="auto"/>
      </w:divBdr>
    </w:div>
    <w:div w:id="1316103120">
      <w:bodyDiv w:val="1"/>
      <w:marLeft w:val="0"/>
      <w:marRight w:val="0"/>
      <w:marTop w:val="0"/>
      <w:marBottom w:val="0"/>
      <w:divBdr>
        <w:top w:val="none" w:sz="0" w:space="0" w:color="auto"/>
        <w:left w:val="none" w:sz="0" w:space="0" w:color="auto"/>
        <w:bottom w:val="none" w:sz="0" w:space="0" w:color="auto"/>
        <w:right w:val="none" w:sz="0" w:space="0" w:color="auto"/>
      </w:divBdr>
    </w:div>
    <w:div w:id="1429697728">
      <w:bodyDiv w:val="1"/>
      <w:marLeft w:val="0"/>
      <w:marRight w:val="0"/>
      <w:marTop w:val="0"/>
      <w:marBottom w:val="0"/>
      <w:divBdr>
        <w:top w:val="none" w:sz="0" w:space="0" w:color="auto"/>
        <w:left w:val="none" w:sz="0" w:space="0" w:color="auto"/>
        <w:bottom w:val="none" w:sz="0" w:space="0" w:color="auto"/>
        <w:right w:val="none" w:sz="0" w:space="0" w:color="auto"/>
      </w:divBdr>
      <w:divsChild>
        <w:div w:id="103115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513724">
      <w:bodyDiv w:val="1"/>
      <w:marLeft w:val="0"/>
      <w:marRight w:val="0"/>
      <w:marTop w:val="0"/>
      <w:marBottom w:val="0"/>
      <w:divBdr>
        <w:top w:val="none" w:sz="0" w:space="0" w:color="auto"/>
        <w:left w:val="none" w:sz="0" w:space="0" w:color="auto"/>
        <w:bottom w:val="none" w:sz="0" w:space="0" w:color="auto"/>
        <w:right w:val="none" w:sz="0" w:space="0" w:color="auto"/>
      </w:divBdr>
    </w:div>
    <w:div w:id="1471902505">
      <w:bodyDiv w:val="1"/>
      <w:marLeft w:val="0"/>
      <w:marRight w:val="0"/>
      <w:marTop w:val="0"/>
      <w:marBottom w:val="0"/>
      <w:divBdr>
        <w:top w:val="none" w:sz="0" w:space="0" w:color="auto"/>
        <w:left w:val="none" w:sz="0" w:space="0" w:color="auto"/>
        <w:bottom w:val="none" w:sz="0" w:space="0" w:color="auto"/>
        <w:right w:val="none" w:sz="0" w:space="0" w:color="auto"/>
      </w:divBdr>
    </w:div>
    <w:div w:id="1501654321">
      <w:bodyDiv w:val="1"/>
      <w:marLeft w:val="0"/>
      <w:marRight w:val="0"/>
      <w:marTop w:val="0"/>
      <w:marBottom w:val="0"/>
      <w:divBdr>
        <w:top w:val="none" w:sz="0" w:space="0" w:color="auto"/>
        <w:left w:val="none" w:sz="0" w:space="0" w:color="auto"/>
        <w:bottom w:val="none" w:sz="0" w:space="0" w:color="auto"/>
        <w:right w:val="none" w:sz="0" w:space="0" w:color="auto"/>
      </w:divBdr>
    </w:div>
    <w:div w:id="1520922381">
      <w:bodyDiv w:val="1"/>
      <w:marLeft w:val="0"/>
      <w:marRight w:val="0"/>
      <w:marTop w:val="0"/>
      <w:marBottom w:val="0"/>
      <w:divBdr>
        <w:top w:val="none" w:sz="0" w:space="0" w:color="auto"/>
        <w:left w:val="none" w:sz="0" w:space="0" w:color="auto"/>
        <w:bottom w:val="none" w:sz="0" w:space="0" w:color="auto"/>
        <w:right w:val="none" w:sz="0" w:space="0" w:color="auto"/>
      </w:divBdr>
    </w:div>
    <w:div w:id="1531256600">
      <w:bodyDiv w:val="1"/>
      <w:marLeft w:val="0"/>
      <w:marRight w:val="0"/>
      <w:marTop w:val="0"/>
      <w:marBottom w:val="0"/>
      <w:divBdr>
        <w:top w:val="none" w:sz="0" w:space="0" w:color="auto"/>
        <w:left w:val="none" w:sz="0" w:space="0" w:color="auto"/>
        <w:bottom w:val="none" w:sz="0" w:space="0" w:color="auto"/>
        <w:right w:val="none" w:sz="0" w:space="0" w:color="auto"/>
      </w:divBdr>
    </w:div>
    <w:div w:id="1744990532">
      <w:bodyDiv w:val="1"/>
      <w:marLeft w:val="0"/>
      <w:marRight w:val="0"/>
      <w:marTop w:val="0"/>
      <w:marBottom w:val="0"/>
      <w:divBdr>
        <w:top w:val="none" w:sz="0" w:space="0" w:color="auto"/>
        <w:left w:val="none" w:sz="0" w:space="0" w:color="auto"/>
        <w:bottom w:val="none" w:sz="0" w:space="0" w:color="auto"/>
        <w:right w:val="none" w:sz="0" w:space="0" w:color="auto"/>
      </w:divBdr>
    </w:div>
    <w:div w:id="1745295074">
      <w:bodyDiv w:val="1"/>
      <w:marLeft w:val="0"/>
      <w:marRight w:val="0"/>
      <w:marTop w:val="0"/>
      <w:marBottom w:val="0"/>
      <w:divBdr>
        <w:top w:val="none" w:sz="0" w:space="0" w:color="auto"/>
        <w:left w:val="none" w:sz="0" w:space="0" w:color="auto"/>
        <w:bottom w:val="none" w:sz="0" w:space="0" w:color="auto"/>
        <w:right w:val="none" w:sz="0" w:space="0" w:color="auto"/>
      </w:divBdr>
    </w:div>
    <w:div w:id="1818960030">
      <w:bodyDiv w:val="1"/>
      <w:marLeft w:val="0"/>
      <w:marRight w:val="0"/>
      <w:marTop w:val="0"/>
      <w:marBottom w:val="0"/>
      <w:divBdr>
        <w:top w:val="none" w:sz="0" w:space="0" w:color="auto"/>
        <w:left w:val="none" w:sz="0" w:space="0" w:color="auto"/>
        <w:bottom w:val="none" w:sz="0" w:space="0" w:color="auto"/>
        <w:right w:val="none" w:sz="0" w:space="0" w:color="auto"/>
      </w:divBdr>
    </w:div>
    <w:div w:id="1980718132">
      <w:bodyDiv w:val="1"/>
      <w:marLeft w:val="0"/>
      <w:marRight w:val="0"/>
      <w:marTop w:val="0"/>
      <w:marBottom w:val="0"/>
      <w:divBdr>
        <w:top w:val="none" w:sz="0" w:space="0" w:color="auto"/>
        <w:left w:val="none" w:sz="0" w:space="0" w:color="auto"/>
        <w:bottom w:val="none" w:sz="0" w:space="0" w:color="auto"/>
        <w:right w:val="none" w:sz="0" w:space="0" w:color="auto"/>
      </w:divBdr>
    </w:div>
    <w:div w:id="20553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8BDD-9295-854D-90D6-852C9ACC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26870</Words>
  <Characters>147787</Characters>
  <Application>Microsoft Office Word</Application>
  <DocSecurity>0</DocSecurity>
  <Lines>1231</Lines>
  <Paragraphs>348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Castellucci</dc:creator>
  <cp:keywords/>
  <dc:description/>
  <cp:lastModifiedBy>Hector Castellucci</cp:lastModifiedBy>
  <cp:revision>7</cp:revision>
  <dcterms:created xsi:type="dcterms:W3CDTF">2024-04-05T14:52:00Z</dcterms:created>
  <dcterms:modified xsi:type="dcterms:W3CDTF">2024-04-12T18:32:00Z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http://www.zotero.org/styles/applied-ergonomics</vt:lpwstr>
  </property>
  <property fmtid="{D5CDD505-2E9C-101B-9397-08002B2CF9AE}" pid="7" name="Mendeley Recent Style Name 2_1">
    <vt:lpwstr>Applied Ergonomics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http://www.zotero.org/styles/sage-vancouver-brackets</vt:lpwstr>
  </property>
  <property fmtid="{D5CDD505-2E9C-101B-9397-08002B2CF9AE}" pid="17" name="Mendeley Recent Style Name 7_1">
    <vt:lpwstr>SAGE - Vancouver (brackets)</vt:lpwstr>
  </property>
  <property fmtid="{D5CDD505-2E9C-101B-9397-08002B2CF9AE}" pid="18" name="Mendeley Recent Style Id 8_1">
    <vt:lpwstr>http://www.zotero.org/styles/safety-science</vt:lpwstr>
  </property>
  <property fmtid="{D5CDD505-2E9C-101B-9397-08002B2CF9AE}" pid="19" name="Mendeley Recent Style Name 8_1">
    <vt:lpwstr>Safety 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5532746b-7086-386c-9660-9d9700241526</vt:lpwstr>
  </property>
  <property fmtid="{D5CDD505-2E9C-101B-9397-08002B2CF9AE}" pid="24" name="Mendeley Citation Style_1">
    <vt:lpwstr>http://www.zotero.org/styles/applied-ergonomics</vt:lpwstr>
  </property>
</Properties>
</file>