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alias w:val="Title"/>
        <w:id w:val="1406182634"/>
        <w:placeholder>
          <w:docPart w:val="2987E3534C794FE1819BADA8A36A9AEE"/>
        </w:placeholder>
        <w:text/>
      </w:sdtPr>
      <w:sdtContent>
        <w:p>
          <w:pPr>
            <w:pStyle w:val="25"/>
          </w:pPr>
          <w:r>
            <w:rPr>
              <w:rFonts w:hint="default"/>
            </w:rPr>
            <w:t>Investor Sentiment and Stock Market Reactions to Major Smartphone Launch Events</w:t>
          </w:r>
        </w:p>
      </w:sdtContent>
    </w:sdt>
    <w:p>
      <w:pPr>
        <w:rPr>
          <w:rFonts w:hint="default" w:ascii="Times New Roman Regular" w:hAnsi="Times New Roman Regular" w:cs="Times New Roman Regular"/>
        </w:rPr>
      </w:pPr>
      <w:r>
        <w:rPr>
          <w:rFonts w:hint="default" w:ascii="Times New Roman Regular" w:hAnsi="Times New Roman Regular" w:cs="Times New Roman Regular"/>
        </w:rPr>
        <w:t>This project investigates whether investor sentiment in financial news affects stock price reactions to major smartphone launch events by Apple (AAPL) and Alphabet/Google (GOOGL). Although product releases are widely followed by consumers and investors, the academic literature provides mixed evidence on whether such events create systematic excess returns. I extend the traditional event-study framework by incorporating news sentiment scores from RavenPack, allowing me to test not only whether launches move prices, but whether the tone of the media coverage helps explain the magnitude of the reaction.</w:t>
      </w:r>
    </w:p>
    <w:p>
      <w:pPr>
        <w:rPr>
          <w:rFonts w:hint="default" w:ascii="Times New Roman Regular" w:hAnsi="Times New Roman Regular" w:cs="Times New Roman Regular"/>
        </w:rPr>
      </w:pPr>
    </w:p>
    <w:p>
      <w:pPr>
        <w:rPr>
          <w:rFonts w:hint="default" w:ascii="Times New Roman Regular" w:hAnsi="Times New Roman Regular" w:cs="Times New Roman Regular"/>
        </w:rPr>
      </w:pPr>
      <w:r>
        <w:rPr>
          <w:rFonts w:hint="default" w:ascii="Times New Roman Regular" w:hAnsi="Times New Roman Regular" w:cs="Times New Roman Regular"/>
        </w:rPr>
        <w:t>I construct a dataset combining (1) daily stock returns from CRSP, (2) market factors from the Fama–French Daily 3-factor file, (3) firm fundamentals from Compustat for size controls, and (4) 458 launch-related news articles with sentiment scores between 2007–2025 for Apple and 2016–2025 for Google. For each launch date, I calculate abnormal returns and cumulative abnormal returns (CAR) over three symmetric windows: ±3, ±5, and ±10 trading days. Firm size is measured as log market equity, using Compustat as the primary source and CRSP as a fallback when needed.</w:t>
      </w:r>
    </w:p>
    <w:p>
      <w:pPr>
        <w:rPr>
          <w:rFonts w:hint="default" w:ascii="Times New Roman Regular" w:hAnsi="Times New Roman Regular" w:cs="Times New Roman Regular"/>
        </w:rPr>
      </w:pPr>
    </w:p>
    <w:p>
      <w:pPr>
        <w:rPr>
          <w:rFonts w:hint="default" w:ascii="Times New Roman Regular" w:hAnsi="Times New Roman Regular" w:cs="Times New Roman Regular"/>
        </w:rPr>
      </w:pPr>
      <w:r>
        <w:rPr>
          <w:rFonts w:hint="default" w:ascii="Times New Roman Regular" w:hAnsi="Times New Roman Regular" w:cs="Times New Roman Regular"/>
        </w:rPr>
        <w:t>The results show that smartphone launches generate statistically significant positive abnormal returns in the short window (±3 days), but the effect weakens in longer windows, suggesting markets incorporate information rapidly. More importantly, cross-sectional regressions indicate that news sentiment is a significant predictor of CAR, even after controlling for firm size. A one-standard-deviation increase in sentiment raises CAR by roughly 1.8–2.5 percentage points depending on the window. Similar results hold for the single-day abnormal return (AR₀), confirming that the sentiment effect occurs immediately rather than gradually.</w:t>
      </w:r>
    </w:p>
    <w:p>
      <w:pPr>
        <w:rPr>
          <w:rFonts w:hint="default" w:ascii="Times New Roman Regular" w:hAnsi="Times New Roman Regular" w:cs="Times New Roman Regular"/>
        </w:rPr>
      </w:pPr>
    </w:p>
    <w:p>
      <w:pPr>
        <w:rPr>
          <w:rFonts w:hint="default" w:ascii="Times New Roman Regular" w:hAnsi="Times New Roman Regular" w:cs="Times New Roman Regular"/>
        </w:rPr>
      </w:pPr>
      <w:r>
        <w:rPr>
          <w:rFonts w:hint="default" w:ascii="Times New Roman Regular" w:hAnsi="Times New Roman Regular" w:cs="Times New Roman Regular"/>
        </w:rPr>
        <w:t>The findings imply that product launches are not priced by fundamentals alone—the narrative surrounding the launch matters. Identical product announcements can generate different market reactions depending on whether media framing is positive or negative. This has implications for quantitative traders, investor relations departments, and communication strategies of large tech firms. Future extensions could expand the sample to Samsung, incorporate social-media sentiment, or replace the market-adjusted abnormal return with multi-factor expected return estimates.</w:t>
      </w:r>
    </w:p>
    <w:p>
      <w:pPr>
        <w:rPr>
          <w:rFonts w:hint="default" w:ascii="Times New Roman Regular" w:hAnsi="Times New Roman Regular" w:cs="Times New Roman Regular"/>
        </w:rPr>
      </w:pPr>
      <w:bookmarkStart w:id="6" w:name="_GoBack"/>
      <w:bookmarkEnd w:id="6"/>
    </w:p>
    <w:p>
      <w:r>
        <w:rPr>
          <w:rFonts w:hint="default" w:ascii="Times New Roman Regular" w:hAnsi="Times New Roman Regular" w:cs="Times New Roman Regular"/>
          <w:lang w:val="en-US" w:eastAsia="zh-CN"/>
        </w:rPr>
        <w:t>Edgar Zhu</w:t>
      </w:r>
      <w:r>
        <w:rPr>
          <w:rFonts w:hint="default" w:ascii="Times New Roman Regular" w:hAnsi="Times New Roman Regular" w:cs="Times New Roman Regular"/>
        </w:rPr>
        <w:br w:type="textWrapping"/>
      </w:r>
      <w:r>
        <w:rPr>
          <w:rFonts w:hint="default" w:ascii="Times New Roman Regular" w:hAnsi="Times New Roman Regular" w:cs="Times New Roman Regular"/>
          <w:lang w:val="en-US"/>
        </w:rPr>
        <w:t>dejiazhu@umich.edu</w:t>
      </w:r>
      <w:r>
        <w:rPr>
          <w:rFonts w:hint="default" w:ascii="Times New Roman Regular" w:hAnsi="Times New Roman Regular" w:cs="Times New Roman Regular"/>
        </w:rPr>
        <w:br w:type="textWrapping"/>
      </w:r>
      <w:r>
        <w:rPr>
          <w:rFonts w:hint="default" w:ascii="Times New Roman Regular" w:hAnsi="Times New Roman Regular" w:cs="Times New Roman Regular"/>
          <w:lang w:val="en-US"/>
        </w:rPr>
        <w:t>805-689-6773</w:t>
      </w:r>
      <w:r>
        <w:rPr>
          <w:rFonts w:hint="default" w:ascii="Times New Roman Regular" w:hAnsi="Times New Roman Regular" w:cs="Times New Roman Regular"/>
        </w:rPr>
        <w:br w:type="textWrapping"/>
      </w:r>
      <w:r>
        <w:rPr>
          <w:rFonts w:hint="default" w:ascii="Times New Roman Regular" w:hAnsi="Times New Roman Regular" w:cs="Times New Roman Regular"/>
          <w:lang w:val="en-US"/>
        </w:rPr>
        <w:t>11/06/2025</w:t>
      </w:r>
      <w:r>
        <w:br w:type="textWrapping"/>
      </w:r>
      <w:r>
        <w:br w:type="page"/>
      </w:r>
    </w:p>
    <w:sdt>
      <w:sdtPr>
        <w:rPr>
          <w:rFonts w:asciiTheme="minorHAnsi" w:hAnsiTheme="minorHAnsi" w:eastAsiaTheme="minorEastAsia" w:cstheme="minorBidi"/>
          <w:color w:val="auto"/>
          <w:sz w:val="21"/>
          <w:szCs w:val="21"/>
        </w:rPr>
        <w:id w:val="-1"/>
        <w:docPartObj>
          <w:docPartGallery w:val="Table of Contents"/>
          <w:docPartUnique/>
        </w:docPartObj>
      </w:sdtPr>
      <w:sdtEndPr>
        <w:rPr>
          <w:rFonts w:ascii="News Gothic MT" w:hAnsi="News Gothic MT" w:eastAsiaTheme="minorEastAsia" w:cstheme="minorBidi"/>
          <w:b/>
          <w:bCs/>
          <w:color w:val="auto"/>
          <w:sz w:val="21"/>
          <w:szCs w:val="21"/>
        </w:rPr>
      </w:sdtEndPr>
      <w:sdtContent>
        <w:p>
          <w:pPr>
            <w:pStyle w:val="48"/>
            <w:rPr>
              <w:rFonts w:ascii="News Gothic MT" w:hAnsi="News Gothic MT" w:eastAsiaTheme="minorEastAsia" w:cstheme="minorBidi"/>
              <w:b/>
              <w:bCs/>
              <w:color w:val="auto"/>
              <w:sz w:val="21"/>
              <w:szCs w:val="21"/>
            </w:rPr>
          </w:pPr>
          <w:bookmarkStart w:id="0" w:name="_Toc4169848"/>
          <w:r>
            <w:t>Contents</w:t>
          </w:r>
        </w:p>
      </w:sdtContent>
    </w:sdt>
    <w:p>
      <w:pPr>
        <w:pStyle w:val="24"/>
        <w:tabs>
          <w:tab w:val="right" w:leader="dot" w:pos="9350"/>
        </w:tabs>
        <w:rPr>
          <w:rFonts w:hint="default"/>
          <w:b/>
          <w:bCs/>
          <w:sz w:val="24"/>
          <w:szCs w:val="24"/>
          <w:lang w:val="en-US"/>
        </w:rPr>
      </w:pPr>
      <w:r>
        <w:rPr>
          <w:rFonts w:hint="default"/>
          <w:b/>
          <w:bCs/>
          <w:sz w:val="24"/>
          <w:szCs w:val="24"/>
        </w:rPr>
        <w:t>Introduction</w:t>
      </w:r>
      <w:r>
        <w:rPr>
          <w:b/>
          <w:bCs/>
          <w:sz w:val="24"/>
          <w:szCs w:val="24"/>
        </w:rPr>
        <w:tab/>
      </w:r>
      <w:r>
        <w:rPr>
          <w:rFonts w:hint="default"/>
          <w:b/>
          <w:bCs/>
          <w:sz w:val="24"/>
          <w:szCs w:val="24"/>
          <w:lang w:val="en-US"/>
        </w:rPr>
        <w:t>1</w:t>
      </w:r>
    </w:p>
    <w:p>
      <w:pPr>
        <w:pStyle w:val="24"/>
        <w:tabs>
          <w:tab w:val="right" w:leader="dot" w:pos="9350"/>
        </w:tabs>
        <w:rPr>
          <w:rFonts w:hint="default" w:asciiTheme="minorHAnsi" w:hAnsiTheme="minorHAnsi"/>
          <w:b/>
          <w:bCs/>
          <w:sz w:val="28"/>
          <w:szCs w:val="28"/>
          <w:lang w:val="en-US"/>
        </w:rPr>
      </w:pPr>
      <w:r>
        <w:rPr>
          <w:b/>
          <w:bCs/>
          <w:sz w:val="24"/>
          <w:szCs w:val="24"/>
        </w:rPr>
        <w:fldChar w:fldCharType="begin"/>
      </w:r>
      <w:r>
        <w:rPr>
          <w:b/>
          <w:bCs/>
          <w:sz w:val="24"/>
          <w:szCs w:val="24"/>
        </w:rPr>
        <w:instrText xml:space="preserve"> TOC \c "Table" </w:instrText>
      </w:r>
      <w:r>
        <w:rPr>
          <w:b/>
          <w:bCs/>
          <w:sz w:val="24"/>
          <w:szCs w:val="24"/>
        </w:rPr>
        <w:fldChar w:fldCharType="separate"/>
      </w:r>
      <w:r>
        <w:rPr>
          <w:rFonts w:hint="default"/>
          <w:b/>
          <w:bCs/>
          <w:sz w:val="24"/>
          <w:szCs w:val="24"/>
        </w:rPr>
        <w:t>Method and data</w:t>
      </w:r>
      <w:r>
        <w:rPr>
          <w:b/>
          <w:bCs/>
          <w:sz w:val="24"/>
          <w:szCs w:val="24"/>
        </w:rPr>
        <w:tab/>
      </w:r>
      <w:r>
        <w:rPr>
          <w:rFonts w:hint="default"/>
          <w:b/>
          <w:bCs/>
          <w:sz w:val="24"/>
          <w:szCs w:val="24"/>
          <w:lang w:val="en-US"/>
        </w:rPr>
        <w:t>1</w:t>
      </w:r>
    </w:p>
    <w:p>
      <w:pPr>
        <w:pStyle w:val="24"/>
        <w:tabs>
          <w:tab w:val="right" w:leader="dot" w:pos="9350"/>
        </w:tabs>
        <w:rPr>
          <w:rFonts w:hint="default" w:asciiTheme="minorHAnsi" w:hAnsiTheme="minorHAnsi"/>
          <w:b/>
          <w:bCs/>
          <w:sz w:val="28"/>
          <w:szCs w:val="28"/>
          <w:lang w:val="en-US"/>
        </w:rPr>
      </w:pPr>
      <w:r>
        <w:rPr>
          <w:b/>
          <w:bCs/>
          <w:sz w:val="24"/>
          <w:szCs w:val="24"/>
        </w:rPr>
        <w:fldChar w:fldCharType="end"/>
      </w:r>
      <w:r>
        <w:rPr>
          <w:b/>
          <w:bCs/>
          <w:sz w:val="24"/>
          <w:szCs w:val="24"/>
        </w:rPr>
        <w:fldChar w:fldCharType="begin"/>
      </w:r>
      <w:r>
        <w:rPr>
          <w:b/>
          <w:bCs/>
          <w:sz w:val="24"/>
          <w:szCs w:val="24"/>
        </w:rPr>
        <w:instrText xml:space="preserve"> TOC \c "Table" </w:instrText>
      </w:r>
      <w:r>
        <w:rPr>
          <w:b/>
          <w:bCs/>
          <w:sz w:val="24"/>
          <w:szCs w:val="24"/>
        </w:rPr>
        <w:fldChar w:fldCharType="separate"/>
      </w:r>
      <w:r>
        <w:rPr>
          <w:rFonts w:hint="default"/>
          <w:b/>
          <w:bCs/>
          <w:sz w:val="24"/>
          <w:szCs w:val="24"/>
        </w:rPr>
        <w:t>Results</w:t>
      </w:r>
      <w:r>
        <w:rPr>
          <w:b/>
          <w:bCs/>
          <w:sz w:val="24"/>
          <w:szCs w:val="24"/>
        </w:rPr>
        <w:tab/>
      </w:r>
      <w:r>
        <w:rPr>
          <w:rFonts w:hint="default"/>
          <w:b/>
          <w:bCs/>
          <w:sz w:val="24"/>
          <w:szCs w:val="24"/>
          <w:lang w:val="en-US"/>
        </w:rPr>
        <w:t>3</w:t>
      </w:r>
    </w:p>
    <w:p>
      <w:pPr>
        <w:pStyle w:val="24"/>
        <w:tabs>
          <w:tab w:val="right" w:leader="dot" w:pos="9350"/>
        </w:tabs>
        <w:rPr>
          <w:rFonts w:hint="default" w:asciiTheme="minorHAnsi" w:hAnsiTheme="minorHAnsi"/>
          <w:b/>
          <w:bCs/>
          <w:sz w:val="28"/>
          <w:szCs w:val="28"/>
          <w:lang w:val="en-US"/>
        </w:rPr>
      </w:pPr>
      <w:r>
        <w:rPr>
          <w:b/>
          <w:bCs/>
          <w:sz w:val="24"/>
          <w:szCs w:val="24"/>
        </w:rPr>
        <w:fldChar w:fldCharType="end"/>
      </w:r>
      <w:r>
        <w:rPr>
          <w:b/>
          <w:bCs/>
          <w:sz w:val="24"/>
          <w:szCs w:val="24"/>
        </w:rPr>
        <w:fldChar w:fldCharType="begin"/>
      </w:r>
      <w:r>
        <w:rPr>
          <w:b/>
          <w:bCs/>
          <w:sz w:val="24"/>
          <w:szCs w:val="24"/>
        </w:rPr>
        <w:instrText xml:space="preserve"> TOC \c "Table" </w:instrText>
      </w:r>
      <w:r>
        <w:rPr>
          <w:b/>
          <w:bCs/>
          <w:sz w:val="24"/>
          <w:szCs w:val="24"/>
        </w:rPr>
        <w:fldChar w:fldCharType="separate"/>
      </w:r>
      <w:r>
        <w:rPr>
          <w:rFonts w:hint="default"/>
          <w:b/>
          <w:bCs/>
          <w:sz w:val="24"/>
          <w:szCs w:val="24"/>
        </w:rPr>
        <w:t>Conclusio</w:t>
      </w:r>
      <w:r>
        <w:rPr>
          <w:rFonts w:hint="default"/>
          <w:b/>
          <w:bCs/>
          <w:sz w:val="24"/>
          <w:szCs w:val="24"/>
          <w:lang w:val="en-US"/>
        </w:rPr>
        <w:t>n</w:t>
      </w:r>
      <w:r>
        <w:rPr>
          <w:b/>
          <w:bCs/>
          <w:sz w:val="24"/>
          <w:szCs w:val="24"/>
        </w:rPr>
        <w:tab/>
      </w:r>
      <w:r>
        <w:rPr>
          <w:rFonts w:hint="default"/>
          <w:b/>
          <w:bCs/>
          <w:sz w:val="24"/>
          <w:szCs w:val="24"/>
          <w:lang w:val="en-US"/>
        </w:rPr>
        <w:t>6</w:t>
      </w:r>
    </w:p>
    <w:p>
      <w:r>
        <w:rPr>
          <w:b/>
          <w:bCs/>
          <w:sz w:val="24"/>
          <w:szCs w:val="24"/>
        </w:rPr>
        <w:fldChar w:fldCharType="end"/>
      </w:r>
    </w:p>
    <w:p>
      <w:pPr>
        <w:pStyle w:val="48"/>
      </w:pPr>
      <w:r>
        <w:t>Tables</w:t>
      </w:r>
    </w:p>
    <w:p>
      <w:pPr>
        <w:pStyle w:val="24"/>
        <w:tabs>
          <w:tab w:val="right" w:leader="dot" w:pos="9350"/>
        </w:tabs>
        <w:rPr>
          <w:rFonts w:hint="default"/>
          <w:lang w:val="en-US"/>
        </w:rPr>
      </w:pPr>
      <w:r>
        <w:fldChar w:fldCharType="begin"/>
      </w:r>
      <w:r>
        <w:instrText xml:space="preserve"> TOC \c "Table" </w:instrText>
      </w:r>
      <w:r>
        <w:fldChar w:fldCharType="separate"/>
      </w:r>
      <w:r>
        <w:t xml:space="preserve">Table 1. </w:t>
      </w:r>
      <w:r>
        <w:rPr>
          <w:rFonts w:hint="default"/>
          <w:b w:val="0"/>
          <w:bCs w:val="0"/>
          <w:lang w:val="en-US"/>
        </w:rPr>
        <w:t>Summary Statistics for Event Windows (Mean CAR and t-tests)</w:t>
      </w:r>
      <w:r>
        <w:tab/>
      </w:r>
      <w:r>
        <w:rPr>
          <w:rFonts w:hint="default"/>
          <w:lang w:val="en-US"/>
        </w:rPr>
        <w:t>7</w:t>
      </w:r>
    </w:p>
    <w:p>
      <w:pPr>
        <w:pStyle w:val="24"/>
        <w:tabs>
          <w:tab w:val="right" w:leader="dot" w:pos="9350"/>
        </w:tabs>
        <w:rPr>
          <w:rFonts w:hint="default" w:asciiTheme="minorHAnsi" w:hAnsiTheme="minorHAnsi"/>
          <w:sz w:val="22"/>
          <w:szCs w:val="22"/>
          <w:lang w:val="en-US"/>
        </w:rPr>
      </w:pPr>
      <w:r>
        <w:fldChar w:fldCharType="begin"/>
      </w:r>
      <w:r>
        <w:instrText xml:space="preserve"> TOC \c "Table" </w:instrText>
      </w:r>
      <w:r>
        <w:fldChar w:fldCharType="separate"/>
      </w:r>
      <w:r>
        <w:t xml:space="preserve">Table </w:t>
      </w:r>
      <w:r>
        <w:rPr>
          <w:rFonts w:hint="default"/>
          <w:lang w:val="en-US"/>
        </w:rPr>
        <w:t>2</w:t>
      </w:r>
      <w:r>
        <w:t xml:space="preserve">. </w:t>
      </w:r>
      <w:r>
        <w:rPr>
          <w:rFonts w:hint="default"/>
          <w:b w:val="0"/>
          <w:bCs w:val="0"/>
          <w:lang w:val="en-US"/>
        </w:rPr>
        <w:t>Regression of Cumulative Abnormal Returns on Sentiment and Firm Size</w:t>
      </w:r>
      <w:r>
        <w:tab/>
      </w:r>
      <w:r>
        <w:rPr>
          <w:rFonts w:hint="default"/>
          <w:lang w:val="en-US"/>
        </w:rPr>
        <w:t>7</w:t>
      </w:r>
    </w:p>
    <w:p>
      <w:pPr>
        <w:pStyle w:val="24"/>
        <w:tabs>
          <w:tab w:val="right" w:leader="dot" w:pos="9350"/>
        </w:tabs>
        <w:rPr>
          <w:rFonts w:hint="default" w:asciiTheme="minorHAnsi" w:hAnsiTheme="minorHAnsi"/>
          <w:sz w:val="22"/>
          <w:szCs w:val="22"/>
          <w:lang w:val="en-US"/>
        </w:rPr>
      </w:pPr>
      <w:r>
        <w:fldChar w:fldCharType="end"/>
      </w:r>
      <w:r>
        <w:fldChar w:fldCharType="begin"/>
      </w:r>
      <w:r>
        <w:instrText xml:space="preserve"> TOC \c "Table" </w:instrText>
      </w:r>
      <w:r>
        <w:fldChar w:fldCharType="separate"/>
      </w:r>
      <w:r>
        <w:t xml:space="preserve">Table </w:t>
      </w:r>
      <w:r>
        <w:rPr>
          <w:rFonts w:hint="default"/>
          <w:lang w:val="en-US"/>
        </w:rPr>
        <w:t>3</w:t>
      </w:r>
      <w:r>
        <w:t xml:space="preserve">. </w:t>
      </w:r>
      <w:r>
        <w:rPr>
          <w:rFonts w:hint="default"/>
          <w:b w:val="0"/>
          <w:bCs w:val="0"/>
          <w:lang w:val="en-US"/>
        </w:rPr>
        <w:t>Day-0 Abnormal Return (AR0) Regressions</w:t>
      </w:r>
      <w:r>
        <w:tab/>
      </w:r>
      <w:r>
        <w:rPr>
          <w:rFonts w:hint="default"/>
          <w:lang w:val="en-US"/>
        </w:rPr>
        <w:t>7</w:t>
      </w:r>
    </w:p>
    <w:p>
      <w:r>
        <w:fldChar w:fldCharType="end"/>
      </w:r>
    </w:p>
    <w:p>
      <w:pPr>
        <w:pStyle w:val="48"/>
      </w:pPr>
      <w:r>
        <w:fldChar w:fldCharType="end"/>
      </w:r>
      <w:r>
        <w:t>Figures</w:t>
      </w:r>
      <w:r>
        <w:fldChar w:fldCharType="begin"/>
      </w:r>
      <w:r>
        <w:instrText xml:space="preserve"> TOC \c "Figure" </w:instrText>
      </w:r>
      <w:r>
        <w:fldChar w:fldCharType="separate"/>
      </w:r>
    </w:p>
    <w:p>
      <w:pPr>
        <w:pStyle w:val="24"/>
        <w:tabs>
          <w:tab w:val="right" w:leader="dot" w:pos="9350"/>
        </w:tabs>
        <w:rPr>
          <w:rFonts w:hint="default"/>
          <w:lang w:val="en-US"/>
        </w:rPr>
      </w:pPr>
      <w:r>
        <w:t xml:space="preserve">Figure 1. </w:t>
      </w:r>
      <w:r>
        <w:rPr>
          <w:rFonts w:hint="default"/>
          <w:b w:val="0"/>
          <w:bCs w:val="0"/>
        </w:rPr>
        <w:t>Regression Diagnostics for CAR(-</w:t>
      </w:r>
      <w:r>
        <w:rPr>
          <w:rFonts w:hint="default"/>
          <w:b w:val="0"/>
          <w:bCs w:val="0"/>
          <w:lang w:val="en-US"/>
        </w:rPr>
        <w:t>3</w:t>
      </w:r>
      <w:r>
        <w:rPr>
          <w:rFonts w:hint="default"/>
          <w:b w:val="0"/>
          <w:bCs w:val="0"/>
        </w:rPr>
        <w:t>,+</w:t>
      </w:r>
      <w:r>
        <w:rPr>
          <w:rFonts w:hint="default"/>
          <w:b w:val="0"/>
          <w:bCs w:val="0"/>
          <w:lang w:val="en-US"/>
        </w:rPr>
        <w:t>3</w:t>
      </w:r>
      <w:r>
        <w:rPr>
          <w:rFonts w:hint="default"/>
          <w:b w:val="0"/>
          <w:bCs w:val="0"/>
        </w:rPr>
        <w:t>) Model</w:t>
      </w:r>
      <w:r>
        <w:tab/>
      </w:r>
      <w:r>
        <w:rPr>
          <w:rFonts w:hint="default"/>
          <w:lang w:val="en-US"/>
        </w:rPr>
        <w:t>5</w:t>
      </w:r>
    </w:p>
    <w:p>
      <w:pPr>
        <w:pStyle w:val="24"/>
        <w:tabs>
          <w:tab w:val="right" w:leader="dot" w:pos="9350"/>
        </w:tabs>
        <w:rPr>
          <w:rFonts w:hint="default" w:asciiTheme="minorHAnsi" w:hAnsiTheme="minorHAnsi"/>
          <w:sz w:val="22"/>
          <w:szCs w:val="22"/>
          <w:lang w:val="en-US"/>
        </w:rPr>
      </w:pPr>
      <w:r>
        <w:t xml:space="preserve">Figure </w:t>
      </w:r>
      <w:r>
        <w:rPr>
          <w:rFonts w:hint="default"/>
          <w:lang w:val="en-US"/>
        </w:rPr>
        <w:t>2</w:t>
      </w:r>
      <w:r>
        <w:t xml:space="preserve">. </w:t>
      </w:r>
      <w:r>
        <w:rPr>
          <w:rFonts w:hint="default"/>
          <w:b w:val="0"/>
          <w:bCs w:val="0"/>
        </w:rPr>
        <w:t>Regression Diagnostics for CAR(-</w:t>
      </w:r>
      <w:r>
        <w:rPr>
          <w:rFonts w:hint="default"/>
          <w:b w:val="0"/>
          <w:bCs w:val="0"/>
          <w:lang w:val="en-US"/>
        </w:rPr>
        <w:t>5</w:t>
      </w:r>
      <w:r>
        <w:rPr>
          <w:rFonts w:hint="default"/>
          <w:b w:val="0"/>
          <w:bCs w:val="0"/>
        </w:rPr>
        <w:t>,+</w:t>
      </w:r>
      <w:r>
        <w:rPr>
          <w:rFonts w:hint="default"/>
          <w:b w:val="0"/>
          <w:bCs w:val="0"/>
          <w:lang w:val="en-US"/>
        </w:rPr>
        <w:t>5</w:t>
      </w:r>
      <w:r>
        <w:rPr>
          <w:rFonts w:hint="default"/>
          <w:b w:val="0"/>
          <w:bCs w:val="0"/>
        </w:rPr>
        <w:t>) Model</w:t>
      </w:r>
      <w:r>
        <w:tab/>
      </w:r>
      <w:r>
        <w:rPr>
          <w:rFonts w:hint="default"/>
          <w:lang w:val="en-US"/>
        </w:rPr>
        <w:t>5</w:t>
      </w:r>
    </w:p>
    <w:p>
      <w:pPr>
        <w:pStyle w:val="24"/>
        <w:tabs>
          <w:tab w:val="right" w:leader="dot" w:pos="9350"/>
        </w:tabs>
        <w:rPr>
          <w:rFonts w:hint="default" w:asciiTheme="minorHAnsi" w:hAnsiTheme="minorHAnsi"/>
          <w:sz w:val="22"/>
          <w:szCs w:val="22"/>
          <w:lang w:val="en-US"/>
        </w:rPr>
      </w:pPr>
      <w:r>
        <w:t xml:space="preserve">Figure </w:t>
      </w:r>
      <w:r>
        <w:rPr>
          <w:rFonts w:hint="default"/>
          <w:lang w:val="en-US"/>
        </w:rPr>
        <w:t>3</w:t>
      </w:r>
      <w:r>
        <w:t xml:space="preserve">. </w:t>
      </w:r>
      <w:r>
        <w:rPr>
          <w:rFonts w:hint="default"/>
          <w:b w:val="0"/>
          <w:bCs w:val="0"/>
        </w:rPr>
        <w:t>Regression Diagnostics for CAR(-</w:t>
      </w:r>
      <w:r>
        <w:rPr>
          <w:rFonts w:hint="default"/>
          <w:b w:val="0"/>
          <w:bCs w:val="0"/>
          <w:lang w:val="en-US"/>
        </w:rPr>
        <w:t>10</w:t>
      </w:r>
      <w:r>
        <w:rPr>
          <w:rFonts w:hint="default"/>
          <w:b w:val="0"/>
          <w:bCs w:val="0"/>
        </w:rPr>
        <w:t>,+</w:t>
      </w:r>
      <w:r>
        <w:rPr>
          <w:rFonts w:hint="default"/>
          <w:b w:val="0"/>
          <w:bCs w:val="0"/>
          <w:lang w:val="en-US"/>
        </w:rPr>
        <w:t>10</w:t>
      </w:r>
      <w:r>
        <w:rPr>
          <w:rFonts w:hint="default"/>
          <w:b w:val="0"/>
          <w:bCs w:val="0"/>
        </w:rPr>
        <w:t>) Model</w:t>
      </w:r>
      <w:r>
        <w:tab/>
      </w:r>
      <w:r>
        <w:rPr>
          <w:rFonts w:hint="default"/>
          <w:lang w:val="en-US"/>
        </w:rPr>
        <w:t>6</w:t>
      </w:r>
    </w:p>
    <w:p/>
    <w:p>
      <w:r>
        <w:fldChar w:fldCharType="end"/>
      </w:r>
    </w:p>
    <w:p/>
    <w:bookmarkEnd w:id="0"/>
    <w:p>
      <w:pPr>
        <w:pStyle w:val="2"/>
        <w:sectPr>
          <w:headerReference r:id="rId6" w:type="first"/>
          <w:headerReference r:id="rId5" w:type="default"/>
          <w:footerReference r:id="rId7" w:type="default"/>
          <w:pgSz w:w="12240" w:h="15840"/>
          <w:pgMar w:top="1440" w:right="1440" w:bottom="1440" w:left="1440" w:header="432" w:footer="720" w:gutter="0"/>
          <w:pgNumType w:fmt="lowerRoman"/>
          <w:cols w:space="720" w:num="1"/>
          <w:titlePg/>
          <w:docGrid w:linePitch="360" w:charSpace="0"/>
        </w:sectPr>
      </w:pPr>
    </w:p>
    <w:p>
      <w:pPr>
        <w:pStyle w:val="2"/>
        <w:rPr>
          <w:rFonts w:hint="default" w:ascii="Times New Roman Regular" w:hAnsi="Times New Roman Regular" w:cs="Times New Roman Regular"/>
        </w:rPr>
      </w:pPr>
      <w:bookmarkStart w:id="1" w:name="_Toc88580361"/>
      <w:r>
        <w:rPr>
          <w:rFonts w:hint="default" w:ascii="Times New Roman Regular" w:hAnsi="Times New Roman Regular" w:cs="Times New Roman Regular"/>
        </w:rPr>
        <w:t>Introduction</w:t>
      </w:r>
      <w:bookmarkEnd w:id="1"/>
    </w:p>
    <w:p>
      <w:pPr>
        <w:rPr>
          <w:rFonts w:hint="default" w:ascii="Times New Roman Regular" w:hAnsi="Times New Roman Regular" w:cs="Times New Roman Regular"/>
        </w:rPr>
      </w:pPr>
      <w:r>
        <w:rPr>
          <w:rFonts w:hint="default" w:ascii="Times New Roman Regular" w:hAnsi="Times New Roman Regular" w:cs="Times New Roman Regular"/>
        </w:rPr>
        <w:t>The goal of this project is to understand whether investor sentiment in news media affects how the stock market reacts to major smartphone launch events. Companies such as Apple and Google release new flagship phones every year, generating large amounts of media attention and investor discussion. These product launches are information events: they may reveal new technology, pricing changes, or market positioning, and therefore have the potential to move stock prices. However, the reaction of the market is not always determined by fundamentals alone. Investors may respond not only to the product itself, but also to how the media frames the event — positively or negatively.</w:t>
      </w:r>
    </w:p>
    <w:p>
      <w:pPr>
        <w:rPr>
          <w:rFonts w:hint="default" w:ascii="Times New Roman Regular" w:hAnsi="Times New Roman Regular" w:cs="Times New Roman Regular"/>
        </w:rPr>
      </w:pPr>
    </w:p>
    <w:p>
      <w:pPr>
        <w:rPr>
          <w:rFonts w:hint="default" w:ascii="Times New Roman Regular" w:hAnsi="Times New Roman Regular" w:cs="Times New Roman Regular"/>
        </w:rPr>
      </w:pPr>
      <w:r>
        <w:rPr>
          <w:rFonts w:hint="default" w:ascii="Times New Roman Regular" w:hAnsi="Times New Roman Regular" w:cs="Times New Roman Regular"/>
        </w:rPr>
        <w:t>This project studies two companies: Apple (AAPL) and Alphabet (GOOGL), which own the iPhone and Pixel smartphone product lines. I combine stock return data from CRSP, firm fundamentals from Compustat, market factors from the Fama-French database, and news sentiment scores from RavenPack, which assigns numeric “tone” scores to news articles. I then run an event study, measuring abnormal returns in windows around each launch date, and test whether positive sentiment is associated with stronger price reactions.</w:t>
      </w:r>
    </w:p>
    <w:p>
      <w:pPr>
        <w:rPr>
          <w:rFonts w:hint="default" w:ascii="Times New Roman Regular" w:hAnsi="Times New Roman Regular" w:cs="Times New Roman Regular"/>
        </w:rPr>
      </w:pPr>
    </w:p>
    <w:p>
      <w:pPr>
        <w:rPr>
          <w:rFonts w:hint="default" w:ascii="Times New Roman Regular" w:hAnsi="Times New Roman Regular" w:cs="Times New Roman Regular"/>
        </w:rPr>
      </w:pPr>
      <w:r>
        <w:rPr>
          <w:rFonts w:hint="default" w:ascii="Times New Roman Regular" w:hAnsi="Times New Roman Regular" w:cs="Times New Roman Regular"/>
        </w:rPr>
        <w:t>The questions addressed are:</w:t>
      </w:r>
    </w:p>
    <w:p>
      <w:pPr>
        <w:pStyle w:val="42"/>
        <w:numPr>
          <w:ilvl w:val="0"/>
          <w:numId w:val="2"/>
        </w:numPr>
        <w:rPr>
          <w:rFonts w:hint="default" w:ascii="Times New Roman Regular" w:hAnsi="Times New Roman Regular" w:cs="Times New Roman Regular"/>
        </w:rPr>
      </w:pPr>
      <w:r>
        <w:rPr>
          <w:rFonts w:hint="default" w:ascii="Times New Roman Regular" w:hAnsi="Times New Roman Regular" w:cs="Times New Roman Regular"/>
        </w:rPr>
        <w:t>Do smartphone launch events generate statistically significant abnormal returns?</w:t>
      </w:r>
    </w:p>
    <w:p>
      <w:pPr>
        <w:pStyle w:val="42"/>
        <w:numPr>
          <w:ilvl w:val="0"/>
          <w:numId w:val="2"/>
        </w:numPr>
        <w:rPr>
          <w:rFonts w:hint="default" w:ascii="Times New Roman Regular" w:hAnsi="Times New Roman Regular" w:cs="Times New Roman Regular"/>
        </w:rPr>
      </w:pPr>
      <w:r>
        <w:rPr>
          <w:rFonts w:hint="default" w:ascii="Times New Roman Regular" w:hAnsi="Times New Roman Regular" w:cs="Times New Roman Regular"/>
        </w:rPr>
        <w:t>Does media sentiment (positive vs. negative framing) help explain differences in return reactions?</w:t>
      </w:r>
    </w:p>
    <w:p>
      <w:pPr>
        <w:pStyle w:val="42"/>
        <w:numPr>
          <w:ilvl w:val="0"/>
          <w:numId w:val="2"/>
        </w:numPr>
        <w:rPr>
          <w:rFonts w:hint="default" w:ascii="Times New Roman Regular" w:hAnsi="Times New Roman Regular" w:cs="Times New Roman Regular"/>
        </w:rPr>
      </w:pPr>
      <w:r>
        <w:rPr>
          <w:rFonts w:hint="default" w:ascii="Times New Roman Regular" w:hAnsi="Times New Roman Regular" w:cs="Times New Roman Regular"/>
        </w:rPr>
        <w:t>Are the effects still present after controlling for firm size?</w:t>
      </w:r>
    </w:p>
    <w:p>
      <w:pPr>
        <w:rPr>
          <w:rFonts w:hint="default" w:ascii="Times New Roman Regular" w:hAnsi="Times New Roman Regular" w:cs="Times New Roman Regular"/>
        </w:rPr>
      </w:pPr>
      <w:r>
        <w:rPr>
          <w:rFonts w:hint="default" w:ascii="Times New Roman Regular" w:hAnsi="Times New Roman Regular" w:cs="Times New Roman Regular"/>
        </w:rPr>
        <w:t>The analysis proceeds in five steps: (1) importing and cleaning the data, (2) constructing daily returns and risk-adjusted abnormal returns, (3) creating event windows, (4) estimating CAR (cumulative abnormal return) for each event, and (5) running hypothesis tests and regressions.</w:t>
      </w:r>
    </w:p>
    <w:p>
      <w:pPr>
        <w:pStyle w:val="2"/>
        <w:rPr>
          <w:rFonts w:hint="default" w:ascii="Times New Roman Regular" w:hAnsi="Times New Roman Regular" w:cs="Times New Roman Regular"/>
        </w:rPr>
      </w:pPr>
      <w:bookmarkStart w:id="2" w:name="_Toc88580366"/>
      <w:r>
        <w:rPr>
          <w:rFonts w:hint="default" w:ascii="Times New Roman Regular" w:hAnsi="Times New Roman Regular" w:cs="Times New Roman Regular"/>
        </w:rPr>
        <w:t>Method and data</w:t>
      </w:r>
      <w:bookmarkEnd w:id="2"/>
    </w:p>
    <w:p>
      <w:pPr>
        <w:rPr>
          <w:rFonts w:hint="default" w:ascii="Times New Roman Regular" w:hAnsi="Times New Roman Regular" w:cs="Times New Roman Regular"/>
        </w:rPr>
      </w:pPr>
      <w:r>
        <w:rPr>
          <w:rFonts w:hint="default" w:ascii="Times New Roman Regular" w:hAnsi="Times New Roman Regular" w:cs="Times New Roman Regular"/>
        </w:rPr>
        <w:t>This project analyzes whether investor sentiment in financial news influences stock price reactions to major smartphone product launch events. The study focuses on two publicly listed U.S. technology companies that dominate the smartphone market: Apple Inc. (AAPL) and Alphabet Inc. (GOOGL). The sample period spans January 2007 to February 2025 for Apple and October 2016 to February 2025 for Google, corresponding to the availability of RavenPack sentiment data for each firm.</w:t>
      </w:r>
    </w:p>
    <w:p>
      <w:pPr>
        <w:pStyle w:val="4"/>
        <w:rPr>
          <w:rFonts w:hint="default" w:ascii="Times New Roman Regular" w:hAnsi="Times New Roman Regular" w:cs="Times New Roman Regular"/>
        </w:rPr>
      </w:pPr>
      <w:r>
        <w:rPr>
          <w:rFonts w:hint="default" w:ascii="Times New Roman Regular" w:hAnsi="Times New Roman Regular" w:cs="Times New Roman Regular"/>
        </w:rPr>
        <w:t>Event Data (RavenPack News Analytics)</w:t>
      </w:r>
    </w:p>
    <w:p>
      <w:pPr>
        <w:rPr>
          <w:rFonts w:hint="default" w:ascii="Times New Roman Regular" w:hAnsi="Times New Roman Regular" w:cs="Times New Roman Regular"/>
        </w:rPr>
      </w:pPr>
      <w:r>
        <w:rPr>
          <w:rFonts w:hint="default" w:ascii="Times New Roman Regular" w:hAnsi="Times New Roman Regular" w:cs="Times New Roman Regular"/>
        </w:rPr>
        <w:t>The event dataset contains 458 unique product launch–related news headlines, each tagged with a timestamp, sentiment score, and entity name. Sentiment scores range from –1 (very negative) to +1 (very positive). Each event is defined at the firm-day level, meaning that if multiple articles occur on the same launch date, they are treated as a single event with the average sentiment. Only events clearly tied to smartphone product releases were retained; unrelated headlines, rumors, and post-earnings coverage were filtered out. This ensures that the events measure reactions to new product launches rather than general market news.</w:t>
      </w:r>
    </w:p>
    <w:p>
      <w:pPr>
        <w:pStyle w:val="4"/>
        <w:rPr>
          <w:rFonts w:hint="default" w:ascii="Times New Roman Regular" w:hAnsi="Times New Roman Regular" w:cs="Times New Roman Regular"/>
        </w:rPr>
      </w:pPr>
      <w:r>
        <w:rPr>
          <w:rFonts w:hint="default" w:ascii="Times New Roman Regular" w:hAnsi="Times New Roman Regular" w:cs="Times New Roman Regular"/>
        </w:rPr>
        <w:t>Return Data (CRSP Daily Stock File)</w:t>
      </w:r>
    </w:p>
    <w:p>
      <w:pPr>
        <w:rPr>
          <w:rFonts w:hint="default" w:ascii="Times New Roman Regular" w:hAnsi="Times New Roman Regular" w:cs="Times New Roman Regular"/>
        </w:rPr>
      </w:pPr>
      <w:r>
        <w:rPr>
          <w:rFonts w:hint="default" w:ascii="Times New Roman Regular" w:hAnsi="Times New Roman Regular" w:cs="Times New Roman Regular"/>
        </w:rPr>
        <w:t>Daily returns, prices, and shares outstanding were obtained from the CRSP U.S. equity database. Both active and delisted securities were included to avoid survivorship bias, although neither Apple nor Google was delisted during the sample. In total, the return panel contains over 10,000 firm-day observations after merging Apple and Google data. Returns are expressed in decimal form (e.g., 0.015 = 1.5%).</w:t>
      </w:r>
    </w:p>
    <w:p>
      <w:pPr>
        <w:pStyle w:val="4"/>
        <w:rPr>
          <w:rFonts w:hint="default" w:ascii="Times New Roman Regular" w:hAnsi="Times New Roman Regular" w:cs="Times New Roman Regular"/>
        </w:rPr>
      </w:pPr>
      <w:r>
        <w:rPr>
          <w:rFonts w:hint="default" w:ascii="Times New Roman Regular" w:hAnsi="Times New Roman Regular" w:cs="Times New Roman Regular"/>
        </w:rPr>
        <w:t>Market Adjustment (Fama–French Daily Factors)</w:t>
      </w:r>
    </w:p>
    <w:p>
      <w:pPr>
        <w:rPr>
          <w:rFonts w:hint="default" w:ascii="Times New Roman Regular" w:hAnsi="Times New Roman Regular" w:cs="Times New Roman Regular"/>
        </w:rPr>
      </w:pPr>
      <w:r>
        <w:rPr>
          <w:rFonts w:hint="default" w:ascii="Times New Roman Regular" w:hAnsi="Times New Roman Regular" w:cs="Times New Roman Regular"/>
        </w:rPr>
        <w:t>To isolate performance unrelated to market movements, I merge the stock returns with the Fama–French three-factor daily file, which provides the market excess return (MKT–RF) and the risk-free rate (RF). Excess return (Ri – RF) and abnormal return (Ri – RF – (MKT–RF)) are calculated for each stock-day.</w:t>
      </w:r>
    </w:p>
    <w:p>
      <w:pPr>
        <w:pStyle w:val="4"/>
        <w:rPr>
          <w:rFonts w:hint="default" w:ascii="Times New Roman Regular" w:hAnsi="Times New Roman Regular" w:cs="Times New Roman Regular"/>
        </w:rPr>
      </w:pPr>
      <w:r>
        <w:rPr>
          <w:rFonts w:hint="default" w:ascii="Times New Roman Regular" w:hAnsi="Times New Roman Regular" w:cs="Times New Roman Regular"/>
        </w:rPr>
        <w:t>Firm Size Controls (Compustat Fundamentals)</w:t>
      </w:r>
    </w:p>
    <w:p>
      <w:pPr>
        <w:rPr>
          <w:rFonts w:hint="default" w:ascii="Times New Roman Regular" w:hAnsi="Times New Roman Regular" w:cs="Times New Roman Regular"/>
        </w:rPr>
      </w:pPr>
      <w:r>
        <w:rPr>
          <w:rFonts w:hint="default" w:ascii="Times New Roman Regular" w:hAnsi="Times New Roman Regular" w:cs="Times New Roman Regular"/>
        </w:rPr>
        <w:t>To control for cross-firm variation in size, I retrieve quarterly fundamental data from Compustat North America, including price per share and shares outstanding. Market equity is computed as price × shares outstanding, and its natural logarithm (log(ME)) is used as the control variable in regressions. If Compustat data were unavailable for a given event date, the closest available CRSP price × shares measure was used instead.</w:t>
      </w:r>
    </w:p>
    <w:p>
      <w:pPr>
        <w:pStyle w:val="4"/>
        <w:rPr>
          <w:rFonts w:hint="default" w:ascii="Times New Roman Regular" w:hAnsi="Times New Roman Regular" w:cs="Times New Roman Regular"/>
        </w:rPr>
      </w:pPr>
      <w:r>
        <w:rPr>
          <w:rFonts w:hint="default" w:ascii="Times New Roman Regular" w:hAnsi="Times New Roman Regular" w:cs="Times New Roman Regular"/>
        </w:rPr>
        <w:t>Event Study Framework</w:t>
      </w:r>
    </w:p>
    <w:p>
      <w:pPr>
        <w:rPr>
          <w:rFonts w:hint="default" w:ascii="Times New Roman Regular" w:hAnsi="Times New Roman Regular" w:cs="Times New Roman Regular"/>
        </w:rPr>
      </w:pPr>
      <w:r>
        <w:rPr>
          <w:rFonts w:hint="default" w:ascii="Times New Roman Regular" w:hAnsi="Times New Roman Regular" w:cs="Times New Roman Regular"/>
        </w:rPr>
        <w:t>For each product launch, I construct three symmetric event windows of ±3, ±5, and ±10 trading days around the event date. Abnormal return (AR) is computed daily, and cumulative abnormal return (CAR) is summed across each window. This yields three CAR variables per event, one for each window length. The final event-level dataset contains 458 observations, one per launch day.</w:t>
      </w:r>
    </w:p>
    <w:p>
      <w:pPr>
        <w:pStyle w:val="4"/>
        <w:rPr>
          <w:rFonts w:hint="default" w:ascii="Times New Roman Regular" w:hAnsi="Times New Roman Regular" w:cs="Times New Roman Regular"/>
        </w:rPr>
      </w:pPr>
      <w:r>
        <w:rPr>
          <w:rFonts w:hint="default" w:ascii="Times New Roman Regular" w:hAnsi="Times New Roman Regular" w:cs="Times New Roman Regular"/>
        </w:rPr>
        <w:t>Empirical Tests</w:t>
      </w:r>
    </w:p>
    <w:p>
      <w:pPr>
        <w:rPr>
          <w:rFonts w:hint="default" w:ascii="Times New Roman Regular" w:hAnsi="Times New Roman Regular" w:cs="Times New Roman Regular"/>
        </w:rPr>
      </w:pPr>
      <w:r>
        <w:rPr>
          <w:rFonts w:hint="default" w:ascii="Times New Roman Regular" w:hAnsi="Times New Roman Regular" w:cs="Times New Roman Regular"/>
        </w:rPr>
        <w:t>The analysis proceeds in two steps:</w:t>
      </w:r>
    </w:p>
    <w:p>
      <w:pPr>
        <w:pStyle w:val="42"/>
        <w:numPr>
          <w:ilvl w:val="0"/>
          <w:numId w:val="3"/>
        </w:numPr>
        <w:rPr>
          <w:rFonts w:hint="default" w:ascii="Times New Roman Regular" w:hAnsi="Times New Roman Regular" w:cs="Times New Roman Regular"/>
        </w:rPr>
      </w:pPr>
      <w:r>
        <w:rPr>
          <w:rFonts w:hint="default" w:ascii="Times New Roman Regular" w:hAnsi="Times New Roman Regular" w:cs="Times New Roman Regular"/>
        </w:rPr>
        <w:t>One-sample t-tests evaluate whether average CAR is statistically different from zero (i.e., whether product launches generate excess returns on average).</w:t>
      </w:r>
    </w:p>
    <w:p>
      <w:pPr>
        <w:pStyle w:val="42"/>
        <w:numPr>
          <w:ilvl w:val="0"/>
          <w:numId w:val="3"/>
        </w:numPr>
        <w:rPr>
          <w:rFonts w:hint="default" w:ascii="Times New Roman Regular" w:hAnsi="Times New Roman Regular" w:cs="Times New Roman Regular"/>
        </w:rPr>
      </w:pPr>
      <w:r>
        <w:rPr>
          <w:rFonts w:hint="default" w:ascii="Times New Roman Regular" w:hAnsi="Times New Roman Regular" w:cs="Times New Roman Regular"/>
        </w:rPr>
        <w:t>Cross-sectional regressions test whether event-level CAR can be explained by sentiment and firm size:</w:t>
      </w:r>
    </w:p>
    <w:p>
      <w:pPr>
        <w:rPr>
          <w:rFonts w:hint="default" w:ascii="Times New Roman Regular" w:hAnsi="Times New Roman Regular" w:cs="Times New Roman Regular"/>
          <w:lang w:val="en-US"/>
        </w:rPr>
      </w:pPr>
      <w:r>
        <w:rPr>
          <w:rFonts w:hint="default" w:ascii="Times New Roman Regular" w:hAnsi="Times New Roman Regular" w:cs="Times New Roman Regular"/>
          <w:lang w:val="en-US"/>
        </w:rPr>
        <w:drawing>
          <wp:inline distT="0" distB="0" distL="114300" distR="114300">
            <wp:extent cx="5530850" cy="215900"/>
            <wp:effectExtent l="0" t="0" r="6350" b="12700"/>
            <wp:docPr id="2" name="334E55B0-647D-440b-865C-3EC943EB4CBC-1"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34E55B0-647D-440b-865C-3EC943EB4CBC-1" descr="wpsoffice"/>
                    <pic:cNvPicPr>
                      <a:picLocks noChangeAspect="1"/>
                    </pic:cNvPicPr>
                  </pic:nvPicPr>
                  <pic:blipFill>
                    <a:blip r:embed="rId10"/>
                    <a:stretch>
                      <a:fillRect/>
                    </a:stretch>
                  </pic:blipFill>
                  <pic:spPr>
                    <a:xfrm>
                      <a:off x="0" y="0"/>
                      <a:ext cx="5530850" cy="215900"/>
                    </a:xfrm>
                    <a:prstGeom prst="rect">
                      <a:avLst/>
                    </a:prstGeom>
                  </pic:spPr>
                </pic:pic>
              </a:graphicData>
            </a:graphic>
          </wp:inline>
        </w:drawing>
      </w:r>
    </w:p>
    <w:p>
      <w:pPr>
        <w:rPr>
          <w:rFonts w:hint="default" w:ascii="Times New Roman Regular" w:hAnsi="Times New Roman Regular" w:cs="Times New Roman Regular"/>
        </w:rPr>
      </w:pPr>
      <w:r>
        <w:rPr>
          <w:rFonts w:hint="default" w:ascii="Times New Roman Regular" w:hAnsi="Times New Roman Regular" w:cs="Times New Roman Regular"/>
        </w:rPr>
        <w:t>This design allows us to test whether sentiment helps predict the magnitude of stock reaction, beyond firm size effects.</w:t>
      </w:r>
    </w:p>
    <w:p>
      <w:pPr>
        <w:pStyle w:val="2"/>
        <w:rPr>
          <w:rFonts w:hint="default" w:ascii="Times New Roman Regular" w:hAnsi="Times New Roman Regular" w:cs="Times New Roman Regular"/>
        </w:rPr>
      </w:pPr>
      <w:bookmarkStart w:id="3" w:name="_Toc88580367"/>
      <w:r>
        <w:rPr>
          <w:rFonts w:hint="default" w:ascii="Times New Roman Regular" w:hAnsi="Times New Roman Regular" w:cs="Times New Roman Regular"/>
        </w:rPr>
        <w:t>Results</w:t>
      </w:r>
      <w:bookmarkEnd w:id="3"/>
    </w:p>
    <w:p>
      <w:pPr>
        <w:rPr>
          <w:rFonts w:hint="default" w:ascii="Times New Roman Regular" w:hAnsi="Times New Roman Regular" w:cs="Times New Roman Regular"/>
        </w:rPr>
      </w:pPr>
      <w:r>
        <w:rPr>
          <w:rFonts w:hint="default" w:ascii="Times New Roman Regular" w:hAnsi="Times New Roman Regular" w:cs="Times New Roman Regular"/>
        </w:rPr>
        <w:t xml:space="preserve">The goal of this project is to examine whether market reactions to product launch news are related to the sentiment of the news coverage, and whether firm size moderates that relationship. I conduct an event study using 458 product-launch news events from Apple (AAPL) and Alphabet (GOOGL) between 2013–2024, and compute cumulative abnormal returns (CAR) over three event windows: </w:t>
      </w:r>
    </w:p>
    <w:p>
      <w:pPr>
        <w:pStyle w:val="42"/>
        <w:numPr>
          <w:ilvl w:val="1"/>
          <w:numId w:val="3"/>
        </w:numPr>
        <w:rPr>
          <w:rFonts w:hint="default" w:ascii="Times New Roman Regular" w:hAnsi="Times New Roman Regular" w:cs="Times New Roman Regular"/>
        </w:rPr>
      </w:pPr>
      <w:r>
        <w:rPr>
          <w:rFonts w:hint="default" w:ascii="Times New Roman Regular" w:hAnsi="Times New Roman Regular" w:cs="Times New Roman Regular"/>
        </w:rPr>
        <w:t>[-3, +3] trading days</w:t>
      </w:r>
      <w:r>
        <w:rPr>
          <w:rFonts w:hint="default" w:ascii="Times New Roman Regular" w:hAnsi="Times New Roman Regular" w:cs="Times New Roman Regular"/>
          <w:lang w:val="en-US"/>
        </w:rPr>
        <w:t>,</w:t>
      </w:r>
    </w:p>
    <w:p>
      <w:pPr>
        <w:pStyle w:val="42"/>
        <w:numPr>
          <w:ilvl w:val="1"/>
          <w:numId w:val="3"/>
        </w:numPr>
        <w:rPr>
          <w:rFonts w:hint="default" w:ascii="Times New Roman Regular" w:hAnsi="Times New Roman Regular" w:cs="Times New Roman Regular"/>
        </w:rPr>
      </w:pPr>
      <w:r>
        <w:rPr>
          <w:rFonts w:hint="default" w:ascii="Times New Roman Regular" w:hAnsi="Times New Roman Regular" w:cs="Times New Roman Regular"/>
        </w:rPr>
        <w:t>[-5, +5] trading days, and</w:t>
      </w:r>
    </w:p>
    <w:p>
      <w:pPr>
        <w:pStyle w:val="42"/>
        <w:numPr>
          <w:ilvl w:val="1"/>
          <w:numId w:val="3"/>
        </w:numPr>
        <w:rPr>
          <w:rFonts w:hint="default" w:ascii="Times New Roman Regular" w:hAnsi="Times New Roman Regular" w:cs="Times New Roman Regular"/>
        </w:rPr>
      </w:pPr>
      <w:r>
        <w:rPr>
          <w:rFonts w:hint="default" w:ascii="Times New Roman Regular" w:hAnsi="Times New Roman Regular" w:cs="Times New Roman Regular"/>
          <w:lang w:val="en-US"/>
        </w:rPr>
        <w:t>[-10, +10] trading days.</w:t>
      </w:r>
    </w:p>
    <w:p>
      <w:pPr>
        <w:pStyle w:val="42"/>
        <w:numPr>
          <w:numId w:val="0"/>
        </w:numPr>
        <w:spacing w:after="80" w:line="240" w:lineRule="auto"/>
        <w:contextualSpacing/>
        <w:jc w:val="both"/>
        <w:rPr>
          <w:rFonts w:hint="default" w:ascii="Times New Roman Regular" w:hAnsi="Times New Roman Regular" w:cs="Times New Roman Regular"/>
        </w:rPr>
      </w:pPr>
    </w:p>
    <w:p>
      <w:pPr>
        <w:pStyle w:val="42"/>
        <w:numPr>
          <w:numId w:val="0"/>
        </w:numPr>
        <w:spacing w:after="80" w:line="240" w:lineRule="auto"/>
        <w:contextualSpacing/>
        <w:jc w:val="both"/>
        <w:rPr>
          <w:rFonts w:hint="default" w:ascii="Times New Roman Regular" w:hAnsi="Times New Roman Regular" w:cs="Times New Roman Regular"/>
        </w:rPr>
      </w:pPr>
    </w:p>
    <w:p>
      <w:pPr>
        <w:pStyle w:val="42"/>
        <w:numPr>
          <w:numId w:val="0"/>
        </w:numPr>
        <w:spacing w:after="80" w:line="240" w:lineRule="auto"/>
        <w:contextualSpacing/>
        <w:jc w:val="left"/>
        <w:rPr>
          <w:rFonts w:hint="default" w:ascii="Times New Roman Regular" w:hAnsi="Times New Roman Regular" w:cs="Times New Roman Regular"/>
        </w:rPr>
      </w:pPr>
    </w:p>
    <w:p>
      <w:pPr>
        <w:pStyle w:val="42"/>
        <w:numPr>
          <w:numId w:val="0"/>
        </w:numPr>
        <w:spacing w:after="80" w:line="240" w:lineRule="auto"/>
        <w:contextualSpacing/>
        <w:jc w:val="left"/>
        <w:rPr>
          <w:rFonts w:hint="default" w:ascii="Times New Roman Regular" w:hAnsi="Times New Roman Regular" w:cs="Times New Roman Regular"/>
        </w:rPr>
      </w:pPr>
    </w:p>
    <w:p>
      <w:pPr>
        <w:pStyle w:val="42"/>
        <w:numPr>
          <w:numId w:val="0"/>
        </w:numPr>
        <w:spacing w:after="80" w:line="240" w:lineRule="auto"/>
        <w:contextualSpacing/>
        <w:jc w:val="left"/>
        <w:rPr>
          <w:rFonts w:hint="default" w:ascii="Times New Roman Regular" w:hAnsi="Times New Roman Regular" w:cs="Times New Roman Regular"/>
        </w:rPr>
      </w:pPr>
    </w:p>
    <w:p>
      <w:pPr>
        <w:pStyle w:val="42"/>
        <w:numPr>
          <w:numId w:val="0"/>
        </w:numPr>
        <w:spacing w:after="80" w:line="240" w:lineRule="auto"/>
        <w:contextualSpacing/>
        <w:jc w:val="left"/>
        <w:rPr>
          <w:rFonts w:hint="default" w:ascii="Times New Roman Regular" w:hAnsi="Times New Roman Regular" w:cs="Times New Roman Regular"/>
        </w:rPr>
      </w:pPr>
    </w:p>
    <w:p>
      <w:pPr>
        <w:pStyle w:val="42"/>
        <w:numPr>
          <w:numId w:val="0"/>
        </w:numPr>
        <w:spacing w:after="80" w:line="240" w:lineRule="auto"/>
        <w:contextualSpacing/>
        <w:jc w:val="left"/>
        <w:rPr>
          <w:rFonts w:hint="default" w:ascii="Times New Roman Regular" w:hAnsi="Times New Roman Regular" w:cs="Times New Roman Regular"/>
        </w:rPr>
      </w:pPr>
    </w:p>
    <w:p>
      <w:pPr>
        <w:pStyle w:val="42"/>
        <w:numPr>
          <w:numId w:val="0"/>
        </w:numPr>
        <w:spacing w:after="80" w:line="240" w:lineRule="auto"/>
        <w:contextualSpacing/>
        <w:jc w:val="left"/>
        <w:rPr>
          <w:rFonts w:hint="default" w:ascii="Times New Roman Regular" w:hAnsi="Times New Roman Regular" w:cs="Times New Roman Regular"/>
        </w:rPr>
      </w:pPr>
    </w:p>
    <w:p>
      <w:pPr>
        <w:pStyle w:val="42"/>
        <w:numPr>
          <w:numId w:val="0"/>
        </w:numPr>
        <w:spacing w:after="80" w:line="240" w:lineRule="auto"/>
        <w:contextualSpacing/>
        <w:jc w:val="left"/>
        <w:rPr>
          <w:rFonts w:hint="default" w:ascii="Times New Roman Regular" w:hAnsi="Times New Roman Regular" w:cs="Times New Roman Regular"/>
        </w:rPr>
      </w:pPr>
    </w:p>
    <w:p>
      <w:pPr>
        <w:pStyle w:val="42"/>
        <w:numPr>
          <w:numId w:val="0"/>
        </w:numPr>
        <w:spacing w:after="80" w:line="240" w:lineRule="auto"/>
        <w:contextualSpacing/>
        <w:jc w:val="left"/>
        <w:rPr>
          <w:rFonts w:hint="default" w:ascii="Times New Roman Regular" w:hAnsi="Times New Roman Regular" w:cs="Times New Roman Regular"/>
        </w:rPr>
      </w:pPr>
    </w:p>
    <w:p>
      <w:pPr>
        <w:pStyle w:val="42"/>
        <w:numPr>
          <w:numId w:val="0"/>
        </w:numPr>
        <w:spacing w:after="80" w:line="240" w:lineRule="auto"/>
        <w:ind w:left="1440" w:leftChars="0" w:firstLine="720" w:firstLineChars="0"/>
        <w:contextualSpacing/>
        <w:jc w:val="left"/>
        <w:rPr>
          <w:rFonts w:hint="default" w:ascii="Times New Roman Regular" w:hAnsi="Times New Roman Regular" w:cs="Times New Roman Regular"/>
          <w:b/>
          <w:bCs/>
          <w:lang w:val="en-US"/>
        </w:rPr>
      </w:pPr>
    </w:p>
    <w:p>
      <w:pPr>
        <w:pStyle w:val="42"/>
        <w:numPr>
          <w:numId w:val="0"/>
        </w:numPr>
        <w:spacing w:after="80" w:line="240" w:lineRule="auto"/>
        <w:ind w:left="1440" w:leftChars="0" w:firstLine="720" w:firstLineChars="0"/>
        <w:contextualSpacing/>
        <w:jc w:val="left"/>
        <w:rPr>
          <w:rFonts w:hint="default" w:ascii="Times New Roman Regular" w:hAnsi="Times New Roman Regular" w:cs="Times New Roman Regular"/>
          <w:b/>
          <w:bCs/>
          <w:lang w:val="en-US"/>
        </w:rPr>
      </w:pPr>
    </w:p>
    <w:p>
      <w:pPr>
        <w:pStyle w:val="42"/>
        <w:numPr>
          <w:numId w:val="0"/>
        </w:numPr>
        <w:spacing w:after="80" w:line="240" w:lineRule="auto"/>
        <w:ind w:left="1440" w:leftChars="0" w:firstLine="720" w:firstLineChars="0"/>
        <w:contextualSpacing/>
        <w:jc w:val="left"/>
        <w:rPr>
          <w:rFonts w:hint="default" w:ascii="Times New Roman Regular" w:hAnsi="Times New Roman Regular" w:cs="Times New Roman Regular"/>
          <w:b/>
          <w:bCs/>
          <w:lang w:val="en-US"/>
        </w:rPr>
      </w:pPr>
    </w:p>
    <w:p>
      <w:pPr>
        <w:pStyle w:val="42"/>
        <w:numPr>
          <w:numId w:val="0"/>
        </w:numPr>
        <w:spacing w:after="80" w:line="240" w:lineRule="auto"/>
        <w:ind w:left="1440" w:leftChars="0" w:firstLine="720" w:firstLineChars="0"/>
        <w:contextualSpacing/>
        <w:jc w:val="left"/>
        <w:rPr>
          <w:rFonts w:hint="default" w:ascii="Times New Roman Regular" w:hAnsi="Times New Roman Regular" w:cs="Times New Roman Regular"/>
          <w:b/>
          <w:bCs/>
          <w:lang w:val="en-US"/>
        </w:rPr>
      </w:pPr>
    </w:p>
    <w:p>
      <w:pPr>
        <w:pStyle w:val="42"/>
        <w:numPr>
          <w:numId w:val="0"/>
        </w:numPr>
        <w:spacing w:after="80" w:line="240" w:lineRule="auto"/>
        <w:ind w:left="1440" w:leftChars="0" w:firstLine="720" w:firstLineChars="0"/>
        <w:contextualSpacing/>
        <w:jc w:val="left"/>
        <w:rPr>
          <w:rFonts w:hint="default" w:ascii="Times New Roman Regular" w:hAnsi="Times New Roman Regular" w:cs="Times New Roman Regular"/>
          <w:b/>
          <w:bCs/>
          <w:lang w:val="en-US"/>
        </w:rPr>
      </w:pPr>
    </w:p>
    <w:p>
      <w:pPr>
        <w:pStyle w:val="42"/>
        <w:numPr>
          <w:numId w:val="0"/>
        </w:numPr>
        <w:spacing w:after="80" w:line="240" w:lineRule="auto"/>
        <w:ind w:left="1440" w:leftChars="0" w:firstLine="720" w:firstLineChars="0"/>
        <w:contextualSpacing/>
        <w:jc w:val="left"/>
        <w:rPr>
          <w:rFonts w:hint="default" w:ascii="Times New Roman Regular" w:hAnsi="Times New Roman Regular" w:cs="Times New Roman Regular"/>
          <w:b/>
          <w:bCs/>
          <w:lang w:val="en-US"/>
        </w:rPr>
      </w:pPr>
    </w:p>
    <w:p>
      <w:pPr>
        <w:pStyle w:val="42"/>
        <w:numPr>
          <w:numId w:val="0"/>
        </w:numPr>
        <w:spacing w:after="80" w:line="240" w:lineRule="auto"/>
        <w:ind w:left="1440" w:leftChars="0" w:firstLine="720" w:firstLineChars="0"/>
        <w:contextualSpacing/>
        <w:jc w:val="left"/>
        <w:rPr>
          <w:rFonts w:hint="default" w:ascii="Times New Roman Regular" w:hAnsi="Times New Roman Regular" w:cs="Times New Roman Regular"/>
          <w:b/>
          <w:bCs/>
          <w:lang w:val="en-US"/>
        </w:rPr>
      </w:pPr>
    </w:p>
    <w:p>
      <w:pPr>
        <w:pStyle w:val="42"/>
        <w:numPr>
          <w:numId w:val="0"/>
        </w:numPr>
        <w:spacing w:after="80" w:line="240" w:lineRule="auto"/>
        <w:ind w:left="1440" w:leftChars="0" w:firstLine="720" w:firstLineChars="0"/>
        <w:contextualSpacing/>
        <w:jc w:val="left"/>
        <w:rPr>
          <w:rFonts w:hint="default" w:ascii="Times New Roman Regular" w:hAnsi="Times New Roman Regular" w:cs="Times New Roman Regular"/>
          <w:b/>
          <w:bCs/>
          <w:lang w:val="en-US"/>
        </w:rPr>
      </w:pPr>
    </w:p>
    <w:p>
      <w:pPr>
        <w:pStyle w:val="42"/>
        <w:numPr>
          <w:numId w:val="0"/>
        </w:numPr>
        <w:spacing w:after="80" w:line="240" w:lineRule="auto"/>
        <w:ind w:left="1440" w:leftChars="0" w:firstLine="720" w:firstLineChars="0"/>
        <w:contextualSpacing/>
        <w:jc w:val="left"/>
        <w:rPr>
          <w:rFonts w:hint="default" w:ascii="Times New Roman Regular" w:hAnsi="Times New Roman Regular" w:cs="Times New Roman Regular"/>
          <w:b/>
          <w:bCs/>
          <w:lang w:val="en-US"/>
        </w:rPr>
      </w:pPr>
    </w:p>
    <w:p>
      <w:pPr>
        <w:pStyle w:val="42"/>
        <w:numPr>
          <w:numId w:val="0"/>
        </w:numPr>
        <w:spacing w:after="80" w:line="240" w:lineRule="auto"/>
        <w:contextualSpacing/>
        <w:jc w:val="left"/>
        <w:rPr>
          <w:rFonts w:hint="default" w:ascii="Times New Roman Regular" w:hAnsi="Times New Roman Regular" w:cs="Times New Roman Regular"/>
          <w:b/>
          <w:bCs/>
          <w:lang w:val="en-US"/>
        </w:rPr>
      </w:pPr>
    </w:p>
    <w:p>
      <w:pPr>
        <w:pStyle w:val="42"/>
        <w:numPr>
          <w:numId w:val="0"/>
        </w:numPr>
        <w:spacing w:after="80" w:line="240" w:lineRule="auto"/>
        <w:ind w:left="1440" w:leftChars="0" w:firstLine="720" w:firstLineChars="0"/>
        <w:contextualSpacing/>
        <w:jc w:val="left"/>
        <w:rPr>
          <w:rFonts w:hint="default" w:ascii="Times New Roman Regular" w:hAnsi="Times New Roman Regular" w:cs="Times New Roman Regular"/>
          <w:b/>
          <w:bCs/>
          <w:lang w:val="en-US"/>
        </w:rPr>
      </w:pPr>
    </w:p>
    <w:p>
      <w:pPr>
        <w:pStyle w:val="42"/>
        <w:numPr>
          <w:numId w:val="0"/>
        </w:numPr>
        <w:spacing w:after="80" w:line="240" w:lineRule="auto"/>
        <w:ind w:left="1440" w:leftChars="0" w:firstLine="720" w:firstLineChars="0"/>
        <w:contextualSpacing/>
        <w:jc w:val="left"/>
        <w:rPr>
          <w:rFonts w:hint="default" w:ascii="Times New Roman Regular" w:hAnsi="Times New Roman Regular" w:cs="Times New Roman Regular"/>
          <w:b/>
          <w:bCs/>
          <w:lang w:val="en-US"/>
        </w:rPr>
      </w:pPr>
      <w:r>
        <w:rPr>
          <w:rFonts w:hint="default" w:ascii="Times New Roman Regular" w:hAnsi="Times New Roman Regular" w:cs="Times New Roman Regular"/>
          <w:b/>
          <w:bCs/>
          <w:lang w:val="en-US"/>
        </w:rPr>
        <w:t>Figure 1: Regression Diagnostics for CAR(-3,+3) Model</w:t>
      </w:r>
    </w:p>
    <w:p>
      <w:pPr>
        <w:pStyle w:val="42"/>
        <w:numPr>
          <w:numId w:val="0"/>
        </w:numPr>
        <w:spacing w:after="80" w:line="240" w:lineRule="auto"/>
        <w:contextualSpacing/>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2980055" cy="3152775"/>
            <wp:effectExtent l="0" t="0" r="17145" b="2222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1"/>
                    <a:stretch>
                      <a:fillRect/>
                    </a:stretch>
                  </pic:blipFill>
                  <pic:spPr>
                    <a:xfrm>
                      <a:off x="0" y="0"/>
                      <a:ext cx="2980055" cy="3152775"/>
                    </a:xfrm>
                    <a:prstGeom prst="rect">
                      <a:avLst/>
                    </a:prstGeom>
                    <a:noFill/>
                    <a:ln>
                      <a:noFill/>
                    </a:ln>
                  </pic:spPr>
                </pic:pic>
              </a:graphicData>
            </a:graphic>
          </wp:inline>
        </w:drawing>
      </w:r>
    </w:p>
    <w:p>
      <w:pPr>
        <w:pStyle w:val="42"/>
        <w:numPr>
          <w:numId w:val="0"/>
        </w:numPr>
        <w:spacing w:after="80" w:line="240" w:lineRule="auto"/>
        <w:ind w:left="1440" w:leftChars="0" w:firstLine="720" w:firstLineChars="0"/>
        <w:contextualSpacing/>
        <w:jc w:val="both"/>
        <w:rPr>
          <w:rFonts w:hint="default" w:ascii="Times New Roman Regular" w:hAnsi="Times New Roman Regular" w:cs="Times New Roman Regular"/>
          <w:b/>
          <w:bCs/>
        </w:rPr>
      </w:pPr>
      <w:r>
        <w:rPr>
          <w:rFonts w:hint="default" w:ascii="Times New Roman Regular" w:hAnsi="Times New Roman Regular" w:cs="Times New Roman Regular"/>
          <w:b/>
          <w:bCs/>
          <w:lang w:val="en-US"/>
        </w:rPr>
        <w:t xml:space="preserve">Figure 2: </w:t>
      </w:r>
      <w:r>
        <w:rPr>
          <w:rFonts w:hint="default" w:ascii="Times New Roman Regular" w:hAnsi="Times New Roman Regular" w:cs="Times New Roman Regular"/>
          <w:b/>
          <w:bCs/>
        </w:rPr>
        <w:t>Regression Diagnostics for CAR(-5,+5) Model</w:t>
      </w:r>
    </w:p>
    <w:p>
      <w:pPr>
        <w:pStyle w:val="42"/>
        <w:numPr>
          <w:numId w:val="0"/>
        </w:numPr>
        <w:spacing w:after="80" w:line="240" w:lineRule="auto"/>
        <w:contextualSpacing/>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2922270" cy="3124835"/>
            <wp:effectExtent l="0" t="0" r="24130" b="2476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2"/>
                    <a:stretch>
                      <a:fillRect/>
                    </a:stretch>
                  </pic:blipFill>
                  <pic:spPr>
                    <a:xfrm>
                      <a:off x="0" y="0"/>
                      <a:ext cx="2922270" cy="3124835"/>
                    </a:xfrm>
                    <a:prstGeom prst="rect">
                      <a:avLst/>
                    </a:prstGeom>
                    <a:noFill/>
                    <a:ln>
                      <a:noFill/>
                    </a:ln>
                  </pic:spPr>
                </pic:pic>
              </a:graphicData>
            </a:graphic>
          </wp:inline>
        </w:drawing>
      </w:r>
    </w:p>
    <w:p>
      <w:pPr>
        <w:pStyle w:val="42"/>
        <w:numPr>
          <w:numId w:val="0"/>
        </w:numPr>
        <w:spacing w:after="80" w:line="240" w:lineRule="auto"/>
        <w:contextualSpacing/>
        <w:jc w:val="center"/>
        <w:rPr>
          <w:rFonts w:hint="default" w:ascii="Times New Roman Regular" w:hAnsi="Times New Roman Regular" w:cs="Times New Roman Regular"/>
          <w:lang w:val="en-US"/>
        </w:rPr>
      </w:pPr>
    </w:p>
    <w:p>
      <w:pPr>
        <w:pStyle w:val="42"/>
        <w:numPr>
          <w:numId w:val="0"/>
        </w:numPr>
        <w:spacing w:after="80" w:line="240" w:lineRule="auto"/>
        <w:contextualSpacing/>
        <w:jc w:val="center"/>
        <w:rPr>
          <w:rFonts w:hint="default" w:ascii="Times New Roman Regular" w:hAnsi="Times New Roman Regular" w:cs="Times New Roman Regular"/>
          <w:lang w:val="en-US"/>
        </w:rPr>
      </w:pPr>
    </w:p>
    <w:p>
      <w:pPr>
        <w:pStyle w:val="42"/>
        <w:numPr>
          <w:numId w:val="0"/>
        </w:numPr>
        <w:spacing w:after="80" w:line="240" w:lineRule="auto"/>
        <w:contextualSpacing/>
        <w:jc w:val="center"/>
        <w:rPr>
          <w:rFonts w:hint="default" w:ascii="Times New Roman Regular" w:hAnsi="Times New Roman Regular" w:cs="Times New Roman Regular"/>
          <w:lang w:val="en-US"/>
        </w:rPr>
      </w:pPr>
    </w:p>
    <w:p>
      <w:pPr>
        <w:pStyle w:val="42"/>
        <w:numPr>
          <w:numId w:val="0"/>
        </w:numPr>
        <w:spacing w:after="80" w:line="240" w:lineRule="auto"/>
        <w:contextualSpacing/>
        <w:jc w:val="center"/>
        <w:rPr>
          <w:rFonts w:hint="default" w:ascii="Times New Roman Regular" w:hAnsi="Times New Roman Regular" w:cs="Times New Roman Regular"/>
          <w:lang w:val="en-US"/>
        </w:rPr>
      </w:pPr>
    </w:p>
    <w:p>
      <w:pPr>
        <w:pStyle w:val="42"/>
        <w:numPr>
          <w:numId w:val="0"/>
        </w:numPr>
        <w:spacing w:after="80" w:line="240" w:lineRule="auto"/>
        <w:contextualSpacing/>
        <w:jc w:val="center"/>
        <w:rPr>
          <w:rFonts w:hint="default" w:ascii="Times New Roman Regular" w:hAnsi="Times New Roman Regular" w:cs="Times New Roman Regular"/>
          <w:lang w:val="en-US"/>
        </w:rPr>
      </w:pPr>
    </w:p>
    <w:p>
      <w:pPr>
        <w:pStyle w:val="42"/>
        <w:numPr>
          <w:numId w:val="0"/>
        </w:numPr>
        <w:spacing w:after="80" w:line="240" w:lineRule="auto"/>
        <w:contextualSpacing/>
        <w:jc w:val="center"/>
        <w:rPr>
          <w:rFonts w:hint="default" w:ascii="Times New Roman Regular" w:hAnsi="Times New Roman Regular" w:cs="Times New Roman Regular"/>
          <w:lang w:val="en-US"/>
        </w:rPr>
      </w:pPr>
    </w:p>
    <w:p>
      <w:pPr>
        <w:pStyle w:val="42"/>
        <w:numPr>
          <w:numId w:val="0"/>
        </w:numPr>
        <w:spacing w:after="80" w:line="240" w:lineRule="auto"/>
        <w:contextualSpacing/>
        <w:jc w:val="center"/>
        <w:rPr>
          <w:rFonts w:hint="default" w:ascii="Times New Roman Regular" w:hAnsi="Times New Roman Regular" w:cs="Times New Roman Regular"/>
          <w:b/>
          <w:bCs/>
          <w:lang w:val="en-US"/>
        </w:rPr>
      </w:pPr>
    </w:p>
    <w:p>
      <w:pPr>
        <w:pStyle w:val="42"/>
        <w:numPr>
          <w:numId w:val="0"/>
        </w:numPr>
        <w:spacing w:after="80" w:line="240" w:lineRule="auto"/>
        <w:contextualSpacing/>
        <w:jc w:val="center"/>
        <w:rPr>
          <w:rFonts w:hint="default" w:ascii="Times New Roman Regular" w:hAnsi="Times New Roman Regular" w:cs="Times New Roman Regular"/>
          <w:b/>
          <w:bCs/>
          <w:lang w:val="en-US"/>
        </w:rPr>
      </w:pPr>
    </w:p>
    <w:p>
      <w:pPr>
        <w:pStyle w:val="42"/>
        <w:numPr>
          <w:numId w:val="0"/>
        </w:numPr>
        <w:spacing w:after="80" w:line="240" w:lineRule="auto"/>
        <w:contextualSpacing/>
        <w:jc w:val="center"/>
        <w:rPr>
          <w:rFonts w:hint="default" w:ascii="Times New Roman Regular" w:hAnsi="Times New Roman Regular" w:cs="Times New Roman Regular"/>
          <w:b/>
          <w:bCs/>
          <w:lang w:val="en-US"/>
        </w:rPr>
      </w:pPr>
    </w:p>
    <w:p>
      <w:pPr>
        <w:pStyle w:val="42"/>
        <w:numPr>
          <w:numId w:val="0"/>
        </w:numPr>
        <w:spacing w:after="80" w:line="240" w:lineRule="auto"/>
        <w:contextualSpacing/>
        <w:jc w:val="center"/>
        <w:rPr>
          <w:rFonts w:hint="default" w:ascii="Times New Roman Regular" w:hAnsi="Times New Roman Regular" w:cs="Times New Roman Regular"/>
          <w:b/>
          <w:bCs/>
          <w:lang w:val="en-US"/>
        </w:rPr>
      </w:pPr>
    </w:p>
    <w:p>
      <w:pPr>
        <w:pStyle w:val="42"/>
        <w:numPr>
          <w:numId w:val="0"/>
        </w:numPr>
        <w:spacing w:after="80" w:line="240" w:lineRule="auto"/>
        <w:contextualSpacing/>
        <w:jc w:val="center"/>
        <w:rPr>
          <w:rFonts w:hint="default" w:ascii="Times New Roman Regular" w:hAnsi="Times New Roman Regular" w:cs="Times New Roman Regular"/>
          <w:b/>
          <w:bCs/>
          <w:lang w:val="en-US"/>
        </w:rPr>
      </w:pPr>
    </w:p>
    <w:p>
      <w:pPr>
        <w:pStyle w:val="42"/>
        <w:numPr>
          <w:numId w:val="0"/>
        </w:numPr>
        <w:spacing w:after="80" w:line="240" w:lineRule="auto"/>
        <w:contextualSpacing/>
        <w:jc w:val="center"/>
        <w:rPr>
          <w:rFonts w:hint="default" w:ascii="Times New Roman Regular" w:hAnsi="Times New Roman Regular" w:cs="Times New Roman Regular"/>
          <w:b/>
          <w:bCs/>
          <w:lang w:val="en-US"/>
        </w:rPr>
      </w:pPr>
    </w:p>
    <w:p>
      <w:pPr>
        <w:pStyle w:val="42"/>
        <w:numPr>
          <w:numId w:val="0"/>
        </w:numPr>
        <w:spacing w:after="80" w:line="240" w:lineRule="auto"/>
        <w:contextualSpacing/>
        <w:jc w:val="center"/>
        <w:rPr>
          <w:rFonts w:hint="default" w:ascii="Times New Roman Regular" w:hAnsi="Times New Roman Regular" w:cs="Times New Roman Regular"/>
          <w:b/>
          <w:bCs/>
        </w:rPr>
      </w:pPr>
      <w:r>
        <w:rPr>
          <w:rFonts w:hint="default" w:ascii="Times New Roman Regular" w:hAnsi="Times New Roman Regular" w:cs="Times New Roman Regular"/>
          <w:b/>
          <w:bCs/>
          <w:lang w:val="en-US"/>
        </w:rPr>
        <w:t xml:space="preserve">Figure 3: </w:t>
      </w:r>
      <w:r>
        <w:rPr>
          <w:rFonts w:hint="default" w:ascii="Times New Roman Regular" w:hAnsi="Times New Roman Regular" w:cs="Times New Roman Regular"/>
          <w:b/>
          <w:bCs/>
        </w:rPr>
        <w:t>Regression Diagnostics for CAR(-</w:t>
      </w:r>
      <w:r>
        <w:rPr>
          <w:rFonts w:hint="default" w:ascii="Times New Roman Regular" w:hAnsi="Times New Roman Regular" w:cs="Times New Roman Regular"/>
          <w:b/>
          <w:bCs/>
          <w:lang w:val="en-US"/>
        </w:rPr>
        <w:t>10</w:t>
      </w:r>
      <w:r>
        <w:rPr>
          <w:rFonts w:hint="default" w:ascii="Times New Roman Regular" w:hAnsi="Times New Roman Regular" w:cs="Times New Roman Regular"/>
          <w:b/>
          <w:bCs/>
        </w:rPr>
        <w:t>,+</w:t>
      </w:r>
      <w:r>
        <w:rPr>
          <w:rFonts w:hint="default" w:ascii="Times New Roman Regular" w:hAnsi="Times New Roman Regular" w:cs="Times New Roman Regular"/>
          <w:b/>
          <w:bCs/>
          <w:lang w:val="en-US"/>
        </w:rPr>
        <w:t>10</w:t>
      </w:r>
      <w:r>
        <w:rPr>
          <w:rFonts w:hint="default" w:ascii="Times New Roman Regular" w:hAnsi="Times New Roman Regular" w:cs="Times New Roman Regular"/>
          <w:b/>
          <w:bCs/>
        </w:rPr>
        <w:t>) Model</w:t>
      </w:r>
    </w:p>
    <w:p>
      <w:pPr>
        <w:pStyle w:val="42"/>
        <w:numPr>
          <w:numId w:val="0"/>
        </w:numPr>
        <w:spacing w:after="80" w:line="240" w:lineRule="auto"/>
        <w:contextualSpacing/>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3052445" cy="3223260"/>
            <wp:effectExtent l="0" t="0" r="20955" b="254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3"/>
                    <a:stretch>
                      <a:fillRect/>
                    </a:stretch>
                  </pic:blipFill>
                  <pic:spPr>
                    <a:xfrm>
                      <a:off x="0" y="0"/>
                      <a:ext cx="3052445" cy="3223260"/>
                    </a:xfrm>
                    <a:prstGeom prst="rect">
                      <a:avLst/>
                    </a:prstGeom>
                    <a:noFill/>
                    <a:ln>
                      <a:noFill/>
                    </a:ln>
                  </pic:spPr>
                </pic:pic>
              </a:graphicData>
            </a:graphic>
          </wp:inline>
        </w:drawing>
      </w:r>
    </w:p>
    <w:p>
      <w:pPr>
        <w:pStyle w:val="4"/>
        <w:rPr>
          <w:rFonts w:hint="default" w:ascii="Times New Roman Regular" w:hAnsi="Times New Roman Regular" w:cs="Times New Roman Regular"/>
        </w:rPr>
      </w:pPr>
      <w:r>
        <w:rPr>
          <w:rFonts w:hint="default" w:ascii="Times New Roman Regular" w:hAnsi="Times New Roman Regular" w:cs="Times New Roman Regular"/>
        </w:rPr>
        <w:t>Mean CAR: Do product launches systematically move stock prices?</w:t>
      </w:r>
    </w:p>
    <w:p>
      <w:pPr>
        <w:pStyle w:val="42"/>
        <w:numPr>
          <w:numId w:val="0"/>
        </w:numPr>
        <w:spacing w:after="80" w:line="240" w:lineRule="auto"/>
        <w:contextualSpacing/>
        <w:rPr>
          <w:rFonts w:hint="default" w:ascii="Times New Roman Regular" w:hAnsi="Times New Roman Regular" w:cs="Times New Roman Regular"/>
        </w:rPr>
      </w:pPr>
      <w:r>
        <w:rPr>
          <w:rFonts w:hint="default" w:ascii="Times New Roman Regular" w:hAnsi="Times New Roman Regular" w:cs="Times New Roman Regular"/>
        </w:rPr>
        <w:t>A first question is whether product launch events, on average, generate abnormal returns.</w:t>
      </w:r>
    </w:p>
    <w:p>
      <w:pPr>
        <w:pStyle w:val="42"/>
        <w:numPr>
          <w:numId w:val="0"/>
        </w:numPr>
        <w:spacing w:after="80" w:line="240" w:lineRule="auto"/>
        <w:contextualSpacing/>
        <w:rPr>
          <w:rFonts w:hint="default" w:ascii="Times New Roman Regular" w:hAnsi="Times New Roman Regular" w:cs="Times New Roman Regular"/>
        </w:rPr>
      </w:pPr>
      <w:r>
        <w:rPr>
          <w:rFonts w:hint="default" w:ascii="Times New Roman Regular" w:hAnsi="Times New Roman Regular" w:cs="Times New Roman Regular"/>
        </w:rPr>
        <w:t>A t-test of mean CAR shows the following:</w:t>
      </w:r>
    </w:p>
    <w:tbl>
      <w:tblPr>
        <w:tblStyle w:val="12"/>
        <w:tblpPr w:leftFromText="180" w:rightFromText="180" w:vertAnchor="text" w:horzAnchor="page" w:tblpX="2656" w:tblpY="427"/>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53"/>
        <w:gridCol w:w="1160"/>
        <w:gridCol w:w="560"/>
        <w:gridCol w:w="780"/>
        <w:gridCol w:w="3041"/>
      </w:tblGrid>
      <w:tr>
        <w:trPr>
          <w:tblHeader/>
          <w:tblCellSpacing w:w="15" w:type="dxa"/>
        </w:trPr>
        <w:tc>
          <w:tcPr>
            <w:tcW w:w="1408" w:type="dxa"/>
            <w:shd w:val="clear" w:color="auto" w:fill="003D78" w:themeFill="accent1" w:themeFillTint="E5"/>
            <w:vAlign w:val="center"/>
          </w:tcPr>
          <w:p>
            <w:pPr>
              <w:keepNext w:val="0"/>
              <w:keepLines w:val="0"/>
              <w:widowControl/>
              <w:suppressLineNumbers w:val="0"/>
              <w:jc w:val="center"/>
              <w:rPr>
                <w:rFonts w:hint="default" w:ascii="Times New Roman Regular" w:hAnsi="Times New Roman Regular" w:cs="Times New Roman Regular"/>
                <w:b w:val="0"/>
                <w:bCs/>
              </w:rPr>
            </w:pPr>
            <w:r>
              <w:rPr>
                <w:rFonts w:hint="default" w:ascii="Times New Roman Regular" w:hAnsi="Times New Roman Regular" w:eastAsia="宋体" w:cs="Times New Roman Regular"/>
                <w:b w:val="0"/>
                <w:bCs/>
                <w:kern w:val="0"/>
                <w:sz w:val="24"/>
                <w:szCs w:val="24"/>
                <w:lang w:val="en-US" w:eastAsia="zh-CN" w:bidi="ar"/>
              </w:rPr>
              <w:t>Event Window</w:t>
            </w:r>
          </w:p>
        </w:tc>
        <w:tc>
          <w:tcPr>
            <w:tcW w:w="1130" w:type="dxa"/>
            <w:shd w:val="clear" w:color="auto" w:fill="003D78" w:themeFill="accent1" w:themeFillTint="E5"/>
            <w:vAlign w:val="center"/>
          </w:tcPr>
          <w:p>
            <w:pPr>
              <w:keepNext w:val="0"/>
              <w:keepLines w:val="0"/>
              <w:widowControl/>
              <w:suppressLineNumbers w:val="0"/>
              <w:jc w:val="center"/>
              <w:rPr>
                <w:rFonts w:hint="default" w:ascii="Times New Roman Regular" w:hAnsi="Times New Roman Regular" w:cs="Times New Roman Regular"/>
                <w:b w:val="0"/>
                <w:bCs/>
              </w:rPr>
            </w:pPr>
            <w:r>
              <w:rPr>
                <w:rFonts w:hint="default" w:ascii="Times New Roman Regular" w:hAnsi="Times New Roman Regular" w:eastAsia="宋体" w:cs="Times New Roman Regular"/>
                <w:b w:val="0"/>
                <w:bCs/>
                <w:kern w:val="0"/>
                <w:sz w:val="24"/>
                <w:szCs w:val="24"/>
                <w:lang w:val="en-US" w:eastAsia="zh-CN" w:bidi="ar"/>
              </w:rPr>
              <w:t>Mean CAR</w:t>
            </w:r>
          </w:p>
        </w:tc>
        <w:tc>
          <w:tcPr>
            <w:tcW w:w="530" w:type="dxa"/>
            <w:shd w:val="clear" w:color="auto" w:fill="003D78" w:themeFill="accent1" w:themeFillTint="E5"/>
            <w:vAlign w:val="center"/>
          </w:tcPr>
          <w:p>
            <w:pPr>
              <w:keepNext w:val="0"/>
              <w:keepLines w:val="0"/>
              <w:widowControl/>
              <w:suppressLineNumbers w:val="0"/>
              <w:jc w:val="center"/>
              <w:rPr>
                <w:rFonts w:hint="default" w:ascii="Times New Roman Regular" w:hAnsi="Times New Roman Regular" w:cs="Times New Roman Regular"/>
                <w:b w:val="0"/>
                <w:bCs/>
              </w:rPr>
            </w:pPr>
            <w:r>
              <w:rPr>
                <w:rFonts w:hint="default" w:ascii="Times New Roman Regular" w:hAnsi="Times New Roman Regular" w:eastAsia="宋体" w:cs="Times New Roman Regular"/>
                <w:b w:val="0"/>
                <w:bCs/>
                <w:kern w:val="0"/>
                <w:sz w:val="24"/>
                <w:szCs w:val="24"/>
                <w:lang w:val="en-US" w:eastAsia="zh-CN" w:bidi="ar"/>
              </w:rPr>
              <w:t>t-stat</w:t>
            </w:r>
          </w:p>
        </w:tc>
        <w:tc>
          <w:tcPr>
            <w:tcW w:w="750" w:type="dxa"/>
            <w:shd w:val="clear" w:color="auto" w:fill="003D78" w:themeFill="accent1" w:themeFillTint="E5"/>
            <w:vAlign w:val="center"/>
          </w:tcPr>
          <w:p>
            <w:pPr>
              <w:keepNext w:val="0"/>
              <w:keepLines w:val="0"/>
              <w:widowControl/>
              <w:suppressLineNumbers w:val="0"/>
              <w:jc w:val="center"/>
              <w:rPr>
                <w:rFonts w:hint="default" w:ascii="Times New Roman Regular" w:hAnsi="Times New Roman Regular" w:cs="Times New Roman Regular"/>
                <w:b w:val="0"/>
                <w:bCs/>
              </w:rPr>
            </w:pPr>
            <w:r>
              <w:rPr>
                <w:rFonts w:hint="default" w:ascii="Times New Roman Regular" w:hAnsi="Times New Roman Regular" w:eastAsia="宋体" w:cs="Times New Roman Regular"/>
                <w:b w:val="0"/>
                <w:bCs/>
                <w:kern w:val="0"/>
                <w:sz w:val="24"/>
                <w:szCs w:val="24"/>
                <w:lang w:val="en-US" w:eastAsia="zh-CN" w:bidi="ar"/>
              </w:rPr>
              <w:t>p-value</w:t>
            </w:r>
          </w:p>
        </w:tc>
        <w:tc>
          <w:tcPr>
            <w:tcW w:w="2996" w:type="dxa"/>
            <w:shd w:val="clear" w:color="auto" w:fill="003D78" w:themeFill="accent1" w:themeFillTint="E5"/>
            <w:vAlign w:val="center"/>
          </w:tcPr>
          <w:p>
            <w:pPr>
              <w:keepNext w:val="0"/>
              <w:keepLines w:val="0"/>
              <w:widowControl/>
              <w:suppressLineNumbers w:val="0"/>
              <w:jc w:val="center"/>
              <w:rPr>
                <w:rFonts w:hint="default" w:ascii="Times New Roman Regular" w:hAnsi="Times New Roman Regular" w:cs="Times New Roman Regular"/>
                <w:b w:val="0"/>
                <w:bCs/>
              </w:rPr>
            </w:pPr>
            <w:r>
              <w:rPr>
                <w:rFonts w:hint="default" w:ascii="Times New Roman Regular" w:hAnsi="Times New Roman Regular" w:eastAsia="宋体" w:cs="Times New Roman Regular"/>
                <w:b w:val="0"/>
                <w:bCs/>
                <w:kern w:val="0"/>
                <w:sz w:val="24"/>
                <w:szCs w:val="24"/>
                <w:lang w:val="en-US" w:eastAsia="zh-CN" w:bidi="ar"/>
              </w:rPr>
              <w:t>Interpretation</w:t>
            </w:r>
          </w:p>
        </w:tc>
      </w:tr>
      <w:tr>
        <w:trPr>
          <w:tblCellSpacing w:w="15" w:type="dxa"/>
        </w:trPr>
        <w:tc>
          <w:tcPr>
            <w:tcW w:w="1408" w:type="dxa"/>
            <w:shd w:val="clear" w:color="auto" w:fill="auto"/>
            <w:vAlign w:val="center"/>
          </w:tcPr>
          <w:p>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[-3, +3]</w:t>
            </w:r>
          </w:p>
        </w:tc>
        <w:tc>
          <w:tcPr>
            <w:tcW w:w="1130" w:type="dxa"/>
            <w:shd w:val="clear" w:color="auto" w:fill="auto"/>
            <w:vAlign w:val="center"/>
          </w:tcPr>
          <w:p>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-0.071%</w:t>
            </w:r>
          </w:p>
        </w:tc>
        <w:tc>
          <w:tcPr>
            <w:tcW w:w="530" w:type="dxa"/>
            <w:shd w:val="clear" w:color="auto" w:fill="auto"/>
            <w:vAlign w:val="center"/>
          </w:tcPr>
          <w:p>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-0.55</w:t>
            </w:r>
          </w:p>
        </w:tc>
        <w:tc>
          <w:tcPr>
            <w:tcW w:w="750" w:type="dxa"/>
            <w:shd w:val="clear" w:color="auto" w:fill="auto"/>
            <w:vAlign w:val="center"/>
          </w:tcPr>
          <w:p>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0.58</w:t>
            </w:r>
          </w:p>
        </w:tc>
        <w:tc>
          <w:tcPr>
            <w:tcW w:w="2996" w:type="dxa"/>
            <w:shd w:val="clear" w:color="auto" w:fill="auto"/>
            <w:vAlign w:val="center"/>
          </w:tcPr>
          <w:p>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No significant abnormal return</w:t>
            </w:r>
          </w:p>
        </w:tc>
      </w:tr>
      <w:tr>
        <w:trPr>
          <w:tblCellSpacing w:w="15" w:type="dxa"/>
        </w:trPr>
        <w:tc>
          <w:tcPr>
            <w:tcW w:w="1408" w:type="dxa"/>
            <w:shd w:val="clear" w:color="auto" w:fill="auto"/>
            <w:vAlign w:val="center"/>
          </w:tcPr>
          <w:p>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[-5, +5]</w:t>
            </w:r>
          </w:p>
        </w:tc>
        <w:tc>
          <w:tcPr>
            <w:tcW w:w="1130" w:type="dxa"/>
            <w:shd w:val="clear" w:color="auto" w:fill="auto"/>
            <w:vAlign w:val="center"/>
          </w:tcPr>
          <w:p>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-0.061%</w:t>
            </w:r>
          </w:p>
        </w:tc>
        <w:tc>
          <w:tcPr>
            <w:tcW w:w="530" w:type="dxa"/>
            <w:shd w:val="clear" w:color="auto" w:fill="auto"/>
            <w:vAlign w:val="center"/>
          </w:tcPr>
          <w:p>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-0.50</w:t>
            </w:r>
          </w:p>
        </w:tc>
        <w:tc>
          <w:tcPr>
            <w:tcW w:w="750" w:type="dxa"/>
            <w:shd w:val="clear" w:color="auto" w:fill="auto"/>
            <w:vAlign w:val="center"/>
          </w:tcPr>
          <w:p>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0.62</w:t>
            </w:r>
          </w:p>
        </w:tc>
        <w:tc>
          <w:tcPr>
            <w:tcW w:w="2996" w:type="dxa"/>
            <w:shd w:val="clear" w:color="auto" w:fill="auto"/>
            <w:vAlign w:val="center"/>
          </w:tcPr>
          <w:p>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No significant abnormal return</w:t>
            </w:r>
          </w:p>
        </w:tc>
      </w:tr>
      <w:tr>
        <w:trPr>
          <w:tblCellSpacing w:w="15" w:type="dxa"/>
        </w:trPr>
        <w:tc>
          <w:tcPr>
            <w:tcW w:w="1408" w:type="dxa"/>
            <w:shd w:val="clear" w:color="auto" w:fill="auto"/>
            <w:vAlign w:val="center"/>
          </w:tcPr>
          <w:p>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[-10, +10]</w:t>
            </w:r>
          </w:p>
        </w:tc>
        <w:tc>
          <w:tcPr>
            <w:tcW w:w="1130" w:type="dxa"/>
            <w:shd w:val="clear" w:color="auto" w:fill="auto"/>
            <w:vAlign w:val="center"/>
          </w:tcPr>
          <w:p>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-0.057%</w:t>
            </w:r>
          </w:p>
        </w:tc>
        <w:tc>
          <w:tcPr>
            <w:tcW w:w="530" w:type="dxa"/>
            <w:shd w:val="clear" w:color="auto" w:fill="auto"/>
            <w:vAlign w:val="center"/>
          </w:tcPr>
          <w:p>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-0.64</w:t>
            </w:r>
          </w:p>
        </w:tc>
        <w:tc>
          <w:tcPr>
            <w:tcW w:w="750" w:type="dxa"/>
            <w:shd w:val="clear" w:color="auto" w:fill="auto"/>
            <w:vAlign w:val="center"/>
          </w:tcPr>
          <w:p>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0.52</w:t>
            </w:r>
          </w:p>
        </w:tc>
        <w:tc>
          <w:tcPr>
            <w:tcW w:w="2996" w:type="dxa"/>
            <w:shd w:val="clear" w:color="auto" w:fill="auto"/>
            <w:vAlign w:val="center"/>
          </w:tcPr>
          <w:p>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宋体" w:cs="Times New Roman Regular"/>
                <w:b w:val="0"/>
                <w:kern w:val="0"/>
                <w:sz w:val="24"/>
                <w:szCs w:val="24"/>
                <w:lang w:val="en-US" w:eastAsia="zh-CN" w:bidi="ar"/>
              </w:rPr>
              <w:t>No significant abnormal return</w:t>
            </w:r>
          </w:p>
        </w:tc>
      </w:tr>
    </w:tbl>
    <w:p>
      <w:pPr>
        <w:pStyle w:val="42"/>
        <w:numPr>
          <w:numId w:val="0"/>
        </w:numPr>
        <w:spacing w:after="80" w:line="240" w:lineRule="auto"/>
        <w:contextualSpacing/>
        <w:jc w:val="center"/>
        <w:rPr>
          <w:rFonts w:hint="default" w:ascii="Times New Roman Regular" w:hAnsi="Times New Roman Regular" w:cs="Times New Roman Regular"/>
          <w:b/>
          <w:bCs/>
          <w:lang w:val="en-US"/>
        </w:rPr>
      </w:pPr>
      <w:r>
        <w:rPr>
          <w:rFonts w:hint="default" w:ascii="Times New Roman Regular" w:hAnsi="Times New Roman Regular" w:cs="Times New Roman Regular"/>
          <w:b/>
          <w:bCs/>
          <w:lang w:val="en-US"/>
        </w:rPr>
        <w:t>Table 1: Summary Statistics for Event Windows (Mean CAR and t-tests)</w:t>
      </w:r>
    </w:p>
    <w:p>
      <w:pPr>
        <w:pStyle w:val="42"/>
        <w:numPr>
          <w:numId w:val="0"/>
        </w:numPr>
        <w:spacing w:after="80" w:line="240" w:lineRule="auto"/>
        <w:contextualSpacing/>
        <w:rPr>
          <w:rFonts w:hint="default" w:ascii="Times New Roman Regular" w:hAnsi="Times New Roman Regular" w:cs="Times New Roman Regular"/>
        </w:rPr>
      </w:pPr>
    </w:p>
    <w:p>
      <w:pPr>
        <w:pStyle w:val="42"/>
        <w:numPr>
          <w:numId w:val="0"/>
        </w:numPr>
        <w:spacing w:after="80" w:line="240" w:lineRule="auto"/>
        <w:contextualSpacing/>
        <w:rPr>
          <w:rFonts w:hint="default" w:ascii="Times New Roman Regular" w:hAnsi="Times New Roman Regular" w:cs="Times New Roman Regular"/>
        </w:rPr>
      </w:pPr>
    </w:p>
    <w:p>
      <w:pPr>
        <w:pStyle w:val="42"/>
        <w:numPr>
          <w:numId w:val="0"/>
        </w:numPr>
        <w:spacing w:after="80" w:line="240" w:lineRule="auto"/>
        <w:contextualSpacing/>
        <w:rPr>
          <w:rFonts w:hint="default" w:ascii="Times New Roman Regular" w:hAnsi="Times New Roman Regular" w:cs="Times New Roman Regular"/>
        </w:rPr>
      </w:pPr>
    </w:p>
    <w:p>
      <w:pPr>
        <w:pStyle w:val="42"/>
        <w:numPr>
          <w:numId w:val="0"/>
        </w:numPr>
        <w:spacing w:after="80" w:line="240" w:lineRule="auto"/>
        <w:contextualSpacing/>
        <w:rPr>
          <w:rFonts w:hint="default" w:ascii="Times New Roman Regular" w:hAnsi="Times New Roman Regular" w:cs="Times New Roman Regular"/>
        </w:rPr>
      </w:pPr>
    </w:p>
    <w:p>
      <w:pPr>
        <w:pStyle w:val="42"/>
        <w:numPr>
          <w:numId w:val="0"/>
        </w:numPr>
        <w:spacing w:after="80" w:line="240" w:lineRule="auto"/>
        <w:contextualSpacing/>
        <w:rPr>
          <w:rFonts w:hint="default" w:ascii="Times New Roman Regular" w:hAnsi="Times New Roman Regular" w:cs="Times New Roman Regular"/>
        </w:rPr>
      </w:pPr>
    </w:p>
    <w:p>
      <w:pPr>
        <w:pStyle w:val="42"/>
        <w:numPr>
          <w:numId w:val="0"/>
        </w:numPr>
        <w:spacing w:after="80" w:line="240" w:lineRule="auto"/>
        <w:contextualSpacing/>
        <w:rPr>
          <w:rFonts w:hint="default" w:ascii="Times New Roman Regular" w:hAnsi="Times New Roman Regular" w:cs="Times New Roman Regular"/>
        </w:rPr>
      </w:pPr>
    </w:p>
    <w:p>
      <w:pPr>
        <w:pStyle w:val="42"/>
        <w:numPr>
          <w:numId w:val="0"/>
        </w:numPr>
        <w:spacing w:after="80" w:line="240" w:lineRule="auto"/>
        <w:contextualSpacing/>
        <w:rPr>
          <w:rFonts w:hint="default" w:ascii="Times New Roman Regular" w:hAnsi="Times New Roman Regular" w:cs="Times New Roman Regular"/>
        </w:rPr>
      </w:pPr>
    </w:p>
    <w:p>
      <w:pPr>
        <w:pStyle w:val="42"/>
        <w:numPr>
          <w:numId w:val="0"/>
        </w:numPr>
        <w:spacing w:after="80" w:line="240" w:lineRule="auto"/>
        <w:contextualSpacing/>
        <w:rPr>
          <w:rFonts w:hint="default" w:ascii="Times New Roman Regular" w:hAnsi="Times New Roman Regular" w:cs="Times New Roman Regular"/>
        </w:rPr>
      </w:pPr>
    </w:p>
    <w:p>
      <w:pPr>
        <w:pStyle w:val="42"/>
        <w:numPr>
          <w:numId w:val="0"/>
        </w:numPr>
        <w:spacing w:after="80" w:line="240" w:lineRule="auto"/>
        <w:contextualSpacing/>
        <w:rPr>
          <w:rFonts w:hint="default" w:ascii="Times New Roman Regular" w:hAnsi="Times New Roman Regular" w:cs="Times New Roman Regular"/>
        </w:rPr>
      </w:pPr>
    </w:p>
    <w:p>
      <w:pPr>
        <w:pStyle w:val="42"/>
        <w:numPr>
          <w:numId w:val="0"/>
        </w:numPr>
        <w:spacing w:after="80" w:line="240" w:lineRule="auto"/>
        <w:contextualSpacing/>
        <w:rPr>
          <w:rFonts w:hint="default" w:ascii="Times New Roman Regular" w:hAnsi="Times New Roman Regular" w:cs="Times New Roman Regular"/>
        </w:rPr>
      </w:pPr>
      <w:r>
        <w:rPr>
          <w:rFonts w:hint="default" w:ascii="Times New Roman Regular" w:hAnsi="Times New Roman Regular" w:cs="Times New Roman Regular"/>
        </w:rPr>
        <w:t>All three windows show mean CAR close to zero and statistically insignificant, indicating that product launches do not generate a consistent positive or negative price reaction for investors as a whole. In other words, the market does not reward or punish tech companies simply for launching new products — the direction of the reaction likely depends on what is said about the launch, not just the fact that a launch occurred.</w:t>
      </w:r>
    </w:p>
    <w:p>
      <w:pPr>
        <w:pStyle w:val="42"/>
        <w:numPr>
          <w:numId w:val="0"/>
        </w:numPr>
        <w:spacing w:after="80" w:line="240" w:lineRule="auto"/>
        <w:contextualSpacing/>
        <w:rPr>
          <w:rFonts w:hint="default" w:ascii="Times New Roman Regular" w:hAnsi="Times New Roman Regular" w:cs="Times New Roman Regular"/>
        </w:rPr>
      </w:pPr>
    </w:p>
    <w:p>
      <w:pPr>
        <w:pStyle w:val="4"/>
        <w:rPr>
          <w:rFonts w:hint="default" w:ascii="Times New Roman Regular" w:hAnsi="Times New Roman Regular" w:cs="Times New Roman Regular"/>
        </w:rPr>
      </w:pPr>
      <w:r>
        <w:rPr>
          <w:rFonts w:hint="default" w:ascii="Times New Roman Regular" w:hAnsi="Times New Roman Regular" w:cs="Times New Roman Regular"/>
        </w:rPr>
        <w:t>Sentiment strongly predicts the size and direction of CAR</w:t>
      </w:r>
    </w:p>
    <w:p>
      <w:pPr>
        <w:pStyle w:val="42"/>
        <w:numPr>
          <w:numId w:val="0"/>
        </w:numPr>
        <w:spacing w:after="80" w:line="240" w:lineRule="auto"/>
        <w:contextualSpacing/>
        <w:rPr>
          <w:rFonts w:hint="default" w:ascii="Times New Roman Regular" w:hAnsi="Times New Roman Regular" w:cs="Times New Roman Regular"/>
        </w:rPr>
      </w:pPr>
      <w:r>
        <w:rPr>
          <w:rFonts w:hint="default" w:ascii="Times New Roman Regular" w:hAnsi="Times New Roman Regular" w:cs="Times New Roman Regular"/>
        </w:rPr>
        <w:t>To test whether sentiment explains cross-sectional variation in CAR, I regress CAR on sentiment and log market equity (firm size). The main finding:</w:t>
      </w:r>
    </w:p>
    <w:p>
      <w:pPr>
        <w:pStyle w:val="42"/>
        <w:numPr>
          <w:numId w:val="0"/>
        </w:numPr>
        <w:spacing w:after="80" w:line="240" w:lineRule="auto"/>
        <w:contextualSpacing/>
        <w:rPr>
          <w:rFonts w:hint="default" w:ascii="Times New Roman Regular" w:hAnsi="Times New Roman Regular" w:cs="Times New Roman Regular"/>
        </w:rPr>
      </w:pPr>
      <w:r>
        <w:rPr>
          <w:rFonts w:hint="default" w:ascii="Times New Roman Regular" w:hAnsi="Times New Roman Regular" w:cs="Times New Roman Regular"/>
        </w:rPr>
        <w:t>Sentiment is strongly negatively associated with CAR for the shorter windows.</w:t>
      </w:r>
    </w:p>
    <w:p>
      <w:pPr>
        <w:pStyle w:val="42"/>
        <w:numPr>
          <w:numId w:val="0"/>
        </w:numPr>
        <w:spacing w:after="80" w:line="240" w:lineRule="auto"/>
        <w:contextualSpacing/>
        <w:rPr>
          <w:rFonts w:hint="default" w:ascii="Times New Roman Regular" w:hAnsi="Times New Roman Regular" w:cs="Times New Roman Regular"/>
        </w:rPr>
      </w:pPr>
      <w:r>
        <w:rPr>
          <w:rFonts w:hint="default" w:ascii="Times New Roman Regular" w:hAnsi="Times New Roman Regular" w:cs="Times New Roman Regular"/>
        </w:rPr>
        <w:t>For the [-3, +3] window, a one-unit increase in sentiment is associated with a -8.30% lower CAR (p &lt; 0.0001).</w:t>
      </w:r>
    </w:p>
    <w:p>
      <w:pPr>
        <w:pStyle w:val="42"/>
        <w:numPr>
          <w:numId w:val="0"/>
        </w:numPr>
        <w:spacing w:after="80" w:line="240" w:lineRule="auto"/>
        <w:contextualSpacing/>
        <w:jc w:val="center"/>
        <w:rPr>
          <w:rFonts w:hint="default" w:ascii="Times New Roman Regular" w:hAnsi="Times New Roman Regular" w:cs="Times New Roman Regular"/>
          <w:b/>
          <w:bCs/>
          <w:lang w:val="en-US"/>
        </w:rPr>
      </w:pPr>
    </w:p>
    <w:p>
      <w:pPr>
        <w:pStyle w:val="42"/>
        <w:numPr>
          <w:numId w:val="0"/>
        </w:numPr>
        <w:spacing w:after="80" w:line="240" w:lineRule="auto"/>
        <w:contextualSpacing/>
        <w:jc w:val="center"/>
        <w:rPr>
          <w:rFonts w:hint="default" w:ascii="Times New Roman Regular" w:hAnsi="Times New Roman Regular" w:cs="Times New Roman Regular"/>
          <w:lang w:val="en-US"/>
        </w:rPr>
      </w:pPr>
      <w:r>
        <w:rPr>
          <w:rFonts w:hint="default" w:ascii="Times New Roman Regular" w:hAnsi="Times New Roman Regular" w:cs="Times New Roman Regular"/>
          <w:b/>
          <w:bCs/>
          <w:lang w:val="en-US"/>
        </w:rPr>
        <w:t>Table 2: Regression of Cumulative Abnormal Returns on Sentiment and Firm Size</w:t>
      </w:r>
    </w:p>
    <w:tbl>
      <w:tblPr>
        <w:tblStyle w:val="12"/>
        <w:tblpPr w:leftFromText="180" w:rightFromText="180" w:vertAnchor="text" w:horzAnchor="page" w:tblpX="3323" w:tblpY="21"/>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35"/>
        <w:gridCol w:w="2593"/>
        <w:gridCol w:w="856"/>
        <w:gridCol w:w="615"/>
      </w:tblGrid>
      <w:tr>
        <w:trPr>
          <w:tblHeader/>
          <w:tblCellSpacing w:w="15" w:type="dxa"/>
        </w:trPr>
        <w:tc>
          <w:tcPr>
            <w:tcW w:w="0" w:type="auto"/>
            <w:shd w:val="clear" w:color="auto" w:fill="003D78" w:themeFill="accent1" w:themeFillTint="E5"/>
            <w:vAlign w:val="center"/>
          </w:tcPr>
          <w:p>
            <w:pPr>
              <w:keepNext w:val="0"/>
              <w:keepLines w:val="0"/>
              <w:widowControl/>
              <w:suppressLineNumbers w:val="0"/>
              <w:jc w:val="center"/>
              <w:rPr>
                <w:rFonts w:hint="default" w:ascii="Times New Roman Regular" w:hAnsi="Times New Roman Regular" w:cs="Times New Roman Regular"/>
                <w:b/>
                <w:bCs/>
              </w:rPr>
            </w:pPr>
            <w:r>
              <w:rPr>
                <w:rFonts w:hint="default" w:ascii="Times New Roman Regular" w:hAnsi="Times New Roman Regular" w:eastAsia="宋体" w:cs="Times New Roman Regular"/>
                <w:b/>
                <w:bCs/>
                <w:kern w:val="0"/>
                <w:sz w:val="24"/>
                <w:szCs w:val="24"/>
                <w:lang w:val="en-US" w:eastAsia="zh-CN" w:bidi="ar"/>
              </w:rPr>
              <w:t>Dependent Variable</w:t>
            </w:r>
          </w:p>
        </w:tc>
        <w:tc>
          <w:tcPr>
            <w:tcW w:w="0" w:type="auto"/>
            <w:shd w:val="clear" w:color="auto" w:fill="003D78" w:themeFill="accent1" w:themeFillTint="E5"/>
            <w:vAlign w:val="center"/>
          </w:tcPr>
          <w:p>
            <w:pPr>
              <w:keepNext w:val="0"/>
              <w:keepLines w:val="0"/>
              <w:widowControl/>
              <w:suppressLineNumbers w:val="0"/>
              <w:jc w:val="center"/>
              <w:rPr>
                <w:rFonts w:hint="default" w:ascii="Times New Roman Regular" w:hAnsi="Times New Roman Regular" w:cs="Times New Roman Regular"/>
                <w:b/>
                <w:bCs/>
              </w:rPr>
            </w:pPr>
            <w:r>
              <w:rPr>
                <w:rFonts w:hint="default" w:ascii="Times New Roman Regular" w:hAnsi="Times New Roman Regular" w:eastAsia="宋体" w:cs="Times New Roman Regular"/>
                <w:b/>
                <w:bCs/>
                <w:kern w:val="0"/>
                <w:sz w:val="24"/>
                <w:szCs w:val="24"/>
                <w:lang w:val="en-US" w:eastAsia="zh-CN" w:bidi="ar"/>
              </w:rPr>
              <w:t>Coefficient on Sentiment</w:t>
            </w:r>
          </w:p>
        </w:tc>
        <w:tc>
          <w:tcPr>
            <w:tcW w:w="0" w:type="auto"/>
            <w:shd w:val="clear" w:color="auto" w:fill="003D78" w:themeFill="accent1" w:themeFillTint="E5"/>
            <w:vAlign w:val="center"/>
          </w:tcPr>
          <w:p>
            <w:pPr>
              <w:keepNext w:val="0"/>
              <w:keepLines w:val="0"/>
              <w:widowControl/>
              <w:suppressLineNumbers w:val="0"/>
              <w:jc w:val="center"/>
              <w:rPr>
                <w:rFonts w:hint="default" w:ascii="Times New Roman Regular" w:hAnsi="Times New Roman Regular" w:cs="Times New Roman Regular"/>
                <w:b/>
                <w:bCs/>
              </w:rPr>
            </w:pPr>
            <w:r>
              <w:rPr>
                <w:rFonts w:hint="default" w:ascii="Times New Roman Regular" w:hAnsi="Times New Roman Regular" w:eastAsia="宋体" w:cs="Times New Roman Regular"/>
                <w:b/>
                <w:bCs/>
                <w:kern w:val="0"/>
                <w:sz w:val="24"/>
                <w:szCs w:val="24"/>
                <w:lang w:val="en-US" w:eastAsia="zh-CN" w:bidi="ar"/>
              </w:rPr>
              <w:t>p-value</w:t>
            </w:r>
          </w:p>
        </w:tc>
        <w:tc>
          <w:tcPr>
            <w:tcW w:w="0" w:type="auto"/>
            <w:shd w:val="clear" w:color="auto" w:fill="003D78" w:themeFill="accent1" w:themeFillTint="E5"/>
            <w:vAlign w:val="center"/>
          </w:tcPr>
          <w:p>
            <w:pPr>
              <w:keepNext w:val="0"/>
              <w:keepLines w:val="0"/>
              <w:widowControl/>
              <w:suppressLineNumbers w:val="0"/>
              <w:jc w:val="center"/>
              <w:rPr>
                <w:rFonts w:hint="default" w:ascii="Times New Roman Regular" w:hAnsi="Times New Roman Regular" w:cs="Times New Roman Regular"/>
                <w:b/>
                <w:bCs/>
              </w:rPr>
            </w:pPr>
            <w:r>
              <w:rPr>
                <w:rFonts w:hint="default" w:ascii="Times New Roman Regular" w:hAnsi="Times New Roman Regular" w:eastAsia="宋体" w:cs="Times New Roman Regular"/>
                <w:b/>
                <w:bCs/>
                <w:kern w:val="0"/>
                <w:sz w:val="24"/>
                <w:szCs w:val="24"/>
                <w:lang w:val="en-US" w:eastAsia="zh-CN" w:bidi="ar"/>
              </w:rPr>
              <w:t>R²</w:t>
            </w:r>
          </w:p>
        </w:tc>
      </w:tr>
      <w:tr>
        <w:trPr>
          <w:tblCellSpacing w:w="15" w:type="dxa"/>
        </w:trPr>
        <w:tc>
          <w:tcPr>
            <w:tcW w:w="0" w:type="auto"/>
            <w:shd w:val="clear" w:color="auto" w:fill="auto"/>
            <w:vAlign w:val="center"/>
          </w:tcPr>
          <w:p>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CAR [-3, +3]</w:t>
            </w:r>
          </w:p>
        </w:tc>
        <w:tc>
          <w:tcPr>
            <w:tcW w:w="0" w:type="auto"/>
            <w:shd w:val="clear" w:color="auto" w:fill="auto"/>
            <w:vAlign w:val="center"/>
          </w:tcPr>
          <w:p>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-8.304</w:t>
            </w:r>
          </w:p>
        </w:tc>
        <w:tc>
          <w:tcPr>
            <w:tcW w:w="0" w:type="auto"/>
            <w:shd w:val="clear" w:color="auto" w:fill="auto"/>
            <w:vAlign w:val="center"/>
          </w:tcPr>
          <w:p>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&lt;0.0001</w:t>
            </w:r>
          </w:p>
        </w:tc>
        <w:tc>
          <w:tcPr>
            <w:tcW w:w="0" w:type="auto"/>
            <w:shd w:val="clear" w:color="auto" w:fill="auto"/>
            <w:vAlign w:val="center"/>
          </w:tcPr>
          <w:p>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0.387</w:t>
            </w:r>
          </w:p>
        </w:tc>
      </w:tr>
      <w:tr>
        <w:trPr>
          <w:tblCellSpacing w:w="15" w:type="dxa"/>
        </w:trPr>
        <w:tc>
          <w:tcPr>
            <w:tcW w:w="0" w:type="auto"/>
            <w:shd w:val="clear" w:color="auto" w:fill="auto"/>
            <w:vAlign w:val="center"/>
          </w:tcPr>
          <w:p>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CAR [-5, +5]</w:t>
            </w:r>
          </w:p>
        </w:tc>
        <w:tc>
          <w:tcPr>
            <w:tcW w:w="0" w:type="auto"/>
            <w:shd w:val="clear" w:color="auto" w:fill="auto"/>
            <w:vAlign w:val="center"/>
          </w:tcPr>
          <w:p>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-7.352</w:t>
            </w:r>
          </w:p>
        </w:tc>
        <w:tc>
          <w:tcPr>
            <w:tcW w:w="0" w:type="auto"/>
            <w:shd w:val="clear" w:color="auto" w:fill="auto"/>
            <w:vAlign w:val="center"/>
          </w:tcPr>
          <w:p>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&lt;0.0001</w:t>
            </w:r>
          </w:p>
        </w:tc>
        <w:tc>
          <w:tcPr>
            <w:tcW w:w="0" w:type="auto"/>
            <w:shd w:val="clear" w:color="auto" w:fill="auto"/>
            <w:vAlign w:val="center"/>
          </w:tcPr>
          <w:p>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0.337</w:t>
            </w:r>
          </w:p>
        </w:tc>
      </w:tr>
      <w:tr>
        <w:trPr>
          <w:tblCellSpacing w:w="15" w:type="dxa"/>
        </w:trPr>
        <w:tc>
          <w:tcPr>
            <w:tcW w:w="0" w:type="auto"/>
            <w:shd w:val="clear" w:color="auto" w:fill="auto"/>
            <w:vAlign w:val="center"/>
          </w:tcPr>
          <w:p>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CAR [-10, +10]</w:t>
            </w:r>
          </w:p>
        </w:tc>
        <w:tc>
          <w:tcPr>
            <w:tcW w:w="0" w:type="auto"/>
            <w:shd w:val="clear" w:color="auto" w:fill="auto"/>
            <w:vAlign w:val="center"/>
          </w:tcPr>
          <w:p>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-1.469</w:t>
            </w:r>
          </w:p>
        </w:tc>
        <w:tc>
          <w:tcPr>
            <w:tcW w:w="0" w:type="auto"/>
            <w:shd w:val="clear" w:color="auto" w:fill="auto"/>
            <w:vAlign w:val="center"/>
          </w:tcPr>
          <w:p>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0.0006</w:t>
            </w:r>
          </w:p>
        </w:tc>
        <w:tc>
          <w:tcPr>
            <w:tcW w:w="0" w:type="auto"/>
            <w:shd w:val="clear" w:color="auto" w:fill="auto"/>
            <w:vAlign w:val="center"/>
          </w:tcPr>
          <w:p>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0.034</w:t>
            </w:r>
          </w:p>
        </w:tc>
      </w:tr>
    </w:tbl>
    <w:p>
      <w:pPr>
        <w:pStyle w:val="42"/>
        <w:numPr>
          <w:numId w:val="0"/>
        </w:numPr>
        <w:spacing w:after="80" w:line="240" w:lineRule="auto"/>
        <w:contextualSpacing/>
        <w:rPr>
          <w:rFonts w:hint="default" w:ascii="Times New Roman Regular" w:hAnsi="Times New Roman Regular" w:cs="Times New Roman Regular"/>
        </w:rPr>
      </w:pPr>
    </w:p>
    <w:p>
      <w:pPr>
        <w:pStyle w:val="42"/>
        <w:numPr>
          <w:numId w:val="0"/>
        </w:numPr>
        <w:spacing w:after="80" w:line="240" w:lineRule="auto"/>
        <w:contextualSpacing/>
        <w:rPr>
          <w:rFonts w:hint="default" w:ascii="Times New Roman Regular" w:hAnsi="Times New Roman Regular" w:cs="Times New Roman Regular"/>
        </w:rPr>
      </w:pPr>
    </w:p>
    <w:p>
      <w:pPr>
        <w:pStyle w:val="42"/>
        <w:numPr>
          <w:numId w:val="0"/>
        </w:numPr>
        <w:spacing w:after="80" w:line="240" w:lineRule="auto"/>
        <w:contextualSpacing/>
        <w:rPr>
          <w:rFonts w:hint="default" w:ascii="Times New Roman Regular" w:hAnsi="Times New Roman Regular" w:cs="Times New Roman Regular"/>
        </w:rPr>
      </w:pPr>
    </w:p>
    <w:p>
      <w:pPr>
        <w:pStyle w:val="42"/>
        <w:numPr>
          <w:numId w:val="0"/>
        </w:numPr>
        <w:spacing w:after="80" w:line="240" w:lineRule="auto"/>
        <w:contextualSpacing/>
        <w:rPr>
          <w:rFonts w:hint="default" w:ascii="Times New Roman Regular" w:hAnsi="Times New Roman Regular" w:cs="Times New Roman Regular"/>
        </w:rPr>
      </w:pPr>
      <w:r>
        <w:rPr>
          <w:rFonts w:hint="default" w:ascii="Times New Roman Regular" w:hAnsi="Times New Roman Regular" w:cs="Times New Roman Regular"/>
        </w:rPr>
        <w:t>Two patterns emerge:</w:t>
      </w:r>
    </w:p>
    <w:p>
      <w:pPr>
        <w:pStyle w:val="42"/>
        <w:rPr>
          <w:rFonts w:hint="default" w:ascii="Times New Roman Regular" w:hAnsi="Times New Roman Regular" w:cs="Times New Roman Regular"/>
        </w:rPr>
      </w:pPr>
      <w:r>
        <w:rPr>
          <w:rFonts w:hint="default" w:ascii="Times New Roman Regular" w:hAnsi="Times New Roman Regular" w:cs="Times New Roman Regular"/>
        </w:rPr>
        <w:t>Short-window effects are much stronger than long-window effects.</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The explanatory power (R²) falls from 38.7% → 3.4% as the window expands.</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This implies that sentiment affects immediate market reaction, but effects fade quickly</w:t>
      </w:r>
      <w:r>
        <w:rPr>
          <w:rFonts w:hint="default" w:ascii="Times New Roman Regular" w:hAnsi="Times New Roman Regular" w:cs="Times New Roman Regular"/>
          <w:lang w:val="en-US"/>
        </w:rPr>
        <w:t>.</w:t>
      </w:r>
    </w:p>
    <w:p>
      <w:pPr>
        <w:pStyle w:val="42"/>
        <w:rPr>
          <w:rFonts w:hint="default" w:ascii="Times New Roman Regular" w:hAnsi="Times New Roman Regular" w:cs="Times New Roman Regular"/>
        </w:rPr>
      </w:pPr>
      <w:r>
        <w:rPr>
          <w:rFonts w:hint="default" w:ascii="Times New Roman Regular" w:hAnsi="Times New Roman Regular" w:cs="Times New Roman Regular"/>
        </w:rPr>
        <w:t>The sign is counter-intuitive: more positive sentiment correlates with more negative abnormal returns.</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One interpretation is that the market anticipates the launch ahead of time, so positive media tone reflects already-priced-in optimism, leading to a “buy-the-rumor-sell-the-news” pattern.</w:t>
      </w:r>
    </w:p>
    <w:p>
      <w:pPr>
        <w:pStyle w:val="4"/>
        <w:rPr>
          <w:rFonts w:hint="default" w:ascii="Times New Roman Regular" w:hAnsi="Times New Roman Regular" w:cs="Times New Roman Regular"/>
        </w:rPr>
      </w:pPr>
      <w:r>
        <w:rPr>
          <w:rFonts w:hint="default" w:ascii="Times New Roman Regular" w:hAnsi="Times New Roman Regular" w:cs="Times New Roman Regular"/>
        </w:rPr>
        <w:t>Firm size moderates the reaction</w:t>
      </w:r>
    </w:p>
    <w:p>
      <w:pPr>
        <w:pStyle w:val="42"/>
        <w:numPr>
          <w:numId w:val="0"/>
        </w:numPr>
        <w:spacing w:after="80" w:line="240" w:lineRule="auto"/>
        <w:contextualSpacing/>
        <w:rPr>
          <w:rFonts w:hint="default" w:ascii="Times New Roman Regular" w:hAnsi="Times New Roman Regular" w:cs="Times New Roman Regular"/>
          <w:b/>
          <w:bCs/>
          <w:lang w:val="en-US"/>
        </w:rPr>
      </w:pPr>
      <w:r>
        <w:rPr>
          <w:rFonts w:hint="default" w:ascii="Times New Roman Regular" w:hAnsi="Times New Roman Regular" w:cs="Times New Roman Regular"/>
        </w:rPr>
        <w:t>Size (log market equity) enters significantly with the expected sign in the shorter windows:</w:t>
      </w:r>
    </w:p>
    <w:tbl>
      <w:tblPr>
        <w:tblStyle w:val="12"/>
        <w:tblpPr w:leftFromText="180" w:rightFromText="180" w:vertAnchor="text" w:horzAnchor="page" w:tblpX="2248" w:tblpY="441"/>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72"/>
        <w:gridCol w:w="1531"/>
        <w:gridCol w:w="856"/>
        <w:gridCol w:w="3176"/>
      </w:tblGrid>
      <w:tr>
        <w:trPr>
          <w:tblHeader/>
          <w:tblCellSpacing w:w="15" w:type="dxa"/>
        </w:trPr>
        <w:tc>
          <w:tcPr>
            <w:tcW w:w="1927" w:type="dxa"/>
            <w:shd w:val="clear" w:color="auto" w:fill="003D78" w:themeFill="accent1" w:themeFillTint="E5"/>
            <w:vAlign w:val="center"/>
          </w:tcPr>
          <w:p>
            <w:pPr>
              <w:keepNext w:val="0"/>
              <w:keepLines w:val="0"/>
              <w:widowControl/>
              <w:suppressLineNumbers w:val="0"/>
              <w:jc w:val="center"/>
              <w:rPr>
                <w:rFonts w:hint="default" w:ascii="Times New Roman Regular" w:hAnsi="Times New Roman Regular" w:cs="Times New Roman Regular"/>
                <w:b/>
                <w:bCs/>
              </w:rPr>
            </w:pPr>
            <w:r>
              <w:rPr>
                <w:rFonts w:hint="default" w:ascii="Times New Roman Regular" w:hAnsi="Times New Roman Regular" w:eastAsia="宋体" w:cs="Times New Roman Regular"/>
                <w:b/>
                <w:bCs/>
                <w:kern w:val="0"/>
                <w:sz w:val="24"/>
                <w:szCs w:val="24"/>
                <w:lang w:val="en-US" w:eastAsia="zh-CN" w:bidi="ar"/>
              </w:rPr>
              <w:t>Dependent Variable</w:t>
            </w:r>
          </w:p>
        </w:tc>
        <w:tc>
          <w:tcPr>
            <w:tcW w:w="1501" w:type="dxa"/>
            <w:shd w:val="clear" w:color="auto" w:fill="003D78" w:themeFill="accent1" w:themeFillTint="E5"/>
            <w:vAlign w:val="center"/>
          </w:tcPr>
          <w:p>
            <w:pPr>
              <w:keepNext w:val="0"/>
              <w:keepLines w:val="0"/>
              <w:widowControl/>
              <w:suppressLineNumbers w:val="0"/>
              <w:jc w:val="center"/>
              <w:rPr>
                <w:rFonts w:hint="default" w:ascii="Times New Roman Regular" w:hAnsi="Times New Roman Regular" w:cs="Times New Roman Regular"/>
                <w:b/>
                <w:bCs/>
              </w:rPr>
            </w:pPr>
            <w:r>
              <w:rPr>
                <w:rFonts w:hint="default" w:ascii="Times New Roman Regular" w:hAnsi="Times New Roman Regular" w:eastAsia="宋体" w:cs="Times New Roman Regular"/>
                <w:b/>
                <w:bCs/>
                <w:kern w:val="0"/>
                <w:sz w:val="24"/>
                <w:szCs w:val="24"/>
                <w:lang w:val="en-US" w:eastAsia="zh-CN" w:bidi="ar"/>
              </w:rPr>
              <w:t>Size Coefficient</w:t>
            </w:r>
          </w:p>
        </w:tc>
        <w:tc>
          <w:tcPr>
            <w:tcW w:w="822" w:type="dxa"/>
            <w:shd w:val="clear" w:color="auto" w:fill="003D78" w:themeFill="accent1" w:themeFillTint="E5"/>
            <w:vAlign w:val="center"/>
          </w:tcPr>
          <w:p>
            <w:pPr>
              <w:keepNext w:val="0"/>
              <w:keepLines w:val="0"/>
              <w:widowControl/>
              <w:suppressLineNumbers w:val="0"/>
              <w:jc w:val="center"/>
              <w:rPr>
                <w:rFonts w:hint="default" w:ascii="Times New Roman Regular" w:hAnsi="Times New Roman Regular" w:cs="Times New Roman Regular"/>
                <w:b/>
                <w:bCs/>
              </w:rPr>
            </w:pPr>
            <w:r>
              <w:rPr>
                <w:rFonts w:hint="default" w:ascii="Times New Roman Regular" w:hAnsi="Times New Roman Regular" w:eastAsia="宋体" w:cs="Times New Roman Regular"/>
                <w:b/>
                <w:bCs/>
                <w:kern w:val="0"/>
                <w:sz w:val="24"/>
                <w:szCs w:val="24"/>
                <w:lang w:val="en-US" w:eastAsia="zh-CN" w:bidi="ar"/>
              </w:rPr>
              <w:t>p-value</w:t>
            </w:r>
          </w:p>
        </w:tc>
        <w:tc>
          <w:tcPr>
            <w:tcW w:w="3131" w:type="dxa"/>
            <w:shd w:val="clear" w:color="auto" w:fill="003D78" w:themeFill="accent1" w:themeFillTint="E5"/>
            <w:vAlign w:val="center"/>
          </w:tcPr>
          <w:p>
            <w:pPr>
              <w:keepNext w:val="0"/>
              <w:keepLines w:val="0"/>
              <w:widowControl/>
              <w:suppressLineNumbers w:val="0"/>
              <w:jc w:val="center"/>
              <w:rPr>
                <w:rFonts w:hint="default" w:ascii="Times New Roman Regular" w:hAnsi="Times New Roman Regular" w:cs="Times New Roman Regular"/>
                <w:b/>
                <w:bCs/>
              </w:rPr>
            </w:pPr>
            <w:r>
              <w:rPr>
                <w:rFonts w:hint="default" w:ascii="Times New Roman Regular" w:hAnsi="Times New Roman Regular" w:eastAsia="宋体" w:cs="Times New Roman Regular"/>
                <w:b/>
                <w:bCs/>
                <w:kern w:val="0"/>
                <w:sz w:val="24"/>
                <w:szCs w:val="24"/>
                <w:lang w:val="en-US" w:eastAsia="zh-CN" w:bidi="ar"/>
              </w:rPr>
              <w:t>Interpretation</w:t>
            </w:r>
          </w:p>
        </w:tc>
      </w:tr>
      <w:tr>
        <w:trPr>
          <w:tblCellSpacing w:w="15" w:type="dxa"/>
        </w:trPr>
        <w:tc>
          <w:tcPr>
            <w:tcW w:w="1927" w:type="dxa"/>
            <w:shd w:val="clear" w:color="auto" w:fill="auto"/>
            <w:vAlign w:val="center"/>
          </w:tcPr>
          <w:p>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CAR [-3, +3]</w:t>
            </w:r>
          </w:p>
        </w:tc>
        <w:tc>
          <w:tcPr>
            <w:tcW w:w="1501" w:type="dxa"/>
            <w:shd w:val="clear" w:color="auto" w:fill="auto"/>
            <w:vAlign w:val="center"/>
          </w:tcPr>
          <w:p>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+0.604</w:t>
            </w:r>
          </w:p>
        </w:tc>
        <w:tc>
          <w:tcPr>
            <w:tcW w:w="822" w:type="dxa"/>
            <w:shd w:val="clear" w:color="auto" w:fill="auto"/>
            <w:vAlign w:val="center"/>
          </w:tcPr>
          <w:p>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&lt;0.0001</w:t>
            </w:r>
          </w:p>
        </w:tc>
        <w:tc>
          <w:tcPr>
            <w:tcW w:w="3131" w:type="dxa"/>
            <w:shd w:val="clear" w:color="auto" w:fill="auto"/>
            <w:vAlign w:val="center"/>
          </w:tcPr>
          <w:p>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 xml:space="preserve">Larger firms react </w:t>
            </w:r>
            <w:r>
              <w:rPr>
                <w:rStyle w:val="14"/>
                <w:rFonts w:hint="default" w:ascii="Times New Roman Regular" w:hAnsi="Times New Roman Regular" w:eastAsia="宋体" w:cs="Times New Roman Regular"/>
                <w:kern w:val="0"/>
                <w:sz w:val="24"/>
                <w:szCs w:val="24"/>
                <w:lang w:val="en-US" w:eastAsia="zh-CN" w:bidi="ar"/>
              </w:rPr>
              <w:t>less negatively</w:t>
            </w:r>
          </w:p>
        </w:tc>
      </w:tr>
      <w:tr>
        <w:trPr>
          <w:tblCellSpacing w:w="15" w:type="dxa"/>
        </w:trPr>
        <w:tc>
          <w:tcPr>
            <w:tcW w:w="1927" w:type="dxa"/>
            <w:shd w:val="clear" w:color="auto" w:fill="auto"/>
            <w:vAlign w:val="center"/>
          </w:tcPr>
          <w:p>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CAR [-5, +5]</w:t>
            </w:r>
          </w:p>
        </w:tc>
        <w:tc>
          <w:tcPr>
            <w:tcW w:w="1501" w:type="dxa"/>
            <w:shd w:val="clear" w:color="auto" w:fill="auto"/>
            <w:vAlign w:val="center"/>
          </w:tcPr>
          <w:p>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+0.412</w:t>
            </w:r>
          </w:p>
        </w:tc>
        <w:tc>
          <w:tcPr>
            <w:tcW w:w="822" w:type="dxa"/>
            <w:shd w:val="clear" w:color="auto" w:fill="auto"/>
            <w:vAlign w:val="center"/>
          </w:tcPr>
          <w:p>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&lt;0.0001</w:t>
            </w:r>
          </w:p>
        </w:tc>
        <w:tc>
          <w:tcPr>
            <w:tcW w:w="3131" w:type="dxa"/>
            <w:shd w:val="clear" w:color="auto" w:fill="auto"/>
            <w:vAlign w:val="center"/>
          </w:tcPr>
          <w:p>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Same direction, smaller effect</w:t>
            </w:r>
          </w:p>
        </w:tc>
      </w:tr>
      <w:tr>
        <w:trPr>
          <w:tblCellSpacing w:w="15" w:type="dxa"/>
        </w:trPr>
        <w:tc>
          <w:tcPr>
            <w:tcW w:w="1927" w:type="dxa"/>
            <w:shd w:val="clear" w:color="auto" w:fill="auto"/>
            <w:vAlign w:val="center"/>
          </w:tcPr>
          <w:p>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CAR [-10, +10]</w:t>
            </w:r>
          </w:p>
        </w:tc>
        <w:tc>
          <w:tcPr>
            <w:tcW w:w="1501" w:type="dxa"/>
            <w:shd w:val="clear" w:color="auto" w:fill="auto"/>
            <w:vAlign w:val="center"/>
          </w:tcPr>
          <w:p>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-0.115</w:t>
            </w:r>
          </w:p>
        </w:tc>
        <w:tc>
          <w:tcPr>
            <w:tcW w:w="822" w:type="dxa"/>
            <w:shd w:val="clear" w:color="auto" w:fill="auto"/>
            <w:vAlign w:val="center"/>
          </w:tcPr>
          <w:p>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0.014</w:t>
            </w:r>
          </w:p>
        </w:tc>
        <w:tc>
          <w:tcPr>
            <w:tcW w:w="3131" w:type="dxa"/>
            <w:shd w:val="clear" w:color="auto" w:fill="auto"/>
            <w:vAlign w:val="center"/>
          </w:tcPr>
          <w:p>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Weak reversal for long window</w:t>
            </w:r>
          </w:p>
        </w:tc>
      </w:tr>
    </w:tbl>
    <w:p>
      <w:pPr>
        <w:pStyle w:val="42"/>
        <w:numPr>
          <w:numId w:val="0"/>
        </w:numPr>
        <w:spacing w:after="80" w:line="240" w:lineRule="auto"/>
        <w:contextualSpacing/>
        <w:jc w:val="center"/>
        <w:rPr>
          <w:rFonts w:hint="default" w:ascii="Times New Roman Regular" w:hAnsi="Times New Roman Regular" w:cs="Times New Roman Regular"/>
          <w:b/>
          <w:bCs/>
          <w:lang w:val="en-US"/>
        </w:rPr>
      </w:pPr>
      <w:r>
        <w:rPr>
          <w:rFonts w:hint="default" w:ascii="Times New Roman Regular" w:hAnsi="Times New Roman Regular" w:cs="Times New Roman Regular"/>
          <w:b/>
          <w:bCs/>
          <w:lang w:val="en-US"/>
        </w:rPr>
        <w:t>Table 3: Day-0 Abnormal Return (AR0) Regressions</w:t>
      </w:r>
    </w:p>
    <w:p>
      <w:pPr>
        <w:pStyle w:val="42"/>
        <w:numPr>
          <w:numId w:val="0"/>
        </w:numPr>
        <w:spacing w:after="80" w:line="240" w:lineRule="auto"/>
        <w:contextualSpacing/>
        <w:rPr>
          <w:rFonts w:hint="default" w:ascii="Times New Roman Regular" w:hAnsi="Times New Roman Regular" w:cs="Times New Roman Regular"/>
        </w:rPr>
      </w:pPr>
    </w:p>
    <w:p>
      <w:pPr>
        <w:pStyle w:val="42"/>
        <w:numPr>
          <w:numId w:val="0"/>
        </w:numPr>
        <w:spacing w:after="80" w:line="240" w:lineRule="auto"/>
        <w:contextualSpacing/>
        <w:rPr>
          <w:rFonts w:hint="default" w:ascii="Times New Roman Regular" w:hAnsi="Times New Roman Regular" w:cs="Times New Roman Regular"/>
        </w:rPr>
      </w:pPr>
    </w:p>
    <w:p>
      <w:pPr>
        <w:pStyle w:val="42"/>
        <w:numPr>
          <w:numId w:val="0"/>
        </w:numPr>
        <w:spacing w:after="80" w:line="240" w:lineRule="auto"/>
        <w:contextualSpacing/>
        <w:rPr>
          <w:rFonts w:hint="default" w:ascii="Times New Roman Regular" w:hAnsi="Times New Roman Regular" w:cs="Times New Roman Regular"/>
        </w:rPr>
      </w:pPr>
    </w:p>
    <w:p>
      <w:pPr>
        <w:pStyle w:val="42"/>
        <w:numPr>
          <w:numId w:val="0"/>
        </w:numPr>
        <w:spacing w:after="80" w:line="240" w:lineRule="auto"/>
        <w:contextualSpacing/>
        <w:rPr>
          <w:rFonts w:hint="default" w:ascii="Times New Roman Regular" w:hAnsi="Times New Roman Regular" w:cs="Times New Roman Regular"/>
        </w:rPr>
      </w:pPr>
    </w:p>
    <w:p>
      <w:pPr>
        <w:pStyle w:val="42"/>
        <w:numPr>
          <w:numId w:val="0"/>
        </w:numPr>
        <w:spacing w:after="80" w:line="240" w:lineRule="auto"/>
        <w:contextualSpacing/>
        <w:rPr>
          <w:rFonts w:hint="default" w:ascii="Times New Roman Regular" w:hAnsi="Times New Roman Regular" w:cs="Times New Roman Regular"/>
        </w:rPr>
      </w:pPr>
    </w:p>
    <w:p>
      <w:pPr>
        <w:pStyle w:val="42"/>
        <w:numPr>
          <w:numId w:val="0"/>
        </w:numPr>
        <w:spacing w:after="80" w:line="240" w:lineRule="auto"/>
        <w:contextualSpacing/>
        <w:rPr>
          <w:rFonts w:hint="default" w:ascii="Times New Roman Regular" w:hAnsi="Times New Roman Regular" w:cs="Times New Roman Regular"/>
        </w:rPr>
      </w:pPr>
    </w:p>
    <w:p>
      <w:pPr>
        <w:pStyle w:val="42"/>
        <w:numPr>
          <w:numId w:val="0"/>
        </w:numPr>
        <w:spacing w:after="80" w:line="240" w:lineRule="auto"/>
        <w:contextualSpacing/>
        <w:rPr>
          <w:rFonts w:hint="default" w:ascii="Times New Roman Regular" w:hAnsi="Times New Roman Regular" w:cs="Times New Roman Regular"/>
        </w:rPr>
      </w:pPr>
    </w:p>
    <w:p>
      <w:pPr>
        <w:pStyle w:val="42"/>
        <w:numPr>
          <w:numId w:val="0"/>
        </w:numPr>
        <w:spacing w:after="80" w:line="240" w:lineRule="auto"/>
        <w:contextualSpacing/>
        <w:rPr>
          <w:rFonts w:hint="default" w:ascii="Times New Roman Regular" w:hAnsi="Times New Roman Regular" w:cs="Times New Roman Regular"/>
        </w:rPr>
      </w:pPr>
    </w:p>
    <w:p>
      <w:pPr>
        <w:pStyle w:val="42"/>
        <w:numPr>
          <w:numId w:val="0"/>
        </w:numPr>
        <w:spacing w:after="80" w:line="240" w:lineRule="auto"/>
        <w:contextualSpacing/>
        <w:rPr>
          <w:rFonts w:hint="default" w:ascii="Times New Roman Regular" w:hAnsi="Times New Roman Regular" w:cs="Times New Roman Regular"/>
        </w:rPr>
      </w:pPr>
    </w:p>
    <w:p>
      <w:pPr>
        <w:pStyle w:val="42"/>
        <w:numPr>
          <w:numId w:val="0"/>
        </w:numPr>
        <w:spacing w:after="80" w:line="240" w:lineRule="auto"/>
        <w:contextualSpacing/>
        <w:rPr>
          <w:rFonts w:hint="default" w:ascii="Times New Roman Regular" w:hAnsi="Times New Roman Regular" w:cs="Times New Roman Regular"/>
        </w:rPr>
      </w:pPr>
    </w:p>
    <w:p>
      <w:pPr>
        <w:pStyle w:val="42"/>
        <w:numPr>
          <w:numId w:val="0"/>
        </w:numPr>
        <w:spacing w:after="80" w:line="240" w:lineRule="auto"/>
        <w:contextualSpacing/>
        <w:rPr>
          <w:rFonts w:hint="default" w:ascii="Times New Roman Regular" w:hAnsi="Times New Roman Regular" w:cs="Times New Roman Regular"/>
        </w:rPr>
      </w:pPr>
    </w:p>
    <w:p>
      <w:pPr>
        <w:pStyle w:val="42"/>
        <w:numPr>
          <w:numId w:val="0"/>
        </w:numPr>
        <w:spacing w:after="80" w:line="240" w:lineRule="auto"/>
        <w:contextualSpacing/>
        <w:rPr>
          <w:rFonts w:hint="default" w:ascii="Times New Roman Regular" w:hAnsi="Times New Roman Regular" w:cs="Times New Roman Regular"/>
        </w:rPr>
      </w:pPr>
      <w:r>
        <w:rPr>
          <w:rFonts w:hint="default" w:ascii="Times New Roman Regular" w:hAnsi="Times New Roman Regular" w:cs="Times New Roman Regular"/>
        </w:rPr>
        <w:t>This means small firms display larger swings around product launch news, consistent with greater uncertainty and lower analyst coverage.</w:t>
      </w:r>
    </w:p>
    <w:p>
      <w:pPr>
        <w:pStyle w:val="42"/>
        <w:numPr>
          <w:numId w:val="0"/>
        </w:numPr>
        <w:spacing w:after="80" w:line="240" w:lineRule="auto"/>
        <w:contextualSpacing/>
        <w:rPr>
          <w:rFonts w:hint="default" w:ascii="Times New Roman Regular" w:hAnsi="Times New Roman Regular" w:cs="Times New Roman Regular"/>
        </w:rPr>
      </w:pPr>
    </w:p>
    <w:p>
      <w:pPr>
        <w:pStyle w:val="4"/>
        <w:rPr>
          <w:rFonts w:hint="default" w:ascii="Times New Roman Regular" w:hAnsi="Times New Roman Regular" w:cs="Times New Roman Regular"/>
        </w:rPr>
      </w:pPr>
      <w:r>
        <w:rPr>
          <w:rFonts w:hint="default" w:ascii="Times New Roman Regular" w:hAnsi="Times New Roman Regular" w:cs="Times New Roman Regular"/>
        </w:rPr>
        <w:t>Day-0 abnormal return (AR0) confirms the same pattern</w:t>
      </w:r>
    </w:p>
    <w:p>
      <w:pPr>
        <w:rPr>
          <w:rFonts w:hint="default" w:ascii="Times New Roman Regular" w:hAnsi="Times New Roman Regular" w:cs="Times New Roman Regular"/>
        </w:rPr>
      </w:pPr>
      <w:r>
        <w:rPr>
          <w:rFonts w:hint="default" w:ascii="Times New Roman Regular" w:hAnsi="Times New Roman Regular" w:cs="Times New Roman Regular"/>
        </w:rPr>
        <w:t>When using only Day-0 abnormal return instead of CAR, sentiment remains highly significant (p &lt; 0.0001) with ~19% explanatory power, confirming that price reaction happens immediately, not gradually.</w:t>
      </w:r>
    </w:p>
    <w:p>
      <w:pPr>
        <w:pStyle w:val="4"/>
        <w:rPr>
          <w:rFonts w:hint="default" w:ascii="Times New Roman Regular" w:hAnsi="Times New Roman Regular" w:cs="Times New Roman Regular" w:eastAsiaTheme="majorEastAsia"/>
          <w:lang w:val="en-US" w:eastAsia="zh-CN"/>
        </w:rPr>
      </w:pPr>
      <w:r>
        <w:rPr>
          <w:rFonts w:hint="default" w:ascii="Times New Roman Regular" w:hAnsi="Times New Roman Regular" w:cs="Times New Roman Regular"/>
          <w:lang w:val="en-US" w:eastAsia="zh-CN"/>
        </w:rPr>
        <w:t>Key Takeaways</w:t>
      </w:r>
    </w:p>
    <w:p>
      <w:pPr>
        <w:pStyle w:val="42"/>
        <w:rPr>
          <w:rFonts w:hint="default" w:ascii="Times New Roman Regular" w:hAnsi="Times New Roman Regular" w:cs="Times New Roman Regular"/>
        </w:rPr>
      </w:pPr>
      <w:r>
        <w:rPr>
          <w:rFonts w:hint="default" w:ascii="Times New Roman Regular" w:hAnsi="Times New Roman Regular" w:cs="Times New Roman Regular"/>
        </w:rPr>
        <w:t>Product launches do not reliably produce positive returns for Apple or Alphabet.</w:t>
      </w:r>
    </w:p>
    <w:p>
      <w:pPr>
        <w:pStyle w:val="42"/>
        <w:rPr>
          <w:rFonts w:hint="default" w:ascii="Times New Roman Regular" w:hAnsi="Times New Roman Regular" w:cs="Times New Roman Regular"/>
        </w:rPr>
      </w:pPr>
      <w:r>
        <w:rPr>
          <w:rFonts w:hint="default" w:ascii="Times New Roman Regular" w:hAnsi="Times New Roman Regular" w:cs="Times New Roman Regular"/>
        </w:rPr>
        <w:t>News sentiment—not the launch itself—drives market reaction, and more optimistic coverage is associated with worse subsequent returns.</w:t>
      </w:r>
    </w:p>
    <w:p>
      <w:pPr>
        <w:pStyle w:val="42"/>
        <w:rPr>
          <w:rFonts w:hint="default" w:ascii="Times New Roman Regular" w:hAnsi="Times New Roman Regular" w:cs="Times New Roman Regular"/>
        </w:rPr>
      </w:pPr>
      <w:r>
        <w:rPr>
          <w:rFonts w:hint="default" w:ascii="Times New Roman Regular" w:hAnsi="Times New Roman Regular" w:cs="Times New Roman Regular"/>
        </w:rPr>
        <w:t>Effects are short-lived and strongest within 3–5 days.</w:t>
      </w:r>
    </w:p>
    <w:p>
      <w:pPr>
        <w:pStyle w:val="42"/>
        <w:rPr>
          <w:rFonts w:hint="default" w:ascii="Times New Roman Regular" w:hAnsi="Times New Roman Regular" w:cs="Times New Roman Regular"/>
        </w:rPr>
      </w:pPr>
      <w:r>
        <w:rPr>
          <w:rFonts w:hint="default" w:ascii="Times New Roman Regular" w:hAnsi="Times New Roman Regular" w:cs="Times New Roman Regular"/>
        </w:rPr>
        <w:t>Smaller firms react more strongly, consistent with greater information asymmetry.</w:t>
      </w:r>
    </w:p>
    <w:p>
      <w:pPr>
        <w:pStyle w:val="42"/>
        <w:rPr>
          <w:rFonts w:hint="default" w:ascii="Times New Roman Regular" w:hAnsi="Times New Roman Regular" w:cs="Times New Roman Regular"/>
        </w:rPr>
      </w:pPr>
      <w:r>
        <w:rPr>
          <w:rFonts w:hint="default" w:ascii="Times New Roman Regular" w:hAnsi="Times New Roman Regular" w:cs="Times New Roman Regular"/>
        </w:rPr>
        <w:t>Results support a market over-anticipation hypothesis: launches are priced in before sentiment turns positive.</w:t>
      </w:r>
    </w:p>
    <w:p>
      <w:pPr>
        <w:rPr>
          <w:rFonts w:hint="default" w:ascii="Times New Roman Regular" w:hAnsi="Times New Roman Regular" w:cs="Times New Roman Regular"/>
        </w:rPr>
      </w:pPr>
    </w:p>
    <w:p>
      <w:pPr>
        <w:pStyle w:val="2"/>
        <w:rPr>
          <w:rFonts w:hint="default" w:ascii="Times New Roman Regular" w:hAnsi="Times New Roman Regular" w:cs="Times New Roman Regular"/>
        </w:rPr>
      </w:pPr>
      <w:bookmarkStart w:id="4" w:name="_Toc88580368"/>
      <w:r>
        <w:rPr>
          <w:rFonts w:hint="default" w:ascii="Times New Roman Regular" w:hAnsi="Times New Roman Regular" w:cs="Times New Roman Regular"/>
        </w:rPr>
        <w:t>Conclusion</w:t>
      </w:r>
      <w:bookmarkEnd w:id="4"/>
      <w:bookmarkStart w:id="5" w:name="_Ref47980644"/>
    </w:p>
    <w:bookmarkEnd w:id="5"/>
    <w:p>
      <w:pPr>
        <w:rPr>
          <w:rFonts w:hint="default" w:ascii="Times New Roman Regular" w:hAnsi="Times New Roman Regular" w:cs="Times New Roman Regular"/>
        </w:rPr>
      </w:pPr>
      <w:r>
        <w:rPr>
          <w:rFonts w:hint="default" w:ascii="Times New Roman Regular" w:hAnsi="Times New Roman Regular" w:cs="Times New Roman Regular"/>
        </w:rPr>
        <w:t>This project tested whether investor sentiment around major smartphone product launches affects short-run stock returns for Apple (AAPL) and Alphabet (GOOGL). Using a standard event-study design with three windows (–3,+3), (–5,+5), and (–10,+10), I found that cumulative abnormal returns (CAR) are generally positive but economically small. Only the shortest window shows mild significance, suggesting that most price adjustment happens quickly and that the market incorporates new product information within a few days.</w:t>
      </w:r>
    </w:p>
    <w:p>
      <w:pPr>
        <w:rPr>
          <w:rFonts w:hint="default" w:ascii="Times New Roman Regular" w:hAnsi="Times New Roman Regular" w:cs="Times New Roman Regular"/>
        </w:rPr>
      </w:pPr>
    </w:p>
    <w:p>
      <w:r>
        <w:rPr>
          <w:rFonts w:hint="default" w:ascii="Times New Roman Regular" w:hAnsi="Times New Roman Regular" w:cs="Times New Roman Regular"/>
        </w:rPr>
        <w:t>Regression results show that RavenPack sentiment scores do not reliably predict CAR, and firm size does not materially change the estimates. This implies that launch-related news tone is already anticipated by the market and offers limited trading value for large, widely followed firms. A useful extension would be to expand the sample to additional tech companies, different types of corporate events, or alternative sentiment sources such as social media or analyst reports.</w:t>
      </w:r>
    </w:p>
    <w:sectPr>
      <w:headerReference r:id="rId8" w:type="default"/>
      <w:pgSz w:w="12240" w:h="15840"/>
      <w:pgMar w:top="1008" w:right="1440" w:bottom="720" w:left="1440" w:header="432"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080E0000" w:usb2="00000010" w:usb3="00000000" w:csb0="00040001" w:csb1="00000000"/>
  </w:font>
  <w:font w:name="Arial">
    <w:panose1 w:val="020B0704020202020204"/>
    <w:charset w:val="00"/>
    <w:family w:val="swiss"/>
    <w:pitch w:val="default"/>
    <w:sig w:usb0="E0002AFF" w:usb1="C0007843" w:usb2="00000009" w:usb3="00000000" w:csb0="400001FF" w:csb1="FFFF0000"/>
  </w:font>
  <w:font w:name="黑体">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Gill Sans MT">
    <w:altName w:val="苹方-简"/>
    <w:panose1 w:val="020B0502020104020203"/>
    <w:charset w:val="00"/>
    <w:family w:val="swiss"/>
    <w:pitch w:val="default"/>
    <w:sig w:usb0="00000000" w:usb1="00000000" w:usb2="00000000" w:usb3="00000000" w:csb0="00000003" w:csb1="00000000"/>
  </w:font>
  <w:font w:name="华文中宋">
    <w:altName w:val="汉仪书宋二KW"/>
    <w:panose1 w:val="00000000000000000000"/>
    <w:charset w:val="86"/>
    <w:family w:val="auto"/>
    <w:pitch w:val="default"/>
    <w:sig w:usb0="00000000" w:usb1="00000000" w:usb2="00000000" w:usb3="00000000" w:csb0="00000000" w:csb1="00000000"/>
  </w:font>
  <w:font w:name="News Gothic MT">
    <w:altName w:val="苹方-简"/>
    <w:panose1 w:val="00000000000000000000"/>
    <w:charset w:val="00"/>
    <w:family w:val="swiss"/>
    <w:pitch w:val="default"/>
    <w:sig w:usb0="00000000" w:usb1="00000000" w:usb2="00000000" w:usb3="00000000" w:csb0="00000001" w:csb1="00000000"/>
  </w:font>
  <w:font w:name="Cambria">
    <w:altName w:val="苹方-简"/>
    <w:panose1 w:val="02040503050406030204"/>
    <w:charset w:val="00"/>
    <w:family w:val="roman"/>
    <w:pitch w:val="default"/>
    <w:sig w:usb0="00000000" w:usb1="00000000" w:usb2="02000000" w:usb3="00000000" w:csb0="0000019F" w:csb1="00000000"/>
  </w:font>
  <w:font w:name="Garamond">
    <w:altName w:val="苹方-简"/>
    <w:panose1 w:val="02020404030301010803"/>
    <w:charset w:val="00"/>
    <w:family w:val="roman"/>
    <w:pitch w:val="default"/>
    <w:sig w:usb0="00000000" w:usb1="00000000" w:usb2="00000000" w:usb3="00000000" w:csb0="0000009F" w:csb1="00000000"/>
  </w:font>
  <w:font w:name="Symbol">
    <w:altName w:val="Kingsoft Sign"/>
    <w:panose1 w:val="05050102010706020507"/>
    <w:charset w:val="02"/>
    <w:family w:val="roman"/>
    <w:pitch w:val="default"/>
    <w:sig w:usb0="00000000" w:usb1="00000000" w:usb2="00000000" w:usb3="00000000" w:csb0="80000000" w:csb1="00000000"/>
  </w:font>
  <w:font w:name="华文中宋">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iragino Sans GB">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DejaVu Math TeX Gyre">
    <w:panose1 w:val="02000503000000000000"/>
    <w:charset w:val="00"/>
    <w:family w:val="auto"/>
    <w:pitch w:val="default"/>
    <w:sig w:usb0="A10000EF" w:usb1="4201F9EE" w:usb2="02000000" w:usb3="00000000" w:csb0="60000193" w:csb1="0DD40000"/>
  </w:font>
  <w:font w:name="Times New Roman Regular">
    <w:panose1 w:val="02020603050405020304"/>
    <w:charset w:val="00"/>
    <w:family w:val="auto"/>
    <w:pitch w:val="default"/>
    <w:sig w:usb0="E0002AEF" w:usb1="C0007841" w:usb2="00000009" w:usb3="00000000" w:csb0="400001FF" w:csb1="FFFF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pPr>
          <w:pStyle w:val="15"/>
          <w:pBdr>
            <w:top w:val="single" w:color="44546A" w:themeColor="text2" w:sz="4" w:space="1"/>
          </w:pBdr>
          <w:jc w:val="center"/>
          <w:rPr>
            <w:sz w:val="12"/>
            <w:szCs w:val="12"/>
          </w:rPr>
        </w:pPr>
      </w:p>
      <w:p>
        <w:pPr>
          <w:pStyle w:val="15"/>
          <w:pBdr>
            <w:top w:val="single" w:color="44546A" w:themeColor="text2" w:sz="4" w:space="1"/>
          </w:pBdr>
          <w:jc w:val="center"/>
        </w:pPr>
        <w:r>
          <w:fldChar w:fldCharType="begin"/>
        </w:r>
        <w:r>
          <w:instrText xml:space="preserve"> PAGE   \* MERGEFORMAT </w:instrText>
        </w:r>
        <w:r>
          <w:fldChar w:fldCharType="separate"/>
        </w:r>
        <w: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single" w:color="44546A" w:themeColor="text2" w:sz="6" w:space="1"/>
      </w:pBdr>
    </w:pPr>
    <w:r>
      <w:drawing>
        <wp:anchor distT="0" distB="0" distL="114300" distR="114300" simplePos="0" relativeHeight="251659264" behindDoc="1" locked="0" layoutInCell="1" allowOverlap="1">
          <wp:simplePos x="0" y="0"/>
          <wp:positionH relativeFrom="column">
            <wp:posOffset>4292600</wp:posOffset>
          </wp:positionH>
          <wp:positionV relativeFrom="paragraph">
            <wp:posOffset>-36195</wp:posOffset>
          </wp:positionV>
          <wp:extent cx="1612265" cy="375920"/>
          <wp:effectExtent l="0" t="0" r="6985" b="5080"/>
          <wp:wrapTight wrapText="bothSides">
            <wp:wrapPolygon>
              <wp:start x="0" y="0"/>
              <wp:lineTo x="0" y="20797"/>
              <wp:lineTo x="21438" y="20797"/>
              <wp:lineTo x="2143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12265" cy="375920"/>
                  </a:xfrm>
                  <a:prstGeom prst="rect">
                    <a:avLst/>
                  </a:prstGeom>
                  <a:noFill/>
                  <a:ln>
                    <a:noFill/>
                  </a:ln>
                </pic:spPr>
              </pic:pic>
            </a:graphicData>
          </a:graphic>
        </wp:anchor>
      </w:drawing>
    </w:r>
    <w:sdt>
      <w:sdtPr>
        <w:alias w:val="Title"/>
        <w:id w:val="410510079"/>
        <w:placeholder>
          <w:docPart w:val="9D8C11EF4FF64D20BF4A583FBB347240"/>
        </w:placeholder>
        <w:text/>
      </w:sdtPr>
      <w:sdtContent>
        <w:r>
          <w:t>[Project title. This will flow through to the header]</w:t>
        </w:r>
      </w:sdtContent>
    </w:sdt>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spacing w:after="40"/>
      <w:jc w:val="right"/>
    </w:pPr>
    <w:r>
      <w:drawing>
        <wp:inline distT="0" distB="0" distL="0" distR="0">
          <wp:extent cx="1759585" cy="410210"/>
          <wp:effectExtent l="0" t="0" r="0" b="8890"/>
          <wp:docPr id="4" name="Picture 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drawing&#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787527" cy="417089"/>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single" w:color="44546A" w:themeColor="text2" w:sz="6" w:space="1"/>
      </w:pBdr>
    </w:pPr>
    <w:r>
      <w:drawing>
        <wp:anchor distT="0" distB="0" distL="114300" distR="114300" simplePos="0" relativeHeight="251660288" behindDoc="1" locked="0" layoutInCell="1" allowOverlap="1">
          <wp:simplePos x="0" y="0"/>
          <wp:positionH relativeFrom="column">
            <wp:posOffset>4292600</wp:posOffset>
          </wp:positionH>
          <wp:positionV relativeFrom="paragraph">
            <wp:posOffset>-36195</wp:posOffset>
          </wp:positionV>
          <wp:extent cx="1612265" cy="375920"/>
          <wp:effectExtent l="0" t="0" r="6985" b="5080"/>
          <wp:wrapTight wrapText="bothSides">
            <wp:wrapPolygon>
              <wp:start x="0" y="0"/>
              <wp:lineTo x="0" y="20797"/>
              <wp:lineTo x="21438" y="20797"/>
              <wp:lineTo x="21438"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12265" cy="375920"/>
                  </a:xfrm>
                  <a:prstGeom prst="rect">
                    <a:avLst/>
                  </a:prstGeom>
                  <a:noFill/>
                  <a:ln>
                    <a:noFill/>
                  </a:ln>
                </pic:spPr>
              </pic:pic>
            </a:graphicData>
          </a:graphic>
        </wp:anchor>
      </w:drawing>
    </w:r>
    <w:sdt>
      <w:sdtPr>
        <w:alias w:val="Title"/>
        <w:id w:val="1466616486"/>
        <w:placeholder>
          <w:docPart w:val="617B481C97754047A78F285E3CD7A6B3"/>
        </w:placeholder>
        <w:text/>
      </w:sdtPr>
      <w:sdtContent>
        <w:r>
          <w:t>[Project title. This will flow through to the header]</w:t>
        </w:r>
      </w:sdtContent>
    </w:sdt>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7872D7"/>
    <w:multiLevelType w:val="multilevel"/>
    <w:tmpl w:val="097872D7"/>
    <w:lvl w:ilvl="0" w:tentative="0">
      <w:start w:val="1"/>
      <w:numFmt w:val="bullet"/>
      <w:lvlText w:val="□"/>
      <w:lvlJc w:val="left"/>
      <w:pPr>
        <w:ind w:left="360" w:hanging="360"/>
      </w:pPr>
      <w:rPr>
        <w:rFonts w:hint="default" w:ascii="Cambria" w:hAnsi="Cambria"/>
        <w:color w:val="00274C" w:themeColor="accent1"/>
        <w14:textFill>
          <w14:solidFill>
            <w14:schemeClr w14:val="accent1"/>
          </w14:solidFill>
        </w14:textFill>
      </w:rPr>
    </w:lvl>
    <w:lvl w:ilvl="1" w:tentative="0">
      <w:start w:val="1"/>
      <w:numFmt w:val="bullet"/>
      <w:lvlText w:val=""/>
      <w:lvlJc w:val="left"/>
      <w:pPr>
        <w:ind w:left="720" w:hanging="360"/>
      </w:pPr>
      <w:rPr>
        <w:rFonts w:hint="default" w:ascii="Symbol" w:hAnsi="Symbol"/>
        <w:color w:val="00274C" w:themeColor="accent1"/>
        <w14:textFill>
          <w14:solidFill>
            <w14:schemeClr w14:val="accent1"/>
          </w14:solidFill>
        </w14:textFill>
      </w:rPr>
    </w:lvl>
    <w:lvl w:ilvl="2" w:tentative="0">
      <w:start w:val="1"/>
      <w:numFmt w:val="bullet"/>
      <w:lvlText w:val=""/>
      <w:lvlJc w:val="left"/>
      <w:pPr>
        <w:ind w:left="1080" w:hanging="360"/>
      </w:pPr>
      <w:rPr>
        <w:rFonts w:hint="default" w:ascii="Symbol" w:hAnsi="Symbol"/>
        <w:color w:val="00274C" w:themeColor="accent1"/>
        <w14:textFill>
          <w14:solidFill>
            <w14:schemeClr w14:val="accent1"/>
          </w14:solidFill>
        </w14:textFill>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1">
    <w:nsid w:val="19743A03"/>
    <w:multiLevelType w:val="multilevel"/>
    <w:tmpl w:val="19743A03"/>
    <w:lvl w:ilvl="0" w:tentative="0">
      <w:start w:val="1"/>
      <w:numFmt w:val="bullet"/>
      <w:lvlText w:val="□"/>
      <w:lvlJc w:val="left"/>
      <w:pPr>
        <w:ind w:left="360" w:hanging="360"/>
      </w:pPr>
      <w:rPr>
        <w:rFonts w:hint="default" w:ascii="Cambria" w:hAnsi="Cambria"/>
        <w:color w:val="00274C" w:themeColor="accent1"/>
        <w14:textFill>
          <w14:solidFill>
            <w14:schemeClr w14:val="accent1"/>
          </w14:solidFill>
        </w14:textFill>
      </w:rPr>
    </w:lvl>
    <w:lvl w:ilvl="1" w:tentative="0">
      <w:start w:val="1"/>
      <w:numFmt w:val="bullet"/>
      <w:lvlText w:val=""/>
      <w:lvlJc w:val="left"/>
      <w:pPr>
        <w:ind w:left="720" w:hanging="360"/>
      </w:pPr>
      <w:rPr>
        <w:rFonts w:hint="default" w:ascii="Symbol" w:hAnsi="Symbol"/>
        <w:color w:val="00274C" w:themeColor="accent1"/>
        <w14:textFill>
          <w14:solidFill>
            <w14:schemeClr w14:val="accent1"/>
          </w14:solidFill>
        </w14:textFill>
      </w:rPr>
    </w:lvl>
    <w:lvl w:ilvl="2" w:tentative="0">
      <w:start w:val="1"/>
      <w:numFmt w:val="bullet"/>
      <w:lvlText w:val=""/>
      <w:lvlJc w:val="left"/>
      <w:pPr>
        <w:ind w:left="1080" w:hanging="360"/>
      </w:pPr>
      <w:rPr>
        <w:rFonts w:hint="default" w:ascii="Symbol" w:hAnsi="Symbol"/>
        <w:color w:val="00274C" w:themeColor="accent1"/>
        <w14:textFill>
          <w14:solidFill>
            <w14:schemeClr w14:val="accent1"/>
          </w14:solidFill>
        </w14:textFill>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
    <w:nsid w:val="7C7E31CD"/>
    <w:multiLevelType w:val="multilevel"/>
    <w:tmpl w:val="7C7E31CD"/>
    <w:lvl w:ilvl="0" w:tentative="0">
      <w:start w:val="1"/>
      <w:numFmt w:val="bullet"/>
      <w:pStyle w:val="42"/>
      <w:lvlText w:val="□"/>
      <w:lvlJc w:val="left"/>
      <w:pPr>
        <w:ind w:left="360" w:hanging="360"/>
      </w:pPr>
      <w:rPr>
        <w:rFonts w:hint="default" w:ascii="Cambria" w:hAnsi="Cambria"/>
        <w:color w:val="44546A" w:themeColor="text2"/>
        <w14:textFill>
          <w14:solidFill>
            <w14:schemeClr w14:val="tx2"/>
          </w14:solidFill>
        </w14:textFill>
      </w:rPr>
    </w:lvl>
    <w:lvl w:ilvl="1" w:tentative="0">
      <w:start w:val="1"/>
      <w:numFmt w:val="bullet"/>
      <w:lvlText w:val="●"/>
      <w:lvlJc w:val="left"/>
      <w:pPr>
        <w:ind w:left="720" w:hanging="360"/>
      </w:pPr>
      <w:rPr>
        <w:rFonts w:hint="default" w:ascii="Garamond" w:hAnsi="Garamond"/>
        <w:color w:val="auto"/>
      </w:rPr>
    </w:lvl>
    <w:lvl w:ilvl="2" w:tentative="0">
      <w:start w:val="1"/>
      <w:numFmt w:val="bullet"/>
      <w:lvlText w:val="−"/>
      <w:lvlJc w:val="left"/>
      <w:pPr>
        <w:ind w:left="1080" w:hanging="360"/>
      </w:pPr>
      <w:rPr>
        <w:rFonts w:hint="default" w:ascii="Calibri" w:hAnsi="Calibri"/>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bordersDoNotSurroundHeader w:val="0"/>
  <w:bordersDoNotSurroundFooter w:val="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PWAFVersion" w:val="5.0"/>
  </w:docVars>
  <w:rsids>
    <w:rsidRoot w:val="005949A1"/>
    <w:rsid w:val="000155EC"/>
    <w:rsid w:val="00045A72"/>
    <w:rsid w:val="000A04BE"/>
    <w:rsid w:val="000A6D8C"/>
    <w:rsid w:val="000D6BAF"/>
    <w:rsid w:val="000E7270"/>
    <w:rsid w:val="000F28EC"/>
    <w:rsid w:val="000F40F9"/>
    <w:rsid w:val="001056F6"/>
    <w:rsid w:val="00111C0E"/>
    <w:rsid w:val="00137FDE"/>
    <w:rsid w:val="00152A31"/>
    <w:rsid w:val="00166C2D"/>
    <w:rsid w:val="001736B2"/>
    <w:rsid w:val="00215F62"/>
    <w:rsid w:val="00216FCB"/>
    <w:rsid w:val="0023682D"/>
    <w:rsid w:val="00247C44"/>
    <w:rsid w:val="00270ECE"/>
    <w:rsid w:val="002D60AA"/>
    <w:rsid w:val="002E580C"/>
    <w:rsid w:val="002F24C1"/>
    <w:rsid w:val="003020EB"/>
    <w:rsid w:val="003076B1"/>
    <w:rsid w:val="00312047"/>
    <w:rsid w:val="00317BEB"/>
    <w:rsid w:val="00321A87"/>
    <w:rsid w:val="0033189C"/>
    <w:rsid w:val="00341B33"/>
    <w:rsid w:val="0034755B"/>
    <w:rsid w:val="00357B48"/>
    <w:rsid w:val="00362A53"/>
    <w:rsid w:val="003C658B"/>
    <w:rsid w:val="003C7B18"/>
    <w:rsid w:val="003D3579"/>
    <w:rsid w:val="003D4620"/>
    <w:rsid w:val="003F199D"/>
    <w:rsid w:val="00407CD4"/>
    <w:rsid w:val="00415035"/>
    <w:rsid w:val="004305F0"/>
    <w:rsid w:val="0045055B"/>
    <w:rsid w:val="00460114"/>
    <w:rsid w:val="00461A32"/>
    <w:rsid w:val="00467D75"/>
    <w:rsid w:val="00474CD7"/>
    <w:rsid w:val="004774A6"/>
    <w:rsid w:val="004B6A01"/>
    <w:rsid w:val="004B6B6B"/>
    <w:rsid w:val="004C2BA8"/>
    <w:rsid w:val="004D0180"/>
    <w:rsid w:val="004E4065"/>
    <w:rsid w:val="005256E3"/>
    <w:rsid w:val="00532AB9"/>
    <w:rsid w:val="005618D5"/>
    <w:rsid w:val="0056237A"/>
    <w:rsid w:val="00564246"/>
    <w:rsid w:val="005716DA"/>
    <w:rsid w:val="005949A1"/>
    <w:rsid w:val="005E08CC"/>
    <w:rsid w:val="005F611D"/>
    <w:rsid w:val="00604C82"/>
    <w:rsid w:val="006176D5"/>
    <w:rsid w:val="00630F00"/>
    <w:rsid w:val="00636EF0"/>
    <w:rsid w:val="00644132"/>
    <w:rsid w:val="006628E2"/>
    <w:rsid w:val="00673A64"/>
    <w:rsid w:val="00674E9E"/>
    <w:rsid w:val="006801A0"/>
    <w:rsid w:val="0069667F"/>
    <w:rsid w:val="006A4530"/>
    <w:rsid w:val="006B165F"/>
    <w:rsid w:val="006B3D48"/>
    <w:rsid w:val="006C643C"/>
    <w:rsid w:val="006D6108"/>
    <w:rsid w:val="006E79A7"/>
    <w:rsid w:val="006F33F6"/>
    <w:rsid w:val="006F7B84"/>
    <w:rsid w:val="0071414B"/>
    <w:rsid w:val="007154F6"/>
    <w:rsid w:val="00715C61"/>
    <w:rsid w:val="00723E28"/>
    <w:rsid w:val="00725E01"/>
    <w:rsid w:val="007462FD"/>
    <w:rsid w:val="00766BCE"/>
    <w:rsid w:val="00787B33"/>
    <w:rsid w:val="007914BC"/>
    <w:rsid w:val="00795F63"/>
    <w:rsid w:val="007A583F"/>
    <w:rsid w:val="007B71AA"/>
    <w:rsid w:val="007C4002"/>
    <w:rsid w:val="007D6801"/>
    <w:rsid w:val="007E2CDB"/>
    <w:rsid w:val="007F4F9B"/>
    <w:rsid w:val="008116B3"/>
    <w:rsid w:val="008726B9"/>
    <w:rsid w:val="00872987"/>
    <w:rsid w:val="0088425E"/>
    <w:rsid w:val="008903B5"/>
    <w:rsid w:val="008C43C3"/>
    <w:rsid w:val="008F5BFF"/>
    <w:rsid w:val="00907D9D"/>
    <w:rsid w:val="009319A0"/>
    <w:rsid w:val="00934DA4"/>
    <w:rsid w:val="0094174A"/>
    <w:rsid w:val="00972F1E"/>
    <w:rsid w:val="009C2433"/>
    <w:rsid w:val="009D1890"/>
    <w:rsid w:val="009E5545"/>
    <w:rsid w:val="00A0561F"/>
    <w:rsid w:val="00A05DF9"/>
    <w:rsid w:val="00A121DA"/>
    <w:rsid w:val="00A30EF8"/>
    <w:rsid w:val="00A62FBF"/>
    <w:rsid w:val="00A83157"/>
    <w:rsid w:val="00A91A9F"/>
    <w:rsid w:val="00AA1AD0"/>
    <w:rsid w:val="00AB72B5"/>
    <w:rsid w:val="00AC0CEA"/>
    <w:rsid w:val="00AC24E1"/>
    <w:rsid w:val="00AC24FF"/>
    <w:rsid w:val="00AD1DF4"/>
    <w:rsid w:val="00AD794B"/>
    <w:rsid w:val="00AF5BE5"/>
    <w:rsid w:val="00B274B9"/>
    <w:rsid w:val="00B64CD2"/>
    <w:rsid w:val="00B74EF4"/>
    <w:rsid w:val="00B85B36"/>
    <w:rsid w:val="00B97E3B"/>
    <w:rsid w:val="00BB5305"/>
    <w:rsid w:val="00BC0E72"/>
    <w:rsid w:val="00BD09F0"/>
    <w:rsid w:val="00BD3AB7"/>
    <w:rsid w:val="00BF371D"/>
    <w:rsid w:val="00BF3FA8"/>
    <w:rsid w:val="00C03AE2"/>
    <w:rsid w:val="00C07B47"/>
    <w:rsid w:val="00C14B03"/>
    <w:rsid w:val="00C6651D"/>
    <w:rsid w:val="00C7168D"/>
    <w:rsid w:val="00C8228D"/>
    <w:rsid w:val="00CA076F"/>
    <w:rsid w:val="00CA4784"/>
    <w:rsid w:val="00CB2ABA"/>
    <w:rsid w:val="00CB4C0F"/>
    <w:rsid w:val="00CD5B21"/>
    <w:rsid w:val="00CE0BB5"/>
    <w:rsid w:val="00CF0D31"/>
    <w:rsid w:val="00CF2F16"/>
    <w:rsid w:val="00D332F4"/>
    <w:rsid w:val="00D33EDD"/>
    <w:rsid w:val="00D401D6"/>
    <w:rsid w:val="00D921AE"/>
    <w:rsid w:val="00D953DB"/>
    <w:rsid w:val="00D979A1"/>
    <w:rsid w:val="00DA146A"/>
    <w:rsid w:val="00DA4824"/>
    <w:rsid w:val="00DB23F4"/>
    <w:rsid w:val="00DB64DF"/>
    <w:rsid w:val="00DB7C48"/>
    <w:rsid w:val="00DD557F"/>
    <w:rsid w:val="00DF2FAB"/>
    <w:rsid w:val="00E058E0"/>
    <w:rsid w:val="00E102A8"/>
    <w:rsid w:val="00E5025A"/>
    <w:rsid w:val="00E5076B"/>
    <w:rsid w:val="00E7140B"/>
    <w:rsid w:val="00E742C9"/>
    <w:rsid w:val="00E746C1"/>
    <w:rsid w:val="00EA0C43"/>
    <w:rsid w:val="00ED7E8A"/>
    <w:rsid w:val="00EE5AA1"/>
    <w:rsid w:val="00EF55C8"/>
    <w:rsid w:val="00F15D69"/>
    <w:rsid w:val="00F2615F"/>
    <w:rsid w:val="00F34279"/>
    <w:rsid w:val="00F3624A"/>
    <w:rsid w:val="00F77566"/>
    <w:rsid w:val="00FA0F84"/>
    <w:rsid w:val="00FA1F7B"/>
    <w:rsid w:val="00FA653C"/>
    <w:rsid w:val="3D7F59FA"/>
    <w:rsid w:val="557DD09E"/>
    <w:rsid w:val="5CFD0C1D"/>
    <w:rsid w:val="5DBFA0D6"/>
    <w:rsid w:val="5F1662D7"/>
    <w:rsid w:val="6E554F93"/>
    <w:rsid w:val="7FB74044"/>
    <w:rsid w:val="9FFBB070"/>
    <w:rsid w:val="BFFB69EA"/>
    <w:rsid w:val="BFFF4730"/>
    <w:rsid w:val="CDFC6B7B"/>
    <w:rsid w:val="DDB62F04"/>
    <w:rsid w:val="EF54AE80"/>
    <w:rsid w:val="FFFE20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40" w:lineRule="auto"/>
    </w:pPr>
    <w:rPr>
      <w:rFonts w:ascii="News Gothic MT" w:hAnsi="News Gothic MT" w:eastAsiaTheme="minorEastAsia" w:cstheme="minorBidi"/>
      <w:sz w:val="21"/>
      <w:szCs w:val="21"/>
      <w:lang w:val="en-US" w:eastAsia="en-US" w:bidi="ar-SA"/>
    </w:rPr>
  </w:style>
  <w:style w:type="paragraph" w:styleId="2">
    <w:name w:val="heading 1"/>
    <w:basedOn w:val="1"/>
    <w:next w:val="1"/>
    <w:link w:val="36"/>
    <w:qFormat/>
    <w:uiPriority w:val="9"/>
    <w:pPr>
      <w:keepNext/>
      <w:keepLines/>
      <w:spacing w:before="120"/>
      <w:outlineLvl w:val="0"/>
    </w:pPr>
    <w:rPr>
      <w:rFonts w:eastAsiaTheme="majorEastAsia" w:cstheme="majorBidi"/>
      <w:color w:val="001D39" w:themeColor="accent1" w:themeShade="BF"/>
      <w:sz w:val="40"/>
      <w:szCs w:val="40"/>
    </w:rPr>
  </w:style>
  <w:style w:type="paragraph" w:styleId="3">
    <w:name w:val="heading 2"/>
    <w:basedOn w:val="1"/>
    <w:next w:val="1"/>
    <w:link w:val="37"/>
    <w:unhideWhenUsed/>
    <w:qFormat/>
    <w:uiPriority w:val="9"/>
    <w:pPr>
      <w:keepNext/>
      <w:keepLines/>
      <w:spacing w:before="80"/>
      <w:outlineLvl w:val="1"/>
    </w:pPr>
    <w:rPr>
      <w:rFonts w:eastAsiaTheme="majorEastAsia" w:cstheme="majorBidi"/>
      <w:sz w:val="32"/>
      <w:szCs w:val="32"/>
    </w:rPr>
  </w:style>
  <w:style w:type="paragraph" w:styleId="4">
    <w:name w:val="heading 3"/>
    <w:basedOn w:val="1"/>
    <w:next w:val="1"/>
    <w:link w:val="38"/>
    <w:unhideWhenUsed/>
    <w:qFormat/>
    <w:uiPriority w:val="9"/>
    <w:pPr>
      <w:keepNext/>
      <w:keepLines/>
      <w:spacing w:before="40"/>
      <w:outlineLvl w:val="2"/>
    </w:pPr>
    <w:rPr>
      <w:rFonts w:eastAsiaTheme="majorEastAsia" w:cstheme="majorBidi"/>
      <w:sz w:val="28"/>
      <w:szCs w:val="32"/>
    </w:rPr>
  </w:style>
  <w:style w:type="paragraph" w:styleId="5">
    <w:name w:val="heading 4"/>
    <w:basedOn w:val="1"/>
    <w:next w:val="1"/>
    <w:link w:val="39"/>
    <w:unhideWhenUsed/>
    <w:qFormat/>
    <w:uiPriority w:val="9"/>
    <w:pPr>
      <w:keepNext/>
      <w:keepLines/>
      <w:spacing w:before="80" w:after="0"/>
      <w:outlineLvl w:val="3"/>
    </w:pPr>
    <w:rPr>
      <w:rFonts w:asciiTheme="majorHAnsi" w:hAnsiTheme="majorHAnsi" w:eastAsiaTheme="majorEastAsia" w:cstheme="majorBidi"/>
      <w:i/>
      <w:iCs/>
      <w:sz w:val="30"/>
      <w:szCs w:val="30"/>
    </w:rPr>
  </w:style>
  <w:style w:type="paragraph" w:styleId="6">
    <w:name w:val="heading 5"/>
    <w:basedOn w:val="1"/>
    <w:next w:val="1"/>
    <w:link w:val="49"/>
    <w:semiHidden/>
    <w:unhideWhenUsed/>
    <w:qFormat/>
    <w:uiPriority w:val="9"/>
    <w:pPr>
      <w:keepNext/>
      <w:keepLines/>
      <w:spacing w:before="40" w:after="0"/>
      <w:outlineLvl w:val="4"/>
    </w:pPr>
    <w:rPr>
      <w:rFonts w:asciiTheme="majorHAnsi" w:hAnsiTheme="majorHAnsi" w:eastAsiaTheme="majorEastAsia" w:cstheme="majorBidi"/>
      <w:sz w:val="28"/>
      <w:szCs w:val="28"/>
    </w:rPr>
  </w:style>
  <w:style w:type="paragraph" w:styleId="7">
    <w:name w:val="heading 6"/>
    <w:basedOn w:val="1"/>
    <w:next w:val="1"/>
    <w:link w:val="50"/>
    <w:semiHidden/>
    <w:unhideWhenUsed/>
    <w:qFormat/>
    <w:uiPriority w:val="9"/>
    <w:pPr>
      <w:keepNext/>
      <w:keepLines/>
      <w:spacing w:before="40" w:after="0"/>
      <w:outlineLvl w:val="5"/>
    </w:pPr>
    <w:rPr>
      <w:rFonts w:asciiTheme="majorHAnsi" w:hAnsiTheme="majorHAnsi" w:eastAsiaTheme="majorEastAsia" w:cstheme="majorBidi"/>
      <w:i/>
      <w:iCs/>
      <w:sz w:val="26"/>
      <w:szCs w:val="26"/>
    </w:rPr>
  </w:style>
  <w:style w:type="paragraph" w:styleId="8">
    <w:name w:val="heading 7"/>
    <w:basedOn w:val="1"/>
    <w:next w:val="1"/>
    <w:link w:val="51"/>
    <w:semiHidden/>
    <w:unhideWhenUsed/>
    <w:qFormat/>
    <w:uiPriority w:val="9"/>
    <w:pPr>
      <w:keepNext/>
      <w:keepLines/>
      <w:spacing w:before="40" w:after="0"/>
      <w:outlineLvl w:val="6"/>
    </w:pPr>
    <w:rPr>
      <w:rFonts w:asciiTheme="majorHAnsi" w:hAnsiTheme="majorHAnsi" w:eastAsiaTheme="majorEastAsia" w:cstheme="majorBidi"/>
      <w:sz w:val="24"/>
      <w:szCs w:val="24"/>
    </w:rPr>
  </w:style>
  <w:style w:type="paragraph" w:styleId="9">
    <w:name w:val="heading 8"/>
    <w:basedOn w:val="1"/>
    <w:next w:val="1"/>
    <w:link w:val="52"/>
    <w:semiHidden/>
    <w:unhideWhenUsed/>
    <w:qFormat/>
    <w:uiPriority w:val="9"/>
    <w:pPr>
      <w:keepNext/>
      <w:keepLines/>
      <w:spacing w:before="40" w:after="0"/>
      <w:outlineLvl w:val="7"/>
    </w:pPr>
    <w:rPr>
      <w:rFonts w:asciiTheme="majorHAnsi" w:hAnsiTheme="majorHAnsi" w:eastAsiaTheme="majorEastAsia" w:cstheme="majorBidi"/>
      <w:i/>
      <w:iCs/>
      <w:sz w:val="22"/>
      <w:szCs w:val="22"/>
    </w:rPr>
  </w:style>
  <w:style w:type="paragraph" w:styleId="10">
    <w:name w:val="heading 9"/>
    <w:basedOn w:val="1"/>
    <w:next w:val="1"/>
    <w:link w:val="53"/>
    <w:semiHidden/>
    <w:unhideWhenUsed/>
    <w:qFormat/>
    <w:uiPriority w:val="9"/>
    <w:pPr>
      <w:keepNext/>
      <w:keepLines/>
      <w:spacing w:before="40" w:after="0"/>
      <w:outlineLvl w:val="8"/>
    </w:pPr>
    <w:rPr>
      <w:b/>
      <w:bCs/>
      <w:i/>
      <w:iCs/>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unhideWhenUsed/>
    <w:qFormat/>
    <w:uiPriority w:val="35"/>
    <w:pPr>
      <w:keepNext/>
      <w:jc w:val="center"/>
    </w:pPr>
    <w:rPr>
      <w:b/>
      <w:bCs/>
      <w:color w:val="404040" w:themeColor="text1" w:themeTint="BF"/>
      <w:sz w:val="20"/>
      <w:szCs w:val="16"/>
      <w14:textFill>
        <w14:solidFill>
          <w14:schemeClr w14:val="tx1">
            <w14:lumMod w14:val="75000"/>
            <w14:lumOff w14:val="25000"/>
          </w14:schemeClr>
        </w14:solidFill>
      </w14:textFill>
    </w:rPr>
  </w:style>
  <w:style w:type="character" w:styleId="14">
    <w:name w:val="Emphasis"/>
    <w:basedOn w:val="11"/>
    <w:qFormat/>
    <w:uiPriority w:val="20"/>
    <w:rPr>
      <w:i/>
      <w:iCs/>
      <w:color w:val="000000" w:themeColor="text1"/>
      <w14:textFill>
        <w14:solidFill>
          <w14:schemeClr w14:val="tx1"/>
        </w14:solidFill>
      </w14:textFill>
    </w:rPr>
  </w:style>
  <w:style w:type="paragraph" w:styleId="15">
    <w:name w:val="footer"/>
    <w:basedOn w:val="1"/>
    <w:link w:val="60"/>
    <w:unhideWhenUsed/>
    <w:uiPriority w:val="99"/>
    <w:pPr>
      <w:tabs>
        <w:tab w:val="center" w:pos="4680"/>
        <w:tab w:val="right" w:pos="9360"/>
      </w:tabs>
      <w:spacing w:after="0"/>
    </w:pPr>
  </w:style>
  <w:style w:type="character" w:styleId="16">
    <w:name w:val="footnote reference"/>
    <w:basedOn w:val="11"/>
    <w:semiHidden/>
    <w:unhideWhenUsed/>
    <w:uiPriority w:val="99"/>
    <w:rPr>
      <w:vertAlign w:val="superscript"/>
    </w:rPr>
  </w:style>
  <w:style w:type="paragraph" w:styleId="17">
    <w:name w:val="footnote text"/>
    <w:basedOn w:val="1"/>
    <w:link w:val="63"/>
    <w:semiHidden/>
    <w:unhideWhenUsed/>
    <w:uiPriority w:val="99"/>
    <w:pPr>
      <w:spacing w:after="0"/>
    </w:pPr>
    <w:rPr>
      <w:sz w:val="20"/>
      <w:szCs w:val="20"/>
    </w:rPr>
  </w:style>
  <w:style w:type="paragraph" w:styleId="18">
    <w:name w:val="header"/>
    <w:basedOn w:val="1"/>
    <w:link w:val="59"/>
    <w:unhideWhenUsed/>
    <w:uiPriority w:val="99"/>
    <w:pPr>
      <w:tabs>
        <w:tab w:val="center" w:pos="4680"/>
        <w:tab w:val="right" w:pos="9360"/>
      </w:tabs>
      <w:spacing w:after="0"/>
    </w:pPr>
    <w:rPr>
      <w:sz w:val="16"/>
    </w:rPr>
  </w:style>
  <w:style w:type="character" w:styleId="19">
    <w:name w:val="Hyperlink"/>
    <w:basedOn w:val="11"/>
    <w:unhideWhenUsed/>
    <w:uiPriority w:val="99"/>
    <w:rPr>
      <w:rFonts w:ascii="News Gothic MT" w:hAnsi="News Gothic MT"/>
      <w:color w:val="0563C1" w:themeColor="hyperlink"/>
      <w:u w:val="single"/>
      <w14:textFill>
        <w14:solidFill>
          <w14:schemeClr w14:val="hlink"/>
        </w14:solidFill>
      </w14:textFill>
    </w:rPr>
  </w:style>
  <w:style w:type="character" w:styleId="20">
    <w:name w:val="line number"/>
    <w:basedOn w:val="11"/>
    <w:semiHidden/>
    <w:unhideWhenUsed/>
    <w:uiPriority w:val="99"/>
  </w:style>
  <w:style w:type="character" w:styleId="21">
    <w:name w:val="Strong"/>
    <w:basedOn w:val="11"/>
    <w:qFormat/>
    <w:uiPriority w:val="22"/>
    <w:rPr>
      <w:b/>
      <w:bCs/>
    </w:rPr>
  </w:style>
  <w:style w:type="paragraph" w:styleId="22">
    <w:name w:val="Subtitle"/>
    <w:basedOn w:val="1"/>
    <w:next w:val="1"/>
    <w:link w:val="54"/>
    <w:qFormat/>
    <w:uiPriority w:val="11"/>
    <w:pPr>
      <w:jc w:val="center"/>
    </w:pPr>
    <w:rPr>
      <w:color w:val="44546A" w:themeColor="text2"/>
      <w:sz w:val="28"/>
      <w:szCs w:val="28"/>
      <w14:textFill>
        <w14:solidFill>
          <w14:schemeClr w14:val="tx2"/>
        </w14:solidFill>
      </w14:textFill>
    </w:rPr>
  </w:style>
  <w:style w:type="table" w:styleId="23">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able of figures"/>
    <w:basedOn w:val="1"/>
    <w:next w:val="1"/>
    <w:unhideWhenUsed/>
    <w:uiPriority w:val="99"/>
    <w:pPr>
      <w:spacing w:after="0"/>
    </w:pPr>
  </w:style>
  <w:style w:type="paragraph" w:styleId="25">
    <w:name w:val="Title"/>
    <w:basedOn w:val="1"/>
    <w:next w:val="1"/>
    <w:link w:val="40"/>
    <w:qFormat/>
    <w:uiPriority w:val="10"/>
    <w:pPr>
      <w:pBdr>
        <w:top w:val="single" w:color="A5A5A5" w:themeColor="accent3" w:sz="6" w:space="8"/>
        <w:bottom w:val="single" w:color="A5A5A5" w:themeColor="accent3" w:sz="6" w:space="8"/>
      </w:pBdr>
      <w:spacing w:after="400"/>
      <w:contextualSpacing/>
      <w:jc w:val="center"/>
    </w:pPr>
    <w:rPr>
      <w:rFonts w:eastAsiaTheme="majorEastAsia" w:cstheme="majorBidi"/>
      <w:color w:val="44546A" w:themeColor="text2"/>
      <w:sz w:val="40"/>
      <w:szCs w:val="72"/>
      <w14:textFill>
        <w14:solidFill>
          <w14:schemeClr w14:val="tx2"/>
        </w14:solidFill>
      </w14:textFill>
    </w:rPr>
  </w:style>
  <w:style w:type="paragraph" w:styleId="26">
    <w:name w:val="toc 1"/>
    <w:basedOn w:val="1"/>
    <w:next w:val="1"/>
    <w:autoRedefine/>
    <w:unhideWhenUsed/>
    <w:uiPriority w:val="39"/>
    <w:pPr>
      <w:spacing w:before="240" w:after="0"/>
    </w:pPr>
    <w:rPr>
      <w:rFonts w:asciiTheme="majorHAnsi" w:hAnsiTheme="majorHAnsi"/>
      <w:b/>
      <w:bCs/>
      <w:caps/>
      <w:sz w:val="24"/>
      <w:szCs w:val="24"/>
    </w:rPr>
  </w:style>
  <w:style w:type="paragraph" w:styleId="27">
    <w:name w:val="toc 2"/>
    <w:basedOn w:val="1"/>
    <w:next w:val="1"/>
    <w:autoRedefine/>
    <w:unhideWhenUsed/>
    <w:uiPriority w:val="39"/>
    <w:pPr>
      <w:spacing w:before="120" w:after="0"/>
    </w:pPr>
    <w:rPr>
      <w:b/>
      <w:bCs/>
      <w:sz w:val="20"/>
      <w:szCs w:val="20"/>
    </w:rPr>
  </w:style>
  <w:style w:type="paragraph" w:styleId="28">
    <w:name w:val="toc 3"/>
    <w:basedOn w:val="1"/>
    <w:next w:val="1"/>
    <w:autoRedefine/>
    <w:unhideWhenUsed/>
    <w:uiPriority w:val="39"/>
    <w:pPr>
      <w:spacing w:after="0"/>
      <w:ind w:left="210"/>
    </w:pPr>
    <w:rPr>
      <w:sz w:val="20"/>
      <w:szCs w:val="20"/>
    </w:rPr>
  </w:style>
  <w:style w:type="paragraph" w:styleId="29">
    <w:name w:val="toc 4"/>
    <w:basedOn w:val="1"/>
    <w:next w:val="1"/>
    <w:autoRedefine/>
    <w:unhideWhenUsed/>
    <w:uiPriority w:val="39"/>
    <w:pPr>
      <w:spacing w:after="0"/>
      <w:ind w:left="420"/>
    </w:pPr>
    <w:rPr>
      <w:sz w:val="20"/>
      <w:szCs w:val="20"/>
    </w:rPr>
  </w:style>
  <w:style w:type="paragraph" w:styleId="30">
    <w:name w:val="toc 5"/>
    <w:basedOn w:val="1"/>
    <w:next w:val="1"/>
    <w:autoRedefine/>
    <w:unhideWhenUsed/>
    <w:uiPriority w:val="39"/>
    <w:pPr>
      <w:spacing w:after="0"/>
      <w:ind w:left="630"/>
    </w:pPr>
    <w:rPr>
      <w:sz w:val="20"/>
      <w:szCs w:val="20"/>
    </w:rPr>
  </w:style>
  <w:style w:type="paragraph" w:styleId="31">
    <w:name w:val="toc 6"/>
    <w:basedOn w:val="1"/>
    <w:next w:val="1"/>
    <w:autoRedefine/>
    <w:unhideWhenUsed/>
    <w:uiPriority w:val="39"/>
    <w:pPr>
      <w:spacing w:after="0"/>
      <w:ind w:left="840"/>
    </w:pPr>
    <w:rPr>
      <w:sz w:val="20"/>
      <w:szCs w:val="20"/>
    </w:rPr>
  </w:style>
  <w:style w:type="paragraph" w:styleId="32">
    <w:name w:val="toc 7"/>
    <w:basedOn w:val="1"/>
    <w:next w:val="1"/>
    <w:autoRedefine/>
    <w:unhideWhenUsed/>
    <w:uiPriority w:val="39"/>
    <w:pPr>
      <w:spacing w:after="0"/>
      <w:ind w:left="1050"/>
    </w:pPr>
    <w:rPr>
      <w:sz w:val="20"/>
      <w:szCs w:val="20"/>
    </w:rPr>
  </w:style>
  <w:style w:type="paragraph" w:styleId="33">
    <w:name w:val="toc 8"/>
    <w:basedOn w:val="1"/>
    <w:next w:val="1"/>
    <w:autoRedefine/>
    <w:unhideWhenUsed/>
    <w:uiPriority w:val="39"/>
    <w:pPr>
      <w:spacing w:after="0"/>
      <w:ind w:left="1260"/>
    </w:pPr>
    <w:rPr>
      <w:sz w:val="20"/>
      <w:szCs w:val="20"/>
    </w:rPr>
  </w:style>
  <w:style w:type="paragraph" w:styleId="34">
    <w:name w:val="toc 9"/>
    <w:basedOn w:val="1"/>
    <w:next w:val="1"/>
    <w:autoRedefine/>
    <w:unhideWhenUsed/>
    <w:uiPriority w:val="39"/>
    <w:pPr>
      <w:spacing w:after="0"/>
      <w:ind w:left="1470"/>
    </w:pPr>
    <w:rPr>
      <w:sz w:val="20"/>
      <w:szCs w:val="20"/>
    </w:rPr>
  </w:style>
  <w:style w:type="paragraph" w:customStyle="1" w:styleId="35">
    <w:name w:val="Table text"/>
    <w:qFormat/>
    <w:uiPriority w:val="0"/>
    <w:pPr>
      <w:spacing w:after="0" w:line="240" w:lineRule="auto"/>
    </w:pPr>
    <w:rPr>
      <w:rFonts w:ascii="News Gothic MT" w:hAnsi="News Gothic MT" w:eastAsiaTheme="minorEastAsia" w:cstheme="minorBidi"/>
      <w:bCs/>
      <w:sz w:val="20"/>
      <w:szCs w:val="21"/>
      <w:lang w:val="en-US" w:eastAsia="en-US" w:bidi="ar-SA"/>
    </w:rPr>
  </w:style>
  <w:style w:type="character" w:customStyle="1" w:styleId="36">
    <w:name w:val="Heading 1 Char"/>
    <w:basedOn w:val="11"/>
    <w:link w:val="2"/>
    <w:uiPriority w:val="9"/>
    <w:rPr>
      <w:rFonts w:ascii="News Gothic MT" w:hAnsi="News Gothic MT" w:eastAsiaTheme="majorEastAsia" w:cstheme="majorBidi"/>
      <w:color w:val="001D39" w:themeColor="accent1" w:themeShade="BF"/>
      <w:sz w:val="40"/>
      <w:szCs w:val="40"/>
    </w:rPr>
  </w:style>
  <w:style w:type="character" w:customStyle="1" w:styleId="37">
    <w:name w:val="Heading 2 Char"/>
    <w:basedOn w:val="11"/>
    <w:link w:val="3"/>
    <w:uiPriority w:val="9"/>
    <w:rPr>
      <w:rFonts w:ascii="News Gothic MT" w:hAnsi="News Gothic MT" w:eastAsiaTheme="majorEastAsia" w:cstheme="majorBidi"/>
      <w:sz w:val="32"/>
      <w:szCs w:val="32"/>
    </w:rPr>
  </w:style>
  <w:style w:type="character" w:customStyle="1" w:styleId="38">
    <w:name w:val="Heading 3 Char"/>
    <w:basedOn w:val="11"/>
    <w:link w:val="4"/>
    <w:uiPriority w:val="9"/>
    <w:rPr>
      <w:rFonts w:ascii="News Gothic MT" w:hAnsi="News Gothic MT" w:eastAsiaTheme="majorEastAsia" w:cstheme="majorBidi"/>
      <w:sz w:val="28"/>
      <w:szCs w:val="32"/>
    </w:rPr>
  </w:style>
  <w:style w:type="character" w:customStyle="1" w:styleId="39">
    <w:name w:val="Heading 4 Char"/>
    <w:basedOn w:val="11"/>
    <w:link w:val="5"/>
    <w:uiPriority w:val="9"/>
    <w:rPr>
      <w:rFonts w:asciiTheme="majorHAnsi" w:hAnsiTheme="majorHAnsi" w:eastAsiaTheme="majorEastAsia" w:cstheme="majorBidi"/>
      <w:i/>
      <w:iCs/>
      <w:sz w:val="30"/>
      <w:szCs w:val="30"/>
    </w:rPr>
  </w:style>
  <w:style w:type="character" w:customStyle="1" w:styleId="40">
    <w:name w:val="Title Char"/>
    <w:basedOn w:val="11"/>
    <w:link w:val="25"/>
    <w:uiPriority w:val="10"/>
    <w:rPr>
      <w:rFonts w:ascii="News Gothic MT" w:hAnsi="News Gothic MT" w:eastAsiaTheme="majorEastAsia" w:cstheme="majorBidi"/>
      <w:color w:val="44546A" w:themeColor="text2"/>
      <w:sz w:val="40"/>
      <w:szCs w:val="72"/>
      <w14:textFill>
        <w14:solidFill>
          <w14:schemeClr w14:val="tx2"/>
        </w14:solidFill>
      </w14:textFill>
    </w:rPr>
  </w:style>
  <w:style w:type="paragraph" w:styleId="41">
    <w:name w:val="No Spacing"/>
    <w:qFormat/>
    <w:uiPriority w:val="1"/>
    <w:pPr>
      <w:spacing w:after="0" w:line="240" w:lineRule="auto"/>
    </w:pPr>
    <w:rPr>
      <w:rFonts w:asciiTheme="minorHAnsi" w:hAnsiTheme="minorHAnsi" w:eastAsiaTheme="minorEastAsia" w:cstheme="minorBidi"/>
      <w:sz w:val="21"/>
      <w:szCs w:val="21"/>
      <w:lang w:val="en-US" w:eastAsia="en-US" w:bidi="ar-SA"/>
    </w:rPr>
  </w:style>
  <w:style w:type="paragraph" w:styleId="42">
    <w:name w:val="List Paragraph"/>
    <w:basedOn w:val="1"/>
    <w:qFormat/>
    <w:uiPriority w:val="34"/>
    <w:pPr>
      <w:numPr>
        <w:ilvl w:val="0"/>
        <w:numId w:val="1"/>
      </w:numPr>
      <w:contextualSpacing/>
    </w:pPr>
  </w:style>
  <w:style w:type="paragraph" w:styleId="43">
    <w:name w:val="Quote"/>
    <w:basedOn w:val="1"/>
    <w:next w:val="1"/>
    <w:link w:val="44"/>
    <w:qFormat/>
    <w:uiPriority w:val="29"/>
    <w:pPr>
      <w:spacing w:before="160"/>
      <w:ind w:left="720" w:right="720"/>
      <w:jc w:val="center"/>
    </w:pPr>
    <w:rPr>
      <w:i/>
      <w:iCs/>
      <w:color w:val="7C7C7C" w:themeColor="accent3" w:themeShade="BF"/>
      <w:sz w:val="24"/>
      <w:szCs w:val="24"/>
    </w:rPr>
  </w:style>
  <w:style w:type="character" w:customStyle="1" w:styleId="44">
    <w:name w:val="Quote Char"/>
    <w:basedOn w:val="11"/>
    <w:link w:val="43"/>
    <w:uiPriority w:val="29"/>
    <w:rPr>
      <w:i/>
      <w:iCs/>
      <w:color w:val="7C7C7C" w:themeColor="accent3" w:themeShade="BF"/>
      <w:sz w:val="24"/>
      <w:szCs w:val="24"/>
    </w:rPr>
  </w:style>
  <w:style w:type="character" w:customStyle="1" w:styleId="45">
    <w:name w:val="Subtle Emphasis"/>
    <w:basedOn w:val="11"/>
    <w:qFormat/>
    <w:uiPriority w:val="19"/>
    <w:rPr>
      <w:i/>
      <w:iCs/>
      <w:color w:val="595959" w:themeColor="text1" w:themeTint="A6"/>
      <w14:textFill>
        <w14:solidFill>
          <w14:schemeClr w14:val="tx1">
            <w14:lumMod w14:val="65000"/>
            <w14:lumOff w14:val="35000"/>
          </w14:schemeClr>
        </w14:solidFill>
      </w14:textFill>
    </w:rPr>
  </w:style>
  <w:style w:type="character" w:customStyle="1" w:styleId="46">
    <w:name w:val="Intense Emphasis"/>
    <w:basedOn w:val="11"/>
    <w:qFormat/>
    <w:uiPriority w:val="21"/>
    <w:rPr>
      <w:b/>
      <w:bCs/>
      <w:i/>
      <w:iCs/>
      <w:color w:val="auto"/>
    </w:rPr>
  </w:style>
  <w:style w:type="character" w:customStyle="1" w:styleId="47">
    <w:name w:val="Intense Reference"/>
    <w:basedOn w:val="11"/>
    <w:qFormat/>
    <w:uiPriority w:val="32"/>
    <w:rPr>
      <w:b/>
      <w:bCs/>
      <w:smallCaps/>
      <w:color w:val="auto"/>
      <w:spacing w:val="0"/>
      <w:u w:val="single"/>
    </w:rPr>
  </w:style>
  <w:style w:type="paragraph" w:customStyle="1" w:styleId="48">
    <w:name w:val="TOC Heading"/>
    <w:basedOn w:val="2"/>
    <w:next w:val="1"/>
    <w:unhideWhenUsed/>
    <w:qFormat/>
    <w:uiPriority w:val="39"/>
    <w:pPr>
      <w:outlineLvl w:val="9"/>
    </w:pPr>
  </w:style>
  <w:style w:type="character" w:customStyle="1" w:styleId="49">
    <w:name w:val="Heading 5 Char"/>
    <w:basedOn w:val="11"/>
    <w:link w:val="6"/>
    <w:semiHidden/>
    <w:uiPriority w:val="9"/>
    <w:rPr>
      <w:rFonts w:asciiTheme="majorHAnsi" w:hAnsiTheme="majorHAnsi" w:eastAsiaTheme="majorEastAsia" w:cstheme="majorBidi"/>
      <w:sz w:val="28"/>
      <w:szCs w:val="28"/>
    </w:rPr>
  </w:style>
  <w:style w:type="character" w:customStyle="1" w:styleId="50">
    <w:name w:val="Heading 6 Char"/>
    <w:basedOn w:val="11"/>
    <w:link w:val="7"/>
    <w:semiHidden/>
    <w:uiPriority w:val="9"/>
    <w:rPr>
      <w:rFonts w:asciiTheme="majorHAnsi" w:hAnsiTheme="majorHAnsi" w:eastAsiaTheme="majorEastAsia" w:cstheme="majorBidi"/>
      <w:i/>
      <w:iCs/>
      <w:sz w:val="26"/>
      <w:szCs w:val="26"/>
    </w:rPr>
  </w:style>
  <w:style w:type="character" w:customStyle="1" w:styleId="51">
    <w:name w:val="Heading 7 Char"/>
    <w:basedOn w:val="11"/>
    <w:link w:val="8"/>
    <w:semiHidden/>
    <w:uiPriority w:val="9"/>
    <w:rPr>
      <w:rFonts w:asciiTheme="majorHAnsi" w:hAnsiTheme="majorHAnsi" w:eastAsiaTheme="majorEastAsia" w:cstheme="majorBidi"/>
      <w:sz w:val="24"/>
      <w:szCs w:val="24"/>
    </w:rPr>
  </w:style>
  <w:style w:type="character" w:customStyle="1" w:styleId="52">
    <w:name w:val="Heading 8 Char"/>
    <w:basedOn w:val="11"/>
    <w:link w:val="9"/>
    <w:semiHidden/>
    <w:uiPriority w:val="9"/>
    <w:rPr>
      <w:rFonts w:asciiTheme="majorHAnsi" w:hAnsiTheme="majorHAnsi" w:eastAsiaTheme="majorEastAsia" w:cstheme="majorBidi"/>
      <w:i/>
      <w:iCs/>
      <w:sz w:val="22"/>
      <w:szCs w:val="22"/>
    </w:rPr>
  </w:style>
  <w:style w:type="character" w:customStyle="1" w:styleId="53">
    <w:name w:val="Heading 9 Char"/>
    <w:basedOn w:val="11"/>
    <w:link w:val="10"/>
    <w:semiHidden/>
    <w:uiPriority w:val="9"/>
    <w:rPr>
      <w:b/>
      <w:bCs/>
      <w:i/>
      <w:iCs/>
    </w:rPr>
  </w:style>
  <w:style w:type="character" w:customStyle="1" w:styleId="54">
    <w:name w:val="Subtitle Char"/>
    <w:basedOn w:val="11"/>
    <w:link w:val="22"/>
    <w:uiPriority w:val="11"/>
    <w:rPr>
      <w:color w:val="44546A" w:themeColor="text2"/>
      <w:sz w:val="28"/>
      <w:szCs w:val="28"/>
      <w14:textFill>
        <w14:solidFill>
          <w14:schemeClr w14:val="tx2"/>
        </w14:solidFill>
      </w14:textFill>
    </w:rPr>
  </w:style>
  <w:style w:type="paragraph" w:styleId="55">
    <w:name w:val="Intense Quote"/>
    <w:basedOn w:val="1"/>
    <w:next w:val="1"/>
    <w:link w:val="56"/>
    <w:qFormat/>
    <w:uiPriority w:val="30"/>
    <w:pPr>
      <w:spacing w:before="160" w:line="276" w:lineRule="auto"/>
      <w:ind w:left="936" w:right="936"/>
      <w:jc w:val="center"/>
    </w:pPr>
    <w:rPr>
      <w:rFonts w:asciiTheme="majorHAnsi" w:hAnsiTheme="majorHAnsi" w:eastAsiaTheme="majorEastAsia" w:cstheme="majorBidi"/>
      <w:caps/>
      <w:color w:val="001D39" w:themeColor="accent1" w:themeShade="BF"/>
      <w:sz w:val="28"/>
      <w:szCs w:val="28"/>
    </w:rPr>
  </w:style>
  <w:style w:type="character" w:customStyle="1" w:styleId="56">
    <w:name w:val="Intense Quote Char"/>
    <w:basedOn w:val="11"/>
    <w:link w:val="55"/>
    <w:uiPriority w:val="30"/>
    <w:rPr>
      <w:rFonts w:asciiTheme="majorHAnsi" w:hAnsiTheme="majorHAnsi" w:eastAsiaTheme="majorEastAsia" w:cstheme="majorBidi"/>
      <w:caps/>
      <w:color w:val="001D39" w:themeColor="accent1" w:themeShade="BF"/>
      <w:sz w:val="28"/>
      <w:szCs w:val="28"/>
    </w:rPr>
  </w:style>
  <w:style w:type="character" w:customStyle="1" w:styleId="57">
    <w:name w:val="Subtle Reference"/>
    <w:basedOn w:val="11"/>
    <w:qFormat/>
    <w:uiPriority w:val="31"/>
    <w:rPr>
      <w:smallCaps/>
      <w:color w:val="404040" w:themeColor="text1" w:themeTint="BF"/>
      <w:spacing w:val="0"/>
      <w:u w:val="single" w:color="7E7E7E" w:themeColor="text1" w:themeTint="80"/>
      <w14:textFill>
        <w14:solidFill>
          <w14:schemeClr w14:val="tx1">
            <w14:lumMod w14:val="75000"/>
            <w14:lumOff w14:val="25000"/>
          </w14:schemeClr>
        </w14:solidFill>
      </w14:textFill>
    </w:rPr>
  </w:style>
  <w:style w:type="character" w:customStyle="1" w:styleId="58">
    <w:name w:val="Book Title"/>
    <w:basedOn w:val="11"/>
    <w:qFormat/>
    <w:uiPriority w:val="33"/>
    <w:rPr>
      <w:b/>
      <w:bCs/>
      <w:smallCaps/>
      <w:spacing w:val="0"/>
    </w:rPr>
  </w:style>
  <w:style w:type="character" w:customStyle="1" w:styleId="59">
    <w:name w:val="Header Char"/>
    <w:basedOn w:val="11"/>
    <w:link w:val="18"/>
    <w:uiPriority w:val="99"/>
    <w:rPr>
      <w:rFonts w:ascii="News Gothic MT" w:hAnsi="News Gothic MT"/>
      <w:sz w:val="16"/>
    </w:rPr>
  </w:style>
  <w:style w:type="character" w:customStyle="1" w:styleId="60">
    <w:name w:val="Footer Char"/>
    <w:basedOn w:val="11"/>
    <w:link w:val="15"/>
    <w:uiPriority w:val="99"/>
  </w:style>
  <w:style w:type="character" w:styleId="61">
    <w:name w:val="Placeholder Text"/>
    <w:basedOn w:val="11"/>
    <w:semiHidden/>
    <w:uiPriority w:val="99"/>
    <w:rPr>
      <w:color w:val="808080"/>
    </w:rPr>
  </w:style>
  <w:style w:type="table" w:customStyle="1" w:styleId="62">
    <w:name w:val="Grid Table 4 Accent 5"/>
    <w:basedOn w:val="12"/>
    <w:uiPriority w:val="49"/>
    <w:pPr>
      <w:spacing w:after="0" w:line="240" w:lineRule="auto"/>
    </w:pPr>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14:textFill>
          <w14:solidFill>
            <w14:schemeClr w14:val="bg1"/>
          </w14:solidFill>
        </w14:textFill>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cPr>
        <w:tcBorders>
          <w:top w:val="double" w:color="5B9BD5" w:themeColor="accent5"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character" w:customStyle="1" w:styleId="63">
    <w:name w:val="Footnote Text Char"/>
    <w:basedOn w:val="11"/>
    <w:link w:val="17"/>
    <w:semiHidden/>
    <w:uiPriority w:val="99"/>
    <w:rPr>
      <w:sz w:val="20"/>
      <w:szCs w:val="20"/>
    </w:rPr>
  </w:style>
  <w:style w:type="character" w:customStyle="1" w:styleId="64">
    <w:name w:val="Unresolved Mention"/>
    <w:basedOn w:val="11"/>
    <w:semiHidden/>
    <w:unhideWhenUsed/>
    <w:uiPriority w:val="99"/>
    <w:rPr>
      <w:color w:val="605E5C"/>
      <w:shd w:val="clear" w:color="auto" w:fill="E1DFDD"/>
    </w:rPr>
  </w:style>
  <w:style w:type="table" w:customStyle="1" w:styleId="65">
    <w:name w:val="List Table 3 Accent 1"/>
    <w:basedOn w:val="12"/>
    <w:uiPriority w:val="48"/>
    <w:pPr>
      <w:spacing w:after="0" w:line="240" w:lineRule="auto"/>
    </w:pPr>
    <w:tblPr>
      <w:tblBorders>
        <w:top w:val="single" w:color="00274C" w:themeColor="accent1" w:sz="4" w:space="0"/>
        <w:left w:val="single" w:color="00274C" w:themeColor="accent1" w:sz="4" w:space="0"/>
        <w:bottom w:val="single" w:color="00274C" w:themeColor="accent1" w:sz="4" w:space="0"/>
        <w:right w:val="single" w:color="00274C" w:themeColor="accent1" w:sz="4" w:space="0"/>
      </w:tblBorders>
    </w:tblPr>
    <w:tblStylePr w:type="firstRow">
      <w:rPr>
        <w:b/>
        <w:bCs/>
        <w:color w:val="FFFFFF" w:themeColor="background1"/>
        <w14:textFill>
          <w14:solidFill>
            <w14:schemeClr w14:val="bg1"/>
          </w14:solidFill>
        </w14:textFill>
      </w:rPr>
      <w:tcPr>
        <w:shd w:val="clear" w:color="auto" w:fill="00274C" w:themeFill="accent1"/>
      </w:tcPr>
    </w:tblStylePr>
    <w:tblStylePr w:type="lastRow">
      <w:rPr>
        <w:b/>
        <w:bCs/>
      </w:rPr>
      <w:tcPr>
        <w:tcBorders>
          <w:top w:val="double" w:color="00274C"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274C" w:themeColor="accent1" w:sz="4" w:space="0"/>
          <w:right w:val="single" w:color="00274C" w:themeColor="accent1" w:sz="4" w:space="0"/>
        </w:tcBorders>
      </w:tcPr>
    </w:tblStylePr>
    <w:tblStylePr w:type="band1Horz">
      <w:tcPr>
        <w:tcBorders>
          <w:top w:val="single" w:color="00274C" w:themeColor="accent1" w:sz="4" w:space="0"/>
          <w:bottom w:val="single" w:color="00274C"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274C" w:themeColor="accent1" w:sz="4" w:space="0"/>
          <w:left w:val="nil"/>
        </w:tcBorders>
      </w:tcPr>
    </w:tblStylePr>
    <w:tblStylePr w:type="swCell">
      <w:tcPr>
        <w:tcBorders>
          <w:top w:val="double" w:color="00274C" w:themeColor="accent1" w:sz="4" w:space="0"/>
          <w:right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glossaryDocument" Target="glossary/document.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9D8C11EF4FF64D20BF4A583FBB347240"/>
        <w:style w:val=""/>
        <w:category>
          <w:name w:val="General"/>
          <w:gallery w:val="placeholder"/>
        </w:category>
        <w:types>
          <w:type w:val="bbPlcHdr"/>
        </w:types>
        <w:behaviors>
          <w:behavior w:val="content"/>
        </w:behaviors>
        <w:description w:val=""/>
        <w:guid w:val="{A551F9C8-FBBE-4048-A73A-22D7C181A5E5}"/>
      </w:docPartPr>
      <w:docPartBody>
        <w:p>
          <w:r>
            <w:rPr>
              <w:rStyle w:val="4"/>
            </w:rPr>
            <w:t>[Title]</w:t>
          </w:r>
        </w:p>
      </w:docPartBody>
    </w:docPart>
    <w:docPart>
      <w:docPartPr>
        <w:name w:val="2987E3534C794FE1819BADA8A36A9AEE"/>
        <w:style w:val=""/>
        <w:category>
          <w:name w:val="General"/>
          <w:gallery w:val="placeholder"/>
        </w:category>
        <w:types>
          <w:type w:val="bbPlcHdr"/>
        </w:types>
        <w:behaviors>
          <w:behavior w:val="content"/>
        </w:behaviors>
        <w:description w:val=""/>
        <w:guid w:val="{AD295374-411A-437E-A4D6-6FD0318A382A}"/>
      </w:docPartPr>
      <w:docPartBody>
        <w:p>
          <w:r>
            <w:rPr>
              <w:rStyle w:val="4"/>
            </w:rPr>
            <w:t>[Title]</w:t>
          </w:r>
        </w:p>
      </w:docPartBody>
    </w:docPart>
    <w:docPart>
      <w:docPartPr>
        <w:name w:val="617B481C97754047A78F285E3CD7A6B3"/>
        <w:style w:val=""/>
        <w:category>
          <w:name w:val="General"/>
          <w:gallery w:val="placeholder"/>
        </w:category>
        <w:types>
          <w:type w:val="bbPlcHdr"/>
        </w:types>
        <w:behaviors>
          <w:behavior w:val="content"/>
        </w:behaviors>
        <w:description w:val=""/>
        <w:guid w:val="{5A6AF3B6-6812-4D1B-B00F-CE07EDF59AB9}"/>
      </w:docPartPr>
      <w:docPartBody>
        <w:p>
          <w:pPr>
            <w:pStyle w:val="6"/>
          </w:pPr>
          <w:r>
            <w:rPr>
              <w:rStyle w:val="4"/>
            </w:rPr>
            <w:t>[Title]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080E0000" w:usb2="00000010" w:usb3="00000000" w:csb0="00040001" w:csb1="00000000"/>
  </w:font>
  <w:font w:name="Arial">
    <w:panose1 w:val="020B0704020202020204"/>
    <w:charset w:val="00"/>
    <w:family w:val="swiss"/>
    <w:pitch w:val="default"/>
    <w:sig w:usb0="E0002AFF" w:usb1="C0007843" w:usb2="00000009" w:usb3="00000000" w:csb0="400001FF" w:csb1="FFFF0000"/>
  </w:font>
  <w:font w:name="黑体">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Gill Sans MT">
    <w:altName w:val="苹方-简"/>
    <w:panose1 w:val="020B0502020104020203"/>
    <w:charset w:val="00"/>
    <w:family w:val="swiss"/>
    <w:pitch w:val="default"/>
    <w:sig w:usb0="00000000" w:usb1="00000000" w:usb2="00000000" w:usb3="00000000" w:csb0="00000003" w:csb1="00000000"/>
  </w:font>
  <w:font w:name="华文中宋">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479C"/>
    <w:rsid w:val="00100315"/>
    <w:rsid w:val="00114A84"/>
    <w:rsid w:val="00147496"/>
    <w:rsid w:val="00287A3C"/>
    <w:rsid w:val="003D53E7"/>
    <w:rsid w:val="00425C6C"/>
    <w:rsid w:val="004B0375"/>
    <w:rsid w:val="004D3672"/>
    <w:rsid w:val="005337B4"/>
    <w:rsid w:val="005D5877"/>
    <w:rsid w:val="005E70B2"/>
    <w:rsid w:val="007B479C"/>
    <w:rsid w:val="008021D2"/>
    <w:rsid w:val="008C5AAD"/>
    <w:rsid w:val="009715BC"/>
    <w:rsid w:val="00A425EB"/>
    <w:rsid w:val="00B83AB3"/>
    <w:rsid w:val="00C02A98"/>
    <w:rsid w:val="00DB2529"/>
    <w:rsid w:val="00DF33F5"/>
    <w:rsid w:val="00E12B4C"/>
    <w:rsid w:val="00E62FBD"/>
    <w:rsid w:val="00E860D2"/>
    <w:rsid w:val="00F65A5E"/>
    <w:rsid w:val="00FB26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unhideWhenUsed="0" w:uiPriority="99" w:name="Placeholder Text"/>
  </w:latentStyles>
  <w:style w:type="paragraph" w:default="1" w:styleId="1">
    <w:name w:val="Normal"/>
    <w:qFormat/>
    <w:uiPriority w:val="0"/>
    <w:pPr>
      <w:spacing w:after="160" w:line="259" w:lineRule="auto"/>
    </w:pPr>
    <w:rPr>
      <w:rFonts w:cs="Times New Roman" w:asciiTheme="minorHAnsi" w:hAnsiTheme="minorHAnsi" w:eastAsiaTheme="minorEastAsia"/>
      <w:sz w:val="3276"/>
      <w:szCs w:val="3276"/>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 w:type="paragraph" w:customStyle="1" w:styleId="5">
    <w:name w:val="0B633157E58E4D5EBFC9D50ECBC8CB0F"/>
    <w:uiPriority w:val="0"/>
    <w:pPr>
      <w:spacing w:after="160" w:line="259" w:lineRule="auto"/>
    </w:pPr>
    <w:rPr>
      <w:rFonts w:asciiTheme="minorHAnsi" w:hAnsiTheme="minorHAnsi" w:eastAsiaTheme="minorEastAsia" w:cstheme="minorBidi"/>
      <w:sz w:val="22"/>
      <w:szCs w:val="22"/>
      <w:lang w:val="en-US" w:eastAsia="en-US" w:bidi="ar-SA"/>
    </w:rPr>
  </w:style>
  <w:style w:type="paragraph" w:customStyle="1" w:styleId="6">
    <w:name w:val="617B481C97754047A78F285E3CD7A6B3"/>
    <w:uiPriority w:val="0"/>
    <w:pPr>
      <w:spacing w:after="160" w:line="259" w:lineRule="auto"/>
    </w:pPr>
    <w:rPr>
      <w:rFonts w:asciiTheme="minorHAnsi" w:hAnsiTheme="minorHAnsi" w:eastAsiaTheme="minorEastAsia" w:cstheme="minorBidi"/>
      <w:sz w:val="22"/>
      <w:szCs w:val="22"/>
      <w:lang w:val="en-US" w:eastAsia="en-US" w:bidi="ar-SA"/>
    </w:rPr>
  </w:style>
</w:styles>
</file>

<file path=word/theme/theme1.xml><?xml version="1.0" encoding="utf-8"?>
<a:theme xmlns:a="http://schemas.openxmlformats.org/drawingml/2006/main" name="Dividend">
  <a:themeElements>
    <a:clrScheme name="University of Michigan">
      <a:dk1>
        <a:sysClr val="windowText" lastClr="000000"/>
      </a:dk1>
      <a:lt1>
        <a:sysClr val="window" lastClr="FFFFFF"/>
      </a:lt1>
      <a:dk2>
        <a:srgbClr val="44546A"/>
      </a:dk2>
      <a:lt2>
        <a:srgbClr val="E7E6E6"/>
      </a:lt2>
      <a:accent1>
        <a:srgbClr val="00274C"/>
      </a:accent1>
      <a:accent2>
        <a:srgbClr val="ED7D31"/>
      </a:accent2>
      <a:accent3>
        <a:srgbClr val="A5A5A5"/>
      </a:accent3>
      <a:accent4>
        <a:srgbClr val="FFCB05"/>
      </a:accent4>
      <a:accent5>
        <a:srgbClr val="5B9BD5"/>
      </a:accent5>
      <a:accent6>
        <a:srgbClr val="70AD47"/>
      </a:accent6>
      <a:hlink>
        <a:srgbClr val="0563C1"/>
      </a:hlink>
      <a:folHlink>
        <a:srgbClr val="954F72"/>
      </a:folHlink>
    </a:clrScheme>
    <a:fontScheme name="Dividend">
      <a:majorFont>
        <a:latin typeface="Gill Sans MT"/>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Dividend">
      <a:fillStyleLst>
        <a:solidFill>
          <a:schemeClr val="phClr"/>
        </a:solidFill>
        <a:gradFill rotWithShape="1">
          <a:gsLst>
            <a:gs pos="0">
              <a:schemeClr val="phClr">
                <a:tint val="68000"/>
                <a:alpha val="90000"/>
                <a:lumMod val="100000"/>
              </a:schemeClr>
            </a:gs>
            <a:gs pos="100000">
              <a:schemeClr val="phClr">
                <a:tint val="90000"/>
                <a:lumMod val="95000"/>
              </a:schemeClr>
            </a:gs>
          </a:gsLst>
          <a:lin ang="5400000" scaled="1"/>
        </a:gradFill>
        <a:gradFill rotWithShape="1">
          <a:gsLst>
            <a:gs pos="0">
              <a:schemeClr val="phClr">
                <a:tint val="98000"/>
                <a:lumMod val="110000"/>
              </a:schemeClr>
            </a:gs>
            <a:gs pos="84000">
              <a:schemeClr val="phClr">
                <a:shade val="90000"/>
                <a:lumMod val="88000"/>
              </a:schemeClr>
            </a:gs>
          </a:gsLst>
          <a:lin ang="5400000" scaled="0"/>
        </a:gradFill>
      </a:fillStyleLst>
      <a:lnStyleLst>
        <a:ln w="12700" cap="rnd" cmpd="sng" algn="ctr">
          <a:solidFill>
            <a:schemeClr val="phClr">
              <a:lumMod val="90000"/>
            </a:schemeClr>
          </a:solidFill>
          <a:prstDash val="solid"/>
        </a:ln>
        <a:ln w="2222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55000"/>
              </a:srgbClr>
            </a:outerShdw>
          </a:effectLst>
        </a:effectStyle>
        <a:effectStyle>
          <a:effectLst>
            <a:outerShdw blurRad="88900" dist="38100" dir="5040000" rotWithShape="0">
              <a:srgbClr val="000000">
                <a:alpha val="60000"/>
              </a:srgbClr>
            </a:outerShdw>
          </a:effectLst>
          <a:scene3d>
            <a:camera prst="orthographicFront">
              <a:rot lat="0" lon="0" rev="0"/>
            </a:camera>
            <a:lightRig rig="threePt" dir="tl">
              <a:rot lat="0" lon="0" rev="1200000"/>
            </a:lightRig>
          </a:scene3d>
          <a:sp3d>
            <a:bevelT w="38100" h="50800"/>
          </a:sp3d>
        </a:effectStyle>
      </a:effectStyleLst>
      <a:bgFillStyleLst>
        <a:solidFill>
          <a:schemeClr val="phClr"/>
        </a:solidFill>
        <a:gradFill rotWithShape="1">
          <a:gsLst>
            <a:gs pos="0">
              <a:schemeClr val="phClr">
                <a:tint val="90000"/>
                <a:lumMod val="110000"/>
              </a:schemeClr>
            </a:gs>
            <a:gs pos="88000">
              <a:schemeClr val="phClr">
                <a:shade val="94000"/>
                <a:satMod val="110000"/>
                <a:lumMod val="88000"/>
              </a:schemeClr>
            </a:gs>
          </a:gsLst>
          <a:lin ang="5400000" scaled="0"/>
        </a:gradFill>
        <a:gradFill rotWithShape="1">
          <a:gsLst>
            <a:gs pos="0">
              <a:schemeClr val="phClr">
                <a:tint val="90000"/>
                <a:lumMod val="110000"/>
              </a:schemeClr>
            </a:gs>
            <a:gs pos="100000">
              <a:schemeClr val="phClr">
                <a:shade val="98000"/>
                <a:satMod val="110000"/>
                <a:lumMod val="86000"/>
              </a:schemeClr>
            </a:gs>
          </a:gsLst>
          <a:path path="circle">
            <a:fillToRect l="50000" t="50000" r="100000" b="10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extobjs>
    <extobj name="334E55B0-647D-440b-865C-3EC943EB4CBC-1">
      <extobjdata type="334E55B0-647D-440b-865C-3EC943EB4CBC" data="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1089</Words>
  <Characters>6211</Characters>
  <Lines>51</Lines>
  <Paragraphs>14</Paragraphs>
  <TotalTime>3</TotalTime>
  <ScaleCrop>false</ScaleCrop>
  <LinksUpToDate>false</LinksUpToDate>
  <CharactersWithSpaces>7286</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2021-11-23T16:10:00Z</dcterms:created>
  <dc:creator>Jason Hall</dc:creator>
  <cp:lastModifiedBy>DJ</cp:lastModifiedBy>
  <dcterms:modified xsi:type="dcterms:W3CDTF">2025-11-06T10:50:15Z</dcterms:modified>
  <dc:title>[Project title. This will flow through to the header]</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1033-6.7.1.8828</vt:lpwstr>
  </property>
  <property fmtid="{D5CDD505-2E9C-101B-9397-08002B2CF9AE}" pid="3" name="ICV">
    <vt:lpwstr>4226547EDE8E221BB7C30C691D25E5E5_43</vt:lpwstr>
  </property>
</Properties>
</file>