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rPr>
          <w:rFonts w:ascii="Arial" w:hAnsi="Arial"/>
          <w:color w:val="000000"/>
          <w:sz w:val="52"/>
        </w:rPr>
        <w:t xml:space="preserve">NATS Agent Communication Sources</w:t>
      </w:r>
    </w:p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Ingest Metadata</w:t>
      </w:r>
    </w:p>
    <w:p/>
    <w:p>
      <w:pPr>
        <w:pStyle w:val="ListParagraph"/>
        <w:numPr>
          <w:ilvl w:val="0"/>
          <w:numId w:val="1"/>
        </w:numPr>
      </w:pPr>
      <w:r>
        <w:rPr>
          <w:rFonts w:ascii="Arial" w:hAnsi="Arial"/>
          <w:color w:val="000000"/>
          <w:sz w:val="22"/>
        </w:rPr>
        <w:t xml:space="preserve">Topic folder: sources/nats-agent-communication/.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color w:val="000000"/>
          <w:sz w:val="22"/>
        </w:rPr>
        <w:t xml:space="preserve">Local seed note: /Users/yefanzhang/workplace/edge-research/docs/research/nats-agent-communication-literature-review.md.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color w:val="000000"/>
          <w:sz w:val="22"/>
        </w:rPr>
        <w:t xml:space="preserve">Ingested into vault: 2026-06-26T04:10:52Z.</w:t>
      </w:r>
    </w:p>
    <w:p>
      <w:pPr>
        <w:pStyle w:val="ListParagraph"/>
        <w:numPr>
          <w:ilvl w:val="0"/>
          <w:numId w:val="1"/>
        </w:numPr>
      </w:pPr>
      <w:r>
        <w:rPr>
          <w:rFonts w:ascii="Arial" w:hAnsi="Arial"/>
          <w:color w:val="000000"/>
          <w:sz w:val="22"/>
        </w:rPr>
        <w:t xml:space="preserve">Raw data page: raw-data.</w:t>
      </w:r>
    </w:p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Direct NATS and Edge-Agent Sources</w:t>
      </w:r>
    </w:p>
    <w:p/>
    <w:tbl>
      <w:tblPr>
        <w:tblStyle w:val="TableGrid"/>
        <w:tblW w:w="9360" w:type="dxa"/>
        <w:tblInd w:w="0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650"/>
        <w:gridCol w:w="3050"/>
        <w:gridCol w:w="1300"/>
        <w:gridCol w:w="3000"/>
        <w:gridCol w:w="1360"/>
      </w:tblGrid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ID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Source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Type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URL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Use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D1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Zhan, Zhang, Haddadi. "Poster: EdgeCitadel - Hybrid NATS-MQTT Orchestration for Edge Multi-Agent Systems." arXiv:2606.14710, 2026.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Direct paper/poster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https://arxiv.org/abs/2606.14710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Closest paper anchor for edge agents, NATS 2.10, MQTT adapter, JetStream, and peer delegation.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D2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NATS.io. "What's old is new: A NATS-native protocol for AI agents." 2026-05-25.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Engineering protocol source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https://nats.io/blog/nats-native-protocol-for-ai-agents/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Recent NATS-native agent framing around discovery, conversation, and liveness.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D3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Paul, Lertpongrujikorn, Nguyen, Salehi. "Benchmarking Message Brokers for IoT Edge Computing." arXiv:2603.21600, 2026.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Benchmark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https://arxiv.org/abs/2603.21600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Broker benchmark that includes NATS Server under edge-like constraints.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D4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Jain, Ahuja, Saini. "Evaluation and Performance Analysis of Apache Pulsar and NATS." Springer LNDECT 73, 2022.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Benchmark/comparison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https://link.springer.com/chapter/10.1007/978-981-16-3961-6_16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Places NATS beside Pulsar in cloud-native messaging evaluation.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D5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Maartens, Brink. "Selecting a simple, natively implemented middleware solution for the SALT control system." SPIE, 2018.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Case-study/performance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https://www.researchgate.net/publication/326309531_Selecting_a_simple_natively_implemented_middleware_solution_for_the_SALT_control_system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Useful precedent for NATS simplicity versus DDS and HTTP.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D6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Bhat, Priya. "Modern Messaging Queues - RabbitMQ, NATS and NATS Streaming." IJRTE, 2020.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Survey/benchmark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https://www.ijrte.org/wp-content/uploads/papers/v9i2/B3551079220.pdf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Earlier broker comparison; use cautiously because NATS Streaming is legacy.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D7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Quevedo. "Practical NATS: From Beginner to Pro." Apress, 2018.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Book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https://link.springer.com/book/10.1007/978-1-4842-3570-6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Background on NATS protocol, clients, operations, and cloud-native control-plane usage.</w:t>
            </w:r>
          </w:p>
        </w:tc>
      </w:tr>
    </w:tbl>
    <w:p/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Official NATS Technical Sources</w:t>
      </w:r>
    </w:p>
    <w:p/>
    <w:tbl>
      <w:tblPr>
        <w:tblStyle w:val="TableGrid"/>
        <w:tblW w:w="9360" w:type="dxa"/>
        <w:tblInd w:w="0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650"/>
        <w:gridCol w:w="3300"/>
        <w:gridCol w:w="3310"/>
        <w:gridCol w:w="2100"/>
      </w:tblGrid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ID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Source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URL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Use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N1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MQTT support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https://docs.nats.io/running-a-nats-service/configuration/mqtt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MQTT adapter, topic-to-subject translation, and IoT compatibility framing.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N2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JetStream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https://docs.nats.io/nats-concepts/jetstream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Persistence, acknowledgments, KV, object store, consumers, replay, and work queues.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N3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request-reply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https://docs.nats.io/nats-concepts/core-nats/reqreply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Command/response and tool-call pattern over pub/sub reply inboxes.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N4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queue groups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https://docs.nats.io/nats-concepts/core-nats/queue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Service scaling and load-balanced responders.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leaf nodes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https://docs.nats.io/running-a-nats-service/configuration/leafnodes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Edge topology, local RTT, and security-domain bridging.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N6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NATS authorization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https://docs.nats.io/running-a-nats-service/configuration/securing_nats/authorization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Subject-scoped publish/subscribe authorization.</w:t>
            </w:r>
          </w:p>
        </w:tc>
      </w:tr>
    </w:tbl>
    <w:p/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IoT and Edge Communication Literature</w:t>
      </w:r>
    </w:p>
    <w:p/>
    <w:tbl>
      <w:tblPr>
        <w:tblStyle w:val="TableGrid"/>
        <w:tblW w:w="9360" w:type="dxa"/>
        <w:tblInd w:w="0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650"/>
        <w:gridCol w:w="3050"/>
        <w:gridCol w:w="1300"/>
        <w:gridCol w:w="3000"/>
        <w:gridCol w:w="1360"/>
      </w:tblGrid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ID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Source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Type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URL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Use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I1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Chen, Kunz. "Performance Evaluation of IoT Protocols under a Constrained Wireless Access Network." IEEE MoWNeT, 2016.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IoT protocol benchmark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https://people.computing.clemson.edu/~jmarty/projects/lowLatencyNetworking/papers/MQTT-NDN/PerformanceofIOTProtocolsoverConstrainedWireless.pdf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Compares MQTT, CoAP, DDS, and custom UDP under constrained links.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I2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Silva, Carvalho, Soares, Sofia. "A Performance Analysis of Internet of Things Networking Protocols: Evaluating MQTT, CoAP, OPC UA." Applied Sciences, 2021.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IoT protocol benchmark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https://www.mdpi.com/2076-3417/11/11/4879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Broad IoT benchmark context; does not cover NATS.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I3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Wang, Woisetschlager. "Agentic Performance at the Edge: Insights from Benchmarking." arXiv:2605.10384, 2026.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Edge-agent benchmark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https://arxiv.org/abs/2605.10384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Connects agent quality and model-tool workflow constraints to edge deployment.</w:t>
            </w:r>
          </w:p>
        </w:tc>
      </w:tr>
    </w:tbl>
    <w:p/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Multi-Agent Protocol Literature</w:t>
      </w:r>
    </w:p>
    <w:p/>
    <w:tbl>
      <w:tblPr>
        <w:tblStyle w:val="TableGrid"/>
        <w:tblW w:w="9360" w:type="dxa"/>
        <w:tblInd w:w="0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650"/>
        <w:gridCol w:w="3050"/>
        <w:gridCol w:w="1300"/>
        <w:gridCol w:w="3000"/>
        <w:gridCol w:w="1360"/>
      </w:tblGrid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ID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Source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Type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URL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Use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A1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Smith. "The Contract Net Protocol: High-Level Communication and Control in a Distributed Problem Solver." IEEE Transactions on Computers, 1980.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Classic MAS protocol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https://www.eecs.ucf.edu/~lboloni/Teaching/EEL6788_2008/papers/The_Contract_Net_Protocol_Dec-1980.pdf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Historical task allocation and negotiation protocol.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A2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Finin, Fritzson, McKay, McEntire. "KQML as an Agent Communication Language." CIKM, 1994.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Classic ACL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https://ebiquity.umbc.edu/paper/html/id/330/KQML-as-an-agent-communication-language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Separates message routing from communicative acts.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A3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Bellifemine, Poggi, Rimassa. "Developing Multi-agent Systems with JADE." Springer, 2001.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MAS platform paper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https://link.springer.com/chapter/10.1007/3-540-44631-1_7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FIPA-compliant multi-agent platform comparison point.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A4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Ehtesham, Singh, Gupta, Kumar. "A survey of agent interoperability protocols: MCP, ACP, A2A, and ANP." arXiv:2505.02279, 2025.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Modern LLM-agent protocol survey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https://arxiv.org/abs/2505.02279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Modern interoperability framing across discovery, security, and communication modes.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A5</w:t>
            </w:r>
          </w:p>
        </w:tc>
        <w:tc>
          <w:tcPr>
            <w:tcW w:w="30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Yuan et al. "Beyond Message Passing: A Semantic View of Agent Communication Protocols." arXiv:2604.02369, 2026.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Agent protocol taxonomy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https://arxiv.org/abs/2604.02369</w:t>
            </w:r>
          </w:p>
        </w:tc>
        <w:tc>
          <w:tcPr>
            <w:tcW w:w="136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Key source for communication, syntactic, and semantic layer framing.</w:t>
            </w:r>
          </w:p>
        </w:tc>
      </w:tr>
    </w:tbl>
    <w:p/>
    <w:p/>
    <w:p>
      <w:pPr>
        <w:pStyle w:val="Heading1"/>
      </w:pPr>
      <w:r>
        <w:rPr>
          <w:rFonts w:ascii="Arial" w:hAnsi="Arial"/>
          <w:color w:val="000000"/>
          <w:sz w:val="40"/>
        </w:rPr>
        <w:t xml:space="preserve">Local Project Sources</w:t>
      </w:r>
    </w:p>
    <w:p/>
    <w:tbl>
      <w:tblPr>
        <w:tblStyle w:val="TableGrid"/>
        <w:tblW w:w="9360" w:type="dxa"/>
        <w:tblInd w:w="0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650"/>
        <w:gridCol w:w="3300"/>
        <w:gridCol w:w="3310"/>
        <w:gridCol w:w="2100"/>
      </w:tblGrid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ID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Source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Path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  <w:b/>
              </w:rPr>
              <w:t xml:space="preserve">Use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L1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EdgeCitadel messaging doc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/Users/yefanzhang/workplace/edge-research/docs/05-messaging.md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Canonical local NATS plus JetStream fleet messaging contract.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L2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EdgeCitadel NATS architecture doc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/Users/yefanzhang/workplace/edge-research/docs/NATS_ARCHITECTURE.md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Local design rationale for moving from MQTT hub relay to direct NATS P2P.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L3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ADR-0001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/Users/yefanzhang/workplace/edge-research/docs/adr/0001-nats-over-mqtt-broker.md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Rationale for replacing standalone MQTT broker with NATS plus MQTT adapter.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L4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ADR-0004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/Users/yefanzhang/workplace/edge-research/docs/adr/0004-mqtt-ingress-opt-in.md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MQTT ingress as deploy-time opt-in.</w:t>
            </w:r>
          </w:p>
        </w:tc>
      </w:tr>
      <w:tr>
        <w:tc>
          <w:tcPr>
            <w:tcW w:w="65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L5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ADR-0010</w:t>
            </w:r>
          </w:p>
        </w:tc>
        <w:tc>
          <w:tcPr>
            <w:tcW w:w="331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/Users/yefanzhang/workplace/edge-research/docs/adr/0010-nats-native-l2-delegation.md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000000"/>
                <w:sz w:val="18"/>
              </w:rPr>
              <w:t xml:space="preserve">In-fleet delegation is NATS-native; A2A HTTP/SSE is external-only.</w:t>
            </w:r>
          </w:p>
        </w:tc>
      </w:tr>
    </w:tbl>
    <w:p/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DocTitle">
    <w:name w:val="DocTitle"/>
    <w:basedOn w:val="Normal"/>
    <w:pPr>
      <w:spacing w:before="0" w:after="60" w:line="276" w:lineRule="auto"/>
    </w:pPr>
    <w:rPr>
      <w:rFonts w:ascii="Arial" w:hAnsi="Arial"/>
      <w:color w:val="000000"/>
      <w:sz w:val="52"/>
    </w:rPr>
  </w:style>
  <w:style w:type="paragraph" w:styleId="Heading1">
    <w:name w:val="Heading 1"/>
    <w:basedOn w:val="Normal"/>
    <w:pPr>
      <w:spacing w:before="400" w:after="120" w:line="276" w:lineRule="auto"/>
      <w:keepNext/>
    </w:pPr>
    <w:rPr>
      <w:rFonts w:ascii="Arial" w:hAnsi="Arial"/>
      <w:color w:val="000000"/>
      <w:sz w:val="40"/>
    </w:rPr>
  </w:style>
  <w:style w:type="paragraph" w:styleId="Heading2">
    <w:name w:val="Heading 2"/>
    <w:basedOn w:val="Normal"/>
    <w:pPr>
      <w:spacing w:before="360" w:after="120" w:line="276" w:lineRule="auto"/>
      <w:keepNext/>
    </w:pPr>
    <w:rPr>
      <w:rFonts w:ascii="Arial" w:hAnsi="Arial"/>
      <w:color w:val="000000"/>
      <w:sz w:val="32"/>
    </w:rPr>
  </w:style>
  <w:style w:type="paragraph" w:styleId="Heading3">
    <w:name w:val="Heading 3"/>
    <w:basedOn w:val="Normal"/>
    <w:pPr>
      <w:spacing w:before="320" w:after="80" w:line="276" w:lineRule="auto"/>
      <w:keepNext/>
    </w:pPr>
    <w:rPr>
      <w:rFonts w:ascii="Arial" w:hAnsi="Arial"/>
      <w:color w:val="434343"/>
      <w:sz w:val="28"/>
    </w:rPr>
  </w:style>
  <w:style w:type="paragraph" w:styleId="ListParagraph">
    <w:name w:val="List Paragraph"/>
    <w:basedOn w:val="Normal"/>
    <w:pPr>
      <w:spacing w:after="80" w:line="276" w:lineRule="auto"/>
    </w:pPr>
    <w:rPr>
      <w:rFonts w:ascii="Arial" w:hAnsi="Arial"/>
      <w:color w:val="000000"/>
      <w:sz w:val="22"/>
    </w:rPr>
  </w:style>
  <w:style w:type="table" w:styleId="TableGrid">
    <w:name w:val="Table Grid"/>
    <w:tblPr>
      <w:tblBorders>
        <w:top w:val="single" w:sz="3" w:color="DADCE0"/>
        <w:left w:val="single" w:sz="3" w:color="DADCE0"/>
        <w:bottom w:val="single" w:sz="3" w:color="DADCE0"/>
        <w:right w:val="single" w:sz="3" w:color="DADCE0"/>
        <w:insideH w:val="single" w:sz="3" w:color="DADCE0"/>
        <w:insideV w:val="single" w:sz="3" w:color="DADCE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NATS Agent Communication Sources</dc:title>
  <dc:creator>Codex</dc:creator>
  <cp:lastModifiedBy>Codex</cp:lastModifiedBy>
  <dcterms:created xsi:type="dcterms:W3CDTF">2026-06-26T07:23:43Z</dcterms:created>
  <dcterms:modified xsi:type="dcterms:W3CDTF">2026-06-26T07:23:43Z</dcterms:modified>
</cp:coreProperties>
</file>