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Design Collaboration and Handoff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 Collaborating with Designers, Developers, and Stakeholders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Collaboration is critical to aligning vision, functionality, and business goals.</w:t>
      </w:r>
    </w:p>
    <w:tbl>
      <w:tblPr>
        <w:tblW w:w="92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4"/>
        <w:gridCol w:w="3684"/>
        <w:gridCol w:w="418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Role</w:t>
            </w:r>
          </w:p>
        </w:tc>
        <w:tc>
          <w:tcPr>
            <w:tcW w:type="dxa" w:w="3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What They Care About</w:t>
            </w:r>
          </w:p>
        </w:tc>
        <w:tc>
          <w:tcPr>
            <w:tcW w:type="dxa" w:w="4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How to Collaborate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Designers</w:t>
            </w:r>
          </w:p>
        </w:tc>
        <w:tc>
          <w:tcPr>
            <w:tcW w:type="dxa" w:w="3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Visual hierarchy, branding, user flow</w:t>
            </w:r>
          </w:p>
        </w:tc>
        <w:tc>
          <w:tcPr>
            <w:tcW w:type="dxa" w:w="4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design tokens, annotate edge cases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Developers</w:t>
            </w:r>
          </w:p>
        </w:tc>
        <w:tc>
          <w:tcPr>
            <w:tcW w:type="dxa" w:w="3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Feasibility, responsiveness, semantics</w:t>
            </w:r>
          </w:p>
        </w:tc>
        <w:tc>
          <w:tcPr>
            <w:tcW w:type="dxa" w:w="41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Provide specs, states, and reusable patterns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Key Practices: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Get developers involved early in design discussions.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Invite designers to QA their designs in staging.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shared language: tokens, spacing units, breakpoints.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Effective Communication and Documentation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What to Include: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Design system reference (e.g. button styles, spacing)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Breakpoint rules and layout behavior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Component states (hover, focus, disabled)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Accessibility notes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Expected behaviors (e.g. accordion open/close, modal flow)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Tools: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Figma / Adobe XD (for design and specs)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Storybook (for live code components)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Notion / Confluence / Google Docs (for handoff notes)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Zeplin / Avocode (pixel-perfect specs + assets)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