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Epic：</w:t>
      </w:r>
      <w:r>
        <w:rPr>
          <w:rFonts w:hint="eastAsia"/>
          <w:lang w:val="en-US" w:eastAsia="zh-CN"/>
        </w:rPr>
        <w:br w:type="textWrapping"/>
      </w:r>
      <w:r>
        <w:rPr>
          <w:rFonts w:hint="eastAsia"/>
          <w:lang w:val="en-US" w:eastAsia="zh-CN"/>
        </w:rPr>
        <w:t>【ATP】ATP测试用例扩充</w:t>
      </w:r>
    </w:p>
    <w:p>
      <w:pPr>
        <w:rPr>
          <w:rFonts w:hint="default"/>
          <w:lang w:val="en-US" w:eastAsia="zh-CN"/>
        </w:rPr>
      </w:pPr>
      <w:r>
        <w:rPr>
          <w:rFonts w:hint="default"/>
          <w:lang w:val="en-US" w:eastAsia="zh-CN"/>
        </w:rPr>
        <w:t>【ATP】测试用例模型增强</w:t>
      </w:r>
    </w:p>
    <w:p>
      <w:pPr>
        <w:rPr>
          <w:rFonts w:hint="eastAsia"/>
          <w:lang w:val="en-US" w:eastAsia="zh-CN"/>
        </w:rPr>
      </w:pPr>
      <w:r>
        <w:rPr>
          <w:rFonts w:hint="eastAsia"/>
          <w:lang w:val="en-US" w:eastAsia="zh-CN"/>
        </w:rPr>
        <w:t>Story:</w:t>
      </w:r>
    </w:p>
    <w:p>
      <w:pPr>
        <w:rPr>
          <w:rFonts w:hint="eastAsia"/>
          <w:lang w:val="en-US" w:eastAsia="zh-CN"/>
        </w:rPr>
      </w:pPr>
      <w:r>
        <w:rPr>
          <w:rFonts w:hint="eastAsia"/>
          <w:lang w:val="en-US" w:eastAsia="zh-CN"/>
        </w:rPr>
        <w:t>【ATP】ATP应用支持分权控制，区分不同角色进行差异化功能展现</w:t>
      </w:r>
    </w:p>
    <w:p>
      <w:pPr>
        <w:rPr>
          <w:rFonts w:hint="default"/>
          <w:lang w:val="en-US" w:eastAsia="zh-CN"/>
        </w:rPr>
      </w:pPr>
    </w:p>
    <w:tbl>
      <w:tblPr>
        <w:tblStyle w:val="4"/>
        <w:tblpPr w:leftFromText="180" w:rightFromText="180" w:vertAnchor="text" w:tblpY="1"/>
        <w:tblOverlap w:val="never"/>
        <w:tblW w:w="14060" w:type="dxa"/>
        <w:tblInd w:w="0" w:type="dxa"/>
        <w:tblLayout w:type="autofit"/>
        <w:tblCellMar>
          <w:top w:w="0" w:type="dxa"/>
          <w:left w:w="0" w:type="dxa"/>
          <w:bottom w:w="0" w:type="dxa"/>
          <w:right w:w="0" w:type="dxa"/>
        </w:tblCellMar>
      </w:tblPr>
      <w:tblGrid>
        <w:gridCol w:w="3400"/>
        <w:gridCol w:w="10660"/>
      </w:tblGrid>
      <w:tr>
        <w:tblPrEx>
          <w:tblCellMar>
            <w:top w:w="0" w:type="dxa"/>
            <w:left w:w="0" w:type="dxa"/>
            <w:bottom w:w="0" w:type="dxa"/>
            <w:right w:w="0" w:type="dxa"/>
          </w:tblCellMar>
        </w:tblPrEx>
        <w:tc>
          <w:tcPr>
            <w:tcW w:w="340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rPr>
                <w:b/>
                <w:bCs/>
              </w:rPr>
              <w:t>Content</w:t>
            </w:r>
          </w:p>
        </w:tc>
        <w:tc>
          <w:tcPr>
            <w:tcW w:w="1066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rPr>
                <w:b/>
                <w:bCs/>
              </w:rPr>
              <w:t>Related Information</w:t>
            </w:r>
          </w:p>
        </w:tc>
      </w:tr>
      <w:tr>
        <w:tblPrEx>
          <w:tblCellMar>
            <w:top w:w="0" w:type="dxa"/>
            <w:left w:w="0" w:type="dxa"/>
            <w:bottom w:w="0" w:type="dxa"/>
            <w:right w:w="0" w:type="dxa"/>
          </w:tblCellMar>
        </w:tblPrEx>
        <w:trPr>
          <w:trHeight w:val="3887" w:hRule="atLeast"/>
        </w:trPr>
        <w:tc>
          <w:tcPr>
            <w:tcW w:w="340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rPr>
                <w:b/>
                <w:bCs/>
              </w:rPr>
              <w:t>Security design rule ID</w:t>
            </w:r>
          </w:p>
        </w:tc>
        <w:tc>
          <w:tcPr>
            <w:tcW w:w="1066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rPr>
                <w:rFonts w:hint="eastAsia"/>
              </w:rPr>
              <w:t>1.1所有用于跨网络传输的机器对机器和人对机器接口都必须具有访问认证机制，并且认证过程必须在服务器上执行。 注意：跨网络接口必须支持身份验证，以防止欺骗访问</w:t>
            </w:r>
          </w:p>
          <w:p>
            <w:r>
              <w:t>All machine-to-machine and man-to-machine interfaces for cross-network transmission must have an access authentication mechanism, and the authentication process must be performed on a server.</w:t>
            </w:r>
          </w:p>
          <w:p>
            <w:pPr>
              <w:rPr>
                <w:rFonts w:hint="eastAsia"/>
              </w:rPr>
            </w:pPr>
            <w:r>
              <w:rPr>
                <w:rFonts w:hint="eastAsia"/>
              </w:rPr>
              <w:t>1.2对于每个需要授权的访问请求，服务器必须验证用户是否有权执行此操作</w:t>
            </w:r>
          </w:p>
          <w:p>
            <w:pPr>
              <w:rPr>
                <w:rFonts w:hint="eastAsia"/>
              </w:rPr>
            </w:pPr>
            <w:r>
              <w:rPr>
                <w:rFonts w:hint="eastAsia"/>
              </w:rPr>
              <w:t>For each access request that requires authorization, the server must verify whether the user is authorized to perform this operation.</w:t>
            </w:r>
          </w:p>
          <w:p>
            <w:r>
              <w:rPr>
                <w:rFonts w:hint="eastAsia"/>
              </w:rPr>
              <w:t>1.3服务器必须验证所有不受信任的数据源的大小，类型，长度和特殊字符，并拒绝所有未通过验证的数据。 注意：为了防止攻击者通过代理来拦截和篡改请求以绕过客户端的有效性检查，必须在服务器上执行数据验证。</w:t>
            </w:r>
          </w:p>
          <w:p>
            <w:pPr>
              <w:rPr>
                <w:rFonts w:hint="eastAsia"/>
              </w:rPr>
            </w:pPr>
            <w:r>
              <w:t>The server must validate the size, type, length, and special characters of all untrusted data sources and reject any data that fails the validation.</w:t>
            </w:r>
          </w:p>
          <w:p>
            <w:r>
              <w:rPr>
                <w:rFonts w:hint="eastAsia"/>
              </w:rPr>
              <w:t>1.12基于角色的访问控制</w:t>
            </w:r>
          </w:p>
          <w:p>
            <w:pPr>
              <w:rPr>
                <w:rFonts w:hint="eastAsia"/>
              </w:rPr>
            </w:pPr>
            <w:r>
              <w:t>Role based Access control.</w:t>
            </w:r>
          </w:p>
          <w:p>
            <w:r>
              <w:rPr>
                <w:rFonts w:hint="eastAsia"/>
              </w:rPr>
              <w:t>5.3所有输入必须限制在适当的大小限制内。</w:t>
            </w:r>
          </w:p>
          <w:p>
            <w:r>
              <w:t>All input must be limited to an appropriate size limit.</w:t>
            </w:r>
          </w:p>
          <w:p>
            <w:pPr>
              <w:rPr>
                <w:rFonts w:hint="eastAsia"/>
              </w:rPr>
            </w:pPr>
            <w:r>
              <w:rPr>
                <w:rFonts w:hint="eastAsia"/>
              </w:rPr>
              <w:t>7.2必须接受XML或JSON模式，并在接受输入之前对其进行验证</w:t>
            </w:r>
          </w:p>
          <w:p>
            <w:pPr>
              <w:rPr>
                <w:rFonts w:hint="eastAsia"/>
              </w:rPr>
            </w:pPr>
            <w:r>
              <w:rPr>
                <w:rFonts w:hint="eastAsia"/>
              </w:rPr>
              <w:t> XML or JSON schema must be in place and verified before accepting input.</w:t>
            </w:r>
          </w:p>
          <w:p>
            <w:r>
              <w:rPr>
                <w:rFonts w:hint="eastAsia"/>
              </w:rPr>
              <w:t>8.1所有公共功能接口，RESTful接口，本地功能接口，命令行接口以及用于身份验证的默认用户名和密码都必须在产品或应用程序文档中进行描述。</w:t>
            </w:r>
          </w:p>
          <w:p>
            <w:pPr>
              <w:rPr>
                <w:rFonts w:hint="eastAsia"/>
              </w:rPr>
            </w:pPr>
            <w:r>
              <w:t>All public function interfaces, RESTful interfaces, local function interfaces, command line interfaces, and default usernames and passwords used for identity authentication must be described in the product or application document.</w:t>
            </w:r>
          </w:p>
          <w:p>
            <w:r>
              <w:rPr>
                <w:rFonts w:hint="eastAsia"/>
              </w:rPr>
              <w:t>9.1请勿记录未经消毒的用户输入。</w:t>
            </w:r>
          </w:p>
          <w:p>
            <w:r>
              <w:t>Do not log unsanitized user input. Notice: Unsanitized logging can allow an attacker to forge log entries or inject malicious content into logs.</w:t>
            </w:r>
          </w:p>
          <w:p>
            <w:r>
              <w:t>9.2足够的日志记录</w:t>
            </w:r>
          </w:p>
          <w:p>
            <w:pPr>
              <w:rPr>
                <w:rFonts w:hint="eastAsia"/>
              </w:rPr>
            </w:pPr>
            <w:r>
              <w:t>Sufficient Logging.</w:t>
            </w:r>
          </w:p>
          <w:p>
            <w:r>
              <w:rPr>
                <w:rFonts w:hint="eastAsia"/>
              </w:rPr>
              <w:t>9.4避免记录过多的数据</w:t>
            </w:r>
          </w:p>
          <w:p>
            <w:r>
              <w:t>Avoid Logging of Excessive Data</w:t>
            </w:r>
          </w:p>
        </w:tc>
      </w:tr>
      <w:tr>
        <w:tblPrEx>
          <w:tblCellMar>
            <w:top w:w="0" w:type="dxa"/>
            <w:left w:w="0" w:type="dxa"/>
            <w:bottom w:w="0" w:type="dxa"/>
            <w:right w:w="0" w:type="dxa"/>
          </w:tblCellMar>
        </w:tblPrEx>
        <w:tc>
          <w:tcPr>
            <w:tcW w:w="3400" w:type="dxa"/>
            <w:tcBorders>
              <w:top w:val="single" w:color="1D1D1A" w:sz="8" w:space="0"/>
              <w:left w:val="single" w:color="1D1D1A" w:sz="8" w:space="0"/>
              <w:bottom w:val="single" w:color="1D1D1A" w:sz="8" w:space="0"/>
              <w:right w:val="single" w:color="1D1D1A" w:sz="8" w:space="0"/>
            </w:tcBorders>
            <w:shd w:val="clear" w:color="auto" w:fill="F2F2F2"/>
            <w:tcMar>
              <w:top w:w="90" w:type="dxa"/>
              <w:left w:w="195" w:type="dxa"/>
              <w:bottom w:w="90" w:type="dxa"/>
              <w:right w:w="195" w:type="dxa"/>
            </w:tcMar>
            <w:vAlign w:val="center"/>
          </w:tcPr>
          <w:p>
            <w:r>
              <w:rPr>
                <w:b/>
                <w:bCs/>
              </w:rPr>
              <w:t>Implementation details</w:t>
            </w:r>
          </w:p>
        </w:tc>
        <w:tc>
          <w:tcPr>
            <w:tcW w:w="10660" w:type="dxa"/>
            <w:tcBorders>
              <w:top w:val="single" w:color="1D1D1A" w:sz="8" w:space="0"/>
              <w:left w:val="single" w:color="1D1D1A" w:sz="8" w:space="0"/>
              <w:bottom w:val="single" w:color="1D1D1A" w:sz="8" w:space="0"/>
              <w:right w:val="single" w:color="1D1D1A" w:sz="8" w:space="0"/>
            </w:tcBorders>
            <w:shd w:val="clear" w:color="auto" w:fill="F2F2F2"/>
            <w:tcMar>
              <w:top w:w="90" w:type="dxa"/>
              <w:left w:w="195" w:type="dxa"/>
              <w:bottom w:w="90" w:type="dxa"/>
              <w:right w:w="195" w:type="dxa"/>
            </w:tcMar>
            <w:vAlign w:val="center"/>
          </w:tcPr>
          <w:p>
            <w:pPr>
              <w:pStyle w:val="8"/>
              <w:numPr>
                <w:ilvl w:val="1"/>
                <w:numId w:val="1"/>
              </w:numPr>
              <w:ind w:firstLineChars="0"/>
              <w:rPr>
                <w:highlight w:val="none"/>
              </w:rPr>
            </w:pPr>
            <w:r>
              <w:rPr>
                <w:highlight w:val="none"/>
              </w:rPr>
              <w:t>对token进行了解析验证</w:t>
            </w:r>
          </w:p>
          <w:p>
            <w:pPr>
              <w:pStyle w:val="8"/>
              <w:ind w:left="375" w:firstLine="0" w:firstLineChars="0"/>
            </w:pPr>
            <w:r>
              <w:t>Validate the token in request header</w:t>
            </w:r>
          </w:p>
          <w:p>
            <w:pPr>
              <w:pStyle w:val="8"/>
              <w:numPr>
                <w:ilvl w:val="1"/>
                <w:numId w:val="1"/>
              </w:numPr>
              <w:ind w:left="375" w:leftChars="0" w:hanging="375" w:firstLineChars="0"/>
              <w:rPr>
                <w:rFonts w:hint="eastAsia"/>
                <w:lang w:val="en-US" w:eastAsia="zh-CN"/>
              </w:rPr>
            </w:pPr>
            <w:r>
              <w:rPr>
                <w:rFonts w:hint="eastAsia"/>
                <w:lang w:val="en-US" w:eastAsia="zh-CN"/>
              </w:rPr>
              <w:t>每个restful接口都有角色校验，符合的角色才能访问接口</w:t>
            </w:r>
          </w:p>
          <w:p>
            <w:pPr>
              <w:pStyle w:val="8"/>
              <w:numPr>
                <w:ilvl w:val="0"/>
                <w:numId w:val="0"/>
              </w:numPr>
              <w:ind w:leftChars="0"/>
              <w:rPr>
                <w:rFonts w:hint="default"/>
                <w:lang w:val="en-US" w:eastAsia="zh-CN"/>
              </w:rPr>
            </w:pPr>
            <w:r>
              <w:rPr>
                <w:rFonts w:hint="eastAsia"/>
                <w:lang w:val="en-US" w:eastAsia="zh-CN"/>
              </w:rPr>
              <w:t xml:space="preserve">    Each restful interface has access validation based on role</w:t>
            </w:r>
          </w:p>
          <w:p>
            <w:pPr>
              <w:pStyle w:val="8"/>
              <w:numPr>
                <w:ilvl w:val="1"/>
                <w:numId w:val="2"/>
              </w:numPr>
              <w:ind w:firstLineChars="0"/>
            </w:pPr>
            <w:r>
              <w:rPr>
                <w:rFonts w:hint="eastAsia"/>
                <w:lang w:val="en-US" w:eastAsia="zh-CN"/>
              </w:rPr>
              <w:t>接口校验用户输入的参数的长度</w:t>
            </w:r>
          </w:p>
          <w:p>
            <w:pPr>
              <w:pStyle w:val="8"/>
              <w:ind w:left="360" w:firstLine="0" w:firstLineChars="0"/>
              <w:rPr>
                <w:rFonts w:hint="default" w:eastAsiaTheme="minorEastAsia"/>
                <w:lang w:val="en-US" w:eastAsia="zh-CN"/>
              </w:rPr>
            </w:pPr>
            <w:r>
              <w:rPr>
                <w:rFonts w:hint="eastAsia"/>
                <w:lang w:val="en-US" w:eastAsia="zh-CN"/>
              </w:rPr>
              <w:t>Interface validates the length of input parameters</w:t>
            </w:r>
          </w:p>
          <w:p>
            <w:pPr>
              <w:rPr>
                <w:rFonts w:hint="default" w:eastAsiaTheme="minorEastAsia"/>
                <w:lang w:val="en-US" w:eastAsia="zh-CN"/>
              </w:rPr>
            </w:pPr>
            <w:r>
              <w:rPr>
                <w:rFonts w:hint="eastAsia"/>
              </w:rPr>
              <w:t>1</w:t>
            </w:r>
            <w:r>
              <w:t xml:space="preserve">.12 </w:t>
            </w:r>
            <w:r>
              <w:rPr>
                <w:highlight w:val="none"/>
              </w:rPr>
              <w:t>接口做了角色访问控制</w:t>
            </w:r>
          </w:p>
          <w:p>
            <w:pPr>
              <w:rPr>
                <w:rFonts w:hint="eastAsia"/>
              </w:rPr>
            </w:pPr>
            <w:r>
              <w:rPr>
                <w:rFonts w:hint="eastAsia"/>
              </w:rPr>
              <w:t xml:space="preserve"> </w:t>
            </w:r>
            <w:r>
              <w:t xml:space="preserve">   Access to inter</w:t>
            </w:r>
            <w:r>
              <w:rPr>
                <w:rFonts w:hint="eastAsia"/>
                <w:lang w:val="en-US" w:eastAsia="zh-CN"/>
              </w:rPr>
              <w:t>f</w:t>
            </w:r>
            <w:r>
              <w:t>ace must satisfy the role</w:t>
            </w:r>
          </w:p>
          <w:p>
            <w:pPr>
              <w:rPr>
                <w:highlight w:val="none"/>
              </w:rPr>
            </w:pPr>
            <w:r>
              <w:t>5.3</w:t>
            </w:r>
            <w:r>
              <w:rPr>
                <w:highlight w:val="none"/>
              </w:rPr>
              <w:t xml:space="preserve"> 对接口入参做了长度校验</w:t>
            </w:r>
          </w:p>
          <w:p>
            <w:r>
              <w:rPr>
                <w:rFonts w:hint="eastAsia"/>
              </w:rPr>
              <w:t xml:space="preserve"> </w:t>
            </w:r>
            <w:r>
              <w:t xml:space="preserve">  Validate the length of input parameter.</w:t>
            </w:r>
          </w:p>
          <w:p>
            <w:pPr>
              <w:rPr>
                <w:rFonts w:hint="eastAsia"/>
                <w:lang w:val="en-US" w:eastAsia="zh-CN"/>
              </w:rPr>
            </w:pPr>
            <w:r>
              <w:rPr>
                <w:rFonts w:hint="eastAsia"/>
                <w:lang w:val="en-US" w:eastAsia="zh-CN"/>
              </w:rPr>
              <w:t>7.2 所有的接口结构体都是json的形式</w:t>
            </w:r>
          </w:p>
          <w:p>
            <w:pPr>
              <w:rPr>
                <w:rFonts w:hint="default"/>
                <w:lang w:val="en-US" w:eastAsia="zh-CN"/>
              </w:rPr>
            </w:pPr>
            <w:r>
              <w:rPr>
                <w:rFonts w:hint="eastAsia"/>
                <w:lang w:val="en-US" w:eastAsia="zh-CN"/>
              </w:rPr>
              <w:t xml:space="preserve">    All pattern of request or response body is json </w:t>
            </w:r>
          </w:p>
          <w:p>
            <w:pPr>
              <w:rPr>
                <w:highlight w:val="none"/>
              </w:rPr>
            </w:pPr>
            <w:r>
              <w:rPr>
                <w:rFonts w:hint="eastAsia"/>
              </w:rPr>
              <w:t>8</w:t>
            </w:r>
            <w:r>
              <w:t>.1</w:t>
            </w:r>
            <w:r>
              <w:rPr>
                <w:highlight w:val="none"/>
              </w:rPr>
              <w:t xml:space="preserve"> 接口在产品文档中进行描述</w:t>
            </w:r>
          </w:p>
          <w:p>
            <w:pPr>
              <w:rPr>
                <w:rFonts w:hint="eastAsia"/>
              </w:rPr>
            </w:pPr>
            <w:r>
              <w:rPr>
                <w:rFonts w:hint="eastAsia"/>
              </w:rPr>
              <w:t xml:space="preserve"> </w:t>
            </w:r>
            <w:r>
              <w:t xml:space="preserve">  Describe the restful interface in document.</w:t>
            </w:r>
          </w:p>
          <w:p>
            <w:r>
              <w:t>9.1 日志未记录用户输入的字段</w:t>
            </w:r>
          </w:p>
          <w:p>
            <w:pPr>
              <w:rPr>
                <w:rFonts w:hint="eastAsia"/>
              </w:rPr>
            </w:pPr>
            <w:r>
              <w:rPr>
                <w:rFonts w:hint="eastAsia"/>
              </w:rPr>
              <w:t xml:space="preserve"> </w:t>
            </w:r>
            <w:r>
              <w:t xml:space="preserve">  Do not logging user input data.</w:t>
            </w:r>
          </w:p>
          <w:p>
            <w:pPr>
              <w:rPr>
                <w:rFonts w:hint="eastAsia"/>
              </w:rPr>
            </w:pPr>
            <w:r>
              <w:rPr>
                <w:rFonts w:hint="eastAsia"/>
              </w:rPr>
              <w:t>9</w:t>
            </w:r>
            <w:r>
              <w:t>.2 在异常情况分支中</w:t>
            </w:r>
            <w:r>
              <w:rPr>
                <w:rFonts w:hint="eastAsia"/>
              </w:rPr>
              <w:t>，</w:t>
            </w:r>
            <w:r>
              <w:t>记录了足够的日志</w:t>
            </w:r>
            <w:r>
              <w:rPr>
                <w:rFonts w:hint="eastAsia"/>
              </w:rPr>
              <w:t>，</w:t>
            </w:r>
            <w:r>
              <w:t>能够支撑定位</w:t>
            </w:r>
            <w:r>
              <w:rPr>
                <w:rFonts w:hint="eastAsia"/>
              </w:rPr>
              <w:t>。</w:t>
            </w:r>
          </w:p>
          <w:p>
            <w:pPr>
              <w:ind w:firstLine="420" w:firstLineChars="200"/>
              <w:rPr>
                <w:rFonts w:hint="eastAsia"/>
              </w:rPr>
            </w:pPr>
            <w:r>
              <w:t xml:space="preserve">logging </w:t>
            </w:r>
            <w:r>
              <w:rPr>
                <w:rFonts w:hint="eastAsia"/>
                <w:lang w:val="en-US" w:eastAsia="zh-CN"/>
              </w:rPr>
              <w:t xml:space="preserve">enough log </w:t>
            </w:r>
            <w:r>
              <w:t>in exception branch.</w:t>
            </w:r>
          </w:p>
          <w:p>
            <w:r>
              <w:t>9.4</w:t>
            </w:r>
            <w:r>
              <w:rPr>
                <w:rFonts w:hint="eastAsia"/>
              </w:rPr>
              <w:t xml:space="preserve"> 对于流程的日志，没有记录，只在异常分支中记录了日志。</w:t>
            </w:r>
          </w:p>
          <w:p>
            <w:r>
              <w:rPr>
                <w:rFonts w:hint="eastAsia"/>
              </w:rPr>
              <w:t xml:space="preserve"> </w:t>
            </w:r>
            <w:r>
              <w:t xml:space="preserve">  Only logging in exception branch, do not logging to much redundant logs.</w:t>
            </w:r>
          </w:p>
        </w:tc>
      </w:tr>
      <w:tr>
        <w:tblPrEx>
          <w:tblCellMar>
            <w:top w:w="0" w:type="dxa"/>
            <w:left w:w="0" w:type="dxa"/>
            <w:bottom w:w="0" w:type="dxa"/>
            <w:right w:w="0" w:type="dxa"/>
          </w:tblCellMar>
        </w:tblPrEx>
        <w:tc>
          <w:tcPr>
            <w:tcW w:w="340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rPr>
                <w:b/>
                <w:bCs/>
              </w:rPr>
              <w:t>Related APIs</w:t>
            </w:r>
          </w:p>
        </w:tc>
        <w:tc>
          <w:tcPr>
            <w:tcW w:w="1066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pPr>
              <w:rPr>
                <w:rFonts w:hint="default"/>
              </w:rPr>
            </w:pPr>
            <w:r>
              <w:rPr>
                <w:rFonts w:hint="default"/>
              </w:rPr>
              <w:t>edgegallery/atp/v1/tasks/batch_delete</w:t>
            </w:r>
            <w:r>
              <w:rPr>
                <w:rFonts w:hint="eastAsia"/>
                <w:lang w:val="en-US" w:eastAsia="zh-CN"/>
              </w:rPr>
              <w:t xml:space="preserve">   </w:t>
            </w:r>
            <w:r>
              <w:rPr>
                <w:rFonts w:hint="default"/>
              </w:rPr>
              <w:t>POST</w:t>
            </w:r>
          </w:p>
          <w:p>
            <w:pPr>
              <w:rPr>
                <w:rFonts w:hint="default"/>
              </w:rPr>
            </w:pPr>
            <w:r>
              <w:rPr>
                <w:rFonts w:hint="default"/>
              </w:rPr>
              <w:t>edgegallery/atp/v1/tasks/action/analysize GET</w:t>
            </w:r>
          </w:p>
          <w:p>
            <w:pPr>
              <w:rPr>
                <w:rFonts w:hint="default"/>
              </w:rPr>
            </w:pPr>
            <w:r>
              <w:rPr>
                <w:rFonts w:hint="default"/>
              </w:rPr>
              <w:t>edgegallery/atp/v1/testcases/{id}/action/download</w:t>
            </w:r>
            <w:r>
              <w:rPr>
                <w:rFonts w:hint="eastAsia"/>
                <w:lang w:val="en-US" w:eastAsia="zh-CN"/>
              </w:rPr>
              <w:t xml:space="preserve">  </w:t>
            </w:r>
            <w:r>
              <w:rPr>
                <w:rFonts w:hint="default"/>
              </w:rPr>
              <w:t>GET</w:t>
            </w:r>
          </w:p>
          <w:p>
            <w:pPr>
              <w:rPr>
                <w:rFonts w:hint="default"/>
              </w:rPr>
            </w:pPr>
            <w:r>
              <w:rPr>
                <w:rFonts w:hint="default"/>
              </w:rPr>
              <w:t>edgegallery/atp/v1/testscenarios</w:t>
            </w:r>
            <w:r>
              <w:rPr>
                <w:rFonts w:hint="eastAsia"/>
                <w:lang w:val="en-US" w:eastAsia="zh-CN"/>
              </w:rPr>
              <w:t xml:space="preserve">  </w:t>
            </w:r>
            <w:r>
              <w:rPr>
                <w:rFonts w:hint="default"/>
              </w:rPr>
              <w:t>POST</w:t>
            </w:r>
          </w:p>
          <w:p>
            <w:pPr>
              <w:rPr>
                <w:rFonts w:hint="default"/>
              </w:rPr>
            </w:pPr>
            <w:r>
              <w:rPr>
                <w:rFonts w:hint="default"/>
              </w:rPr>
              <w:t>edgegallery/atp/v1/testscenarios/{id}</w:t>
            </w:r>
            <w:r>
              <w:rPr>
                <w:rFonts w:hint="eastAsia"/>
                <w:lang w:val="en-US" w:eastAsia="zh-CN"/>
              </w:rPr>
              <w:t xml:space="preserve">  </w:t>
            </w:r>
            <w:r>
              <w:rPr>
                <w:rFonts w:hint="default"/>
              </w:rPr>
              <w:t>PUT</w:t>
            </w:r>
          </w:p>
          <w:p>
            <w:pPr>
              <w:rPr>
                <w:rFonts w:hint="default"/>
              </w:rPr>
            </w:pPr>
            <w:r>
              <w:rPr>
                <w:rFonts w:hint="default"/>
              </w:rPr>
              <w:t>edgegallery/atp/v1/testscenarios/{id}</w:t>
            </w:r>
            <w:r>
              <w:rPr>
                <w:rFonts w:hint="eastAsia"/>
                <w:lang w:val="en-US" w:eastAsia="zh-CN"/>
              </w:rPr>
              <w:t xml:space="preserve">  </w:t>
            </w:r>
            <w:r>
              <w:rPr>
                <w:rFonts w:hint="default"/>
              </w:rPr>
              <w:t>DELETE</w:t>
            </w:r>
          </w:p>
          <w:p>
            <w:pPr>
              <w:rPr>
                <w:rFonts w:hint="default"/>
              </w:rPr>
            </w:pPr>
            <w:r>
              <w:rPr>
                <w:rFonts w:hint="default"/>
              </w:rPr>
              <w:t>edgegallery/atp/v1/testscenarios/{id}</w:t>
            </w:r>
            <w:r>
              <w:rPr>
                <w:rFonts w:hint="eastAsia"/>
                <w:lang w:val="en-US" w:eastAsia="zh-CN"/>
              </w:rPr>
              <w:t xml:space="preserve">  </w:t>
            </w:r>
            <w:r>
              <w:rPr>
                <w:rFonts w:hint="default"/>
              </w:rPr>
              <w:t>GET</w:t>
            </w:r>
          </w:p>
          <w:p>
            <w:pPr>
              <w:rPr>
                <w:rFonts w:hint="eastAsia" w:eastAsiaTheme="minorEastAsia"/>
                <w:lang w:val="en-US" w:eastAsia="zh-CN"/>
              </w:rPr>
            </w:pPr>
            <w:r>
              <w:rPr>
                <w:rFonts w:hint="default"/>
              </w:rPr>
              <w:t xml:space="preserve">edgegallery/atp/v1/testscenarios?locale=“ch”&amp;&amp;name = </w:t>
            </w:r>
            <w:r>
              <w:rPr>
                <w:rFonts w:hint="default"/>
                <w:lang w:val="en-US" w:eastAsia="zh-CN"/>
              </w:rPr>
              <w:t>“”</w:t>
            </w:r>
            <w:r>
              <w:rPr>
                <w:rFonts w:hint="eastAsia"/>
                <w:lang w:val="en-US" w:eastAsia="zh-CN"/>
              </w:rPr>
              <w:t xml:space="preserve">  </w:t>
            </w:r>
            <w:r>
              <w:rPr>
                <w:rFonts w:hint="default"/>
              </w:rPr>
              <w:t>GE</w:t>
            </w:r>
            <w:r>
              <w:rPr>
                <w:rFonts w:hint="eastAsia"/>
                <w:lang w:val="en-US" w:eastAsia="zh-CN"/>
              </w:rPr>
              <w:t>T</w:t>
            </w:r>
          </w:p>
          <w:p>
            <w:pPr>
              <w:rPr>
                <w:rFonts w:hint="default"/>
              </w:rPr>
            </w:pPr>
            <w:r>
              <w:rPr>
                <w:rFonts w:hint="default"/>
              </w:rPr>
              <w:t>edgegallery/atp/v1/testsuites</w:t>
            </w:r>
            <w:r>
              <w:rPr>
                <w:rFonts w:hint="eastAsia"/>
                <w:lang w:val="en-US" w:eastAsia="zh-CN"/>
              </w:rPr>
              <w:t xml:space="preserve">  </w:t>
            </w:r>
            <w:r>
              <w:rPr>
                <w:rFonts w:hint="default"/>
              </w:rPr>
              <w:t>POST</w:t>
            </w:r>
          </w:p>
          <w:p>
            <w:pPr>
              <w:rPr>
                <w:rFonts w:hint="default"/>
              </w:rPr>
            </w:pPr>
            <w:r>
              <w:rPr>
                <w:rFonts w:hint="default"/>
              </w:rPr>
              <w:t>edgegallery/atp/v1/testsuites/{id}</w:t>
            </w:r>
            <w:r>
              <w:rPr>
                <w:rFonts w:hint="eastAsia"/>
                <w:lang w:val="en-US" w:eastAsia="zh-CN"/>
              </w:rPr>
              <w:t xml:space="preserve">  </w:t>
            </w:r>
            <w:r>
              <w:rPr>
                <w:rFonts w:hint="default"/>
              </w:rPr>
              <w:t>PUT</w:t>
            </w:r>
          </w:p>
          <w:p>
            <w:pPr>
              <w:rPr>
                <w:rFonts w:hint="default"/>
              </w:rPr>
            </w:pPr>
            <w:r>
              <w:rPr>
                <w:rFonts w:hint="default"/>
              </w:rPr>
              <w:t>edgegallery/atp/v1/testsuites/{id}</w:t>
            </w:r>
            <w:r>
              <w:rPr>
                <w:rFonts w:hint="eastAsia"/>
                <w:lang w:val="en-US" w:eastAsia="zh-CN"/>
              </w:rPr>
              <w:t xml:space="preserve">  </w:t>
            </w:r>
            <w:r>
              <w:rPr>
                <w:rFonts w:hint="default"/>
              </w:rPr>
              <w:t>DELETE</w:t>
            </w:r>
          </w:p>
          <w:p>
            <w:pPr>
              <w:rPr>
                <w:rFonts w:hint="default"/>
              </w:rPr>
            </w:pPr>
            <w:r>
              <w:rPr>
                <w:rFonts w:hint="default"/>
              </w:rPr>
              <w:t>edgegallery/atp/v1/testsuites/{id}</w:t>
            </w:r>
            <w:r>
              <w:rPr>
                <w:rFonts w:hint="eastAsia"/>
                <w:lang w:val="en-US" w:eastAsia="zh-CN"/>
              </w:rPr>
              <w:t xml:space="preserve">  </w:t>
            </w:r>
            <w:r>
              <w:rPr>
                <w:rFonts w:hint="default"/>
              </w:rPr>
              <w:t>GET</w:t>
            </w:r>
          </w:p>
          <w:p>
            <w:r>
              <w:rPr>
                <w:rFonts w:hint="default"/>
              </w:rPr>
              <w:t>edgegallery/atp/v1/testsuites?locale=“ch”&amp;name = “”&amp;scenarioIdList =“”</w:t>
            </w:r>
            <w:r>
              <w:rPr>
                <w:rFonts w:hint="eastAsia"/>
                <w:lang w:val="en-US" w:eastAsia="zh-CN"/>
              </w:rPr>
              <w:t xml:space="preserve">   </w:t>
            </w:r>
            <w:r>
              <w:rPr>
                <w:rFonts w:hint="default"/>
              </w:rPr>
              <w:t>GET</w:t>
            </w:r>
          </w:p>
        </w:tc>
      </w:tr>
      <w:tr>
        <w:tblPrEx>
          <w:tblCellMar>
            <w:top w:w="0" w:type="dxa"/>
            <w:left w:w="0" w:type="dxa"/>
            <w:bottom w:w="0" w:type="dxa"/>
            <w:right w:w="0" w:type="dxa"/>
          </w:tblCellMar>
        </w:tblPrEx>
        <w:tc>
          <w:tcPr>
            <w:tcW w:w="3400" w:type="dxa"/>
            <w:tcBorders>
              <w:top w:val="single" w:color="1D1D1A" w:sz="8" w:space="0"/>
              <w:left w:val="single" w:color="1D1D1A" w:sz="8" w:space="0"/>
              <w:bottom w:val="single" w:color="1D1D1A" w:sz="8" w:space="0"/>
              <w:right w:val="single" w:color="1D1D1A" w:sz="8" w:space="0"/>
            </w:tcBorders>
            <w:shd w:val="clear" w:color="auto" w:fill="F2F2F2"/>
            <w:tcMar>
              <w:top w:w="90" w:type="dxa"/>
              <w:left w:w="195" w:type="dxa"/>
              <w:bottom w:w="90" w:type="dxa"/>
              <w:right w:w="195" w:type="dxa"/>
            </w:tcMar>
            <w:vAlign w:val="center"/>
          </w:tcPr>
          <w:p>
            <w:r>
              <w:rPr>
                <w:b/>
                <w:bCs/>
              </w:rPr>
              <w:t>Example API payload</w:t>
            </w:r>
          </w:p>
        </w:tc>
        <w:tc>
          <w:tcPr>
            <w:tcW w:w="10660" w:type="dxa"/>
            <w:tcBorders>
              <w:top w:val="single" w:color="1D1D1A" w:sz="8" w:space="0"/>
              <w:left w:val="single" w:color="1D1D1A" w:sz="8" w:space="0"/>
              <w:bottom w:val="single" w:color="1D1D1A" w:sz="8" w:space="0"/>
              <w:right w:val="single" w:color="1D1D1A" w:sz="8" w:space="0"/>
            </w:tcBorders>
            <w:shd w:val="clear" w:color="auto" w:fill="F2F2F2"/>
            <w:tcMar>
              <w:top w:w="90" w:type="dxa"/>
              <w:left w:w="195" w:type="dxa"/>
              <w:bottom w:w="90" w:type="dxa"/>
              <w:right w:w="195" w:type="dxa"/>
            </w:tcMar>
            <w:vAlign w:val="center"/>
          </w:tcPr>
          <w:p>
            <w:r>
              <w:rPr>
                <w:rFonts w:hint="eastAsia"/>
                <w:lang w:val="en-US" w:eastAsia="zh-CN"/>
              </w:rPr>
              <w:t>2.5</w:t>
            </w:r>
            <w:r>
              <w:t>K</w:t>
            </w:r>
          </w:p>
        </w:tc>
      </w:tr>
      <w:tr>
        <w:tblPrEx>
          <w:tblCellMar>
            <w:top w:w="0" w:type="dxa"/>
            <w:left w:w="0" w:type="dxa"/>
            <w:bottom w:w="0" w:type="dxa"/>
            <w:right w:w="0" w:type="dxa"/>
          </w:tblCellMar>
        </w:tblPrEx>
        <w:tc>
          <w:tcPr>
            <w:tcW w:w="340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rPr>
                <w:b/>
                <w:bCs/>
              </w:rPr>
              <w:t>Related files</w:t>
            </w:r>
          </w:p>
        </w:tc>
        <w:tc>
          <w:tcPr>
            <w:tcW w:w="1066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t>NA</w:t>
            </w:r>
          </w:p>
        </w:tc>
      </w:tr>
      <w:tr>
        <w:tblPrEx>
          <w:tblCellMar>
            <w:top w:w="0" w:type="dxa"/>
            <w:left w:w="0" w:type="dxa"/>
            <w:bottom w:w="0" w:type="dxa"/>
            <w:right w:w="0" w:type="dxa"/>
          </w:tblCellMar>
        </w:tblPrEx>
        <w:tc>
          <w:tcPr>
            <w:tcW w:w="3400" w:type="dxa"/>
            <w:tcBorders>
              <w:top w:val="single" w:color="1D1D1A" w:sz="8" w:space="0"/>
              <w:left w:val="single" w:color="1D1D1A" w:sz="8" w:space="0"/>
              <w:bottom w:val="single" w:color="1D1D1A" w:sz="8" w:space="0"/>
              <w:right w:val="single" w:color="1D1D1A" w:sz="8" w:space="0"/>
            </w:tcBorders>
            <w:shd w:val="clear" w:color="auto" w:fill="F2F2F2"/>
            <w:tcMar>
              <w:top w:w="90" w:type="dxa"/>
              <w:left w:w="195" w:type="dxa"/>
              <w:bottom w:w="90" w:type="dxa"/>
              <w:right w:w="195" w:type="dxa"/>
            </w:tcMar>
            <w:vAlign w:val="center"/>
          </w:tcPr>
          <w:p>
            <w:r>
              <w:rPr>
                <w:b/>
                <w:bCs/>
              </w:rPr>
              <w:t>Related GUI URLs</w:t>
            </w:r>
          </w:p>
        </w:tc>
        <w:tc>
          <w:tcPr>
            <w:tcW w:w="10660" w:type="dxa"/>
            <w:tcBorders>
              <w:top w:val="single" w:color="1D1D1A" w:sz="8" w:space="0"/>
              <w:left w:val="single" w:color="1D1D1A" w:sz="8" w:space="0"/>
              <w:bottom w:val="single" w:color="1D1D1A" w:sz="8" w:space="0"/>
              <w:right w:val="single" w:color="1D1D1A" w:sz="8" w:space="0"/>
            </w:tcBorders>
            <w:shd w:val="clear" w:color="auto" w:fill="F2F2F2"/>
            <w:tcMar>
              <w:top w:w="90" w:type="dxa"/>
              <w:left w:w="195" w:type="dxa"/>
              <w:bottom w:w="90" w:type="dxa"/>
              <w:right w:w="195" w:type="dxa"/>
            </w:tcMar>
            <w:vAlign w:val="center"/>
          </w:tcPr>
          <w:p>
            <w:r>
              <w:t>NA</w:t>
            </w:r>
          </w:p>
        </w:tc>
      </w:tr>
      <w:tr>
        <w:tblPrEx>
          <w:tblCellMar>
            <w:top w:w="0" w:type="dxa"/>
            <w:left w:w="0" w:type="dxa"/>
            <w:bottom w:w="0" w:type="dxa"/>
            <w:right w:w="0" w:type="dxa"/>
          </w:tblCellMar>
        </w:tblPrEx>
        <w:trPr>
          <w:trHeight w:val="90" w:hRule="atLeast"/>
        </w:trPr>
        <w:tc>
          <w:tcPr>
            <w:tcW w:w="340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rPr>
                <w:b/>
                <w:bCs/>
              </w:rPr>
              <w:t>GUI testing steps</w:t>
            </w:r>
          </w:p>
        </w:tc>
        <w:tc>
          <w:tcPr>
            <w:tcW w:w="1066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pPr>
              <w:rPr>
                <w:rFonts w:hint="eastAsia"/>
                <w:lang w:val="en-US" w:eastAsia="zh-CN"/>
              </w:rPr>
            </w:pPr>
            <w:r>
              <w:rPr>
                <w:rFonts w:hint="eastAsia"/>
                <w:lang w:val="en-US" w:eastAsia="zh-CN"/>
              </w:rPr>
              <w:t>在应用商城我的应用中，点击测试，验证测试场景选择页面和测试进展页面</w:t>
            </w:r>
          </w:p>
          <w:p>
            <w:pPr>
              <w:rPr>
                <w:rFonts w:hint="default"/>
                <w:lang w:val="en-US" w:eastAsia="zh-CN"/>
              </w:rPr>
            </w:pPr>
            <w:r>
              <w:rPr>
                <w:rFonts w:hint="eastAsia"/>
                <w:lang w:val="en-US" w:eastAsia="zh-CN"/>
              </w:rPr>
              <w:t>In my application of appstore, clicking test and validating test scenario choice page and test task process page</w:t>
            </w:r>
          </w:p>
          <w:p>
            <w:pPr>
              <w:rPr>
                <w:rFonts w:hint="eastAsia"/>
                <w:lang w:val="en-US" w:eastAsia="zh-CN"/>
              </w:rPr>
            </w:pPr>
            <w:r>
              <w:rPr>
                <w:rFonts w:hint="eastAsia"/>
                <w:lang w:val="en-US" w:eastAsia="zh-CN"/>
              </w:rPr>
              <w:t>在ATP管理面中，点击测试场景管理，验证测试场景列表、新增、删除、修改操作</w:t>
            </w:r>
          </w:p>
          <w:p>
            <w:pPr>
              <w:rPr>
                <w:rFonts w:hint="default"/>
                <w:lang w:val="en-US" w:eastAsia="zh-CN"/>
              </w:rPr>
            </w:pPr>
            <w:r>
              <w:rPr>
                <w:rFonts w:hint="eastAsia"/>
                <w:lang w:val="en-US" w:eastAsia="zh-CN"/>
              </w:rPr>
              <w:t>In ATP management portal, clicking test scenario management, and validating test scenario CRUD operation</w:t>
            </w:r>
          </w:p>
          <w:p>
            <w:pPr>
              <w:rPr>
                <w:rFonts w:hint="eastAsia"/>
                <w:lang w:val="en-US" w:eastAsia="zh-CN"/>
              </w:rPr>
            </w:pPr>
            <w:r>
              <w:rPr>
                <w:rFonts w:hint="eastAsia"/>
                <w:lang w:val="en-US" w:eastAsia="zh-CN"/>
              </w:rPr>
              <w:t>在ATP管理面中，点击测试套管理，验证测试套列表、新增、删除、修改操作</w:t>
            </w:r>
          </w:p>
          <w:p>
            <w:pPr>
              <w:rPr>
                <w:rFonts w:hint="eastAsia"/>
                <w:lang w:val="en-US" w:eastAsia="zh-CN"/>
              </w:rPr>
            </w:pPr>
            <w:r>
              <w:rPr>
                <w:rFonts w:hint="eastAsia"/>
                <w:lang w:val="en-US" w:eastAsia="zh-CN"/>
              </w:rPr>
              <w:t>In ATP management portal, clicking test suite management, and validating test suite CRUD operation</w:t>
            </w:r>
          </w:p>
          <w:p>
            <w:pPr>
              <w:rPr>
                <w:rFonts w:hint="eastAsia"/>
                <w:lang w:val="en-US" w:eastAsia="zh-CN"/>
              </w:rPr>
            </w:pPr>
            <w:r>
              <w:rPr>
                <w:rFonts w:hint="eastAsia"/>
                <w:lang w:val="en-US" w:eastAsia="zh-CN"/>
              </w:rPr>
              <w:t>在ATP管理面，点击任务管理，验证测试任务列表批量删除操作</w:t>
            </w:r>
          </w:p>
          <w:p>
            <w:pPr>
              <w:rPr>
                <w:rFonts w:hint="default"/>
                <w:lang w:val="en-US" w:eastAsia="zh-CN"/>
              </w:rPr>
            </w:pPr>
            <w:r>
              <w:rPr>
                <w:rFonts w:hint="eastAsia"/>
                <w:lang w:val="en-US" w:eastAsia="zh-CN"/>
              </w:rPr>
              <w:t>In ATP management portal, clicking test task management, and validating batch delete test task operation</w:t>
            </w:r>
            <w:bookmarkStart w:id="0" w:name="_GoBack"/>
            <w:bookmarkEnd w:id="0"/>
          </w:p>
        </w:tc>
      </w:tr>
      <w:tr>
        <w:tblPrEx>
          <w:tblCellMar>
            <w:top w:w="0" w:type="dxa"/>
            <w:left w:w="0" w:type="dxa"/>
            <w:bottom w:w="0" w:type="dxa"/>
            <w:right w:w="0" w:type="dxa"/>
          </w:tblCellMar>
        </w:tblPrEx>
        <w:tc>
          <w:tcPr>
            <w:tcW w:w="3400" w:type="dxa"/>
            <w:tcBorders>
              <w:top w:val="single" w:color="1D1D1A" w:sz="8" w:space="0"/>
              <w:left w:val="single" w:color="1D1D1A" w:sz="8" w:space="0"/>
              <w:bottom w:val="single" w:color="1D1D1A" w:sz="8" w:space="0"/>
              <w:right w:val="single" w:color="1D1D1A" w:sz="8" w:space="0"/>
            </w:tcBorders>
            <w:shd w:val="clear" w:color="auto" w:fill="F2F2F2"/>
            <w:tcMar>
              <w:top w:w="90" w:type="dxa"/>
              <w:left w:w="195" w:type="dxa"/>
              <w:bottom w:w="90" w:type="dxa"/>
              <w:right w:w="195" w:type="dxa"/>
            </w:tcMar>
            <w:vAlign w:val="center"/>
          </w:tcPr>
          <w:p>
            <w:r>
              <w:rPr>
                <w:b/>
                <w:bCs/>
              </w:rPr>
              <w:t>GUI input example</w:t>
            </w:r>
          </w:p>
        </w:tc>
        <w:tc>
          <w:tcPr>
            <w:tcW w:w="10660" w:type="dxa"/>
            <w:tcBorders>
              <w:top w:val="single" w:color="1D1D1A" w:sz="8" w:space="0"/>
              <w:left w:val="single" w:color="1D1D1A" w:sz="8" w:space="0"/>
              <w:bottom w:val="single" w:color="1D1D1A" w:sz="8" w:space="0"/>
              <w:right w:val="single" w:color="1D1D1A" w:sz="8" w:space="0"/>
            </w:tcBorders>
            <w:shd w:val="clear" w:color="auto" w:fill="F2F2F2"/>
            <w:tcMar>
              <w:top w:w="90" w:type="dxa"/>
              <w:left w:w="195" w:type="dxa"/>
              <w:bottom w:w="90" w:type="dxa"/>
              <w:right w:w="195" w:type="dxa"/>
            </w:tcMar>
            <w:vAlign w:val="center"/>
          </w:tcPr>
          <w:p>
            <w:r>
              <w:rPr>
                <w:rFonts w:hint="eastAsia"/>
              </w:rPr>
              <w:t>NA</w:t>
            </w:r>
          </w:p>
        </w:tc>
      </w:tr>
      <w:tr>
        <w:tblPrEx>
          <w:tblCellMar>
            <w:top w:w="0" w:type="dxa"/>
            <w:left w:w="0" w:type="dxa"/>
            <w:bottom w:w="0" w:type="dxa"/>
            <w:right w:w="0" w:type="dxa"/>
          </w:tblCellMar>
        </w:tblPrEx>
        <w:tc>
          <w:tcPr>
            <w:tcW w:w="340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rPr>
                <w:b/>
                <w:bCs/>
              </w:rPr>
              <w:t>Additional Info</w:t>
            </w:r>
          </w:p>
        </w:tc>
        <w:tc>
          <w:tcPr>
            <w:tcW w:w="10660" w:type="dxa"/>
            <w:tcBorders>
              <w:top w:val="single" w:color="1D1D1A" w:sz="8" w:space="0"/>
              <w:left w:val="single" w:color="1D1D1A" w:sz="8" w:space="0"/>
              <w:bottom w:val="single" w:color="1D1D1A" w:sz="8" w:space="0"/>
              <w:right w:val="single" w:color="1D1D1A" w:sz="8" w:space="0"/>
            </w:tcBorders>
            <w:shd w:val="clear" w:color="auto" w:fill="auto"/>
            <w:tcMar>
              <w:top w:w="90" w:type="dxa"/>
              <w:left w:w="195" w:type="dxa"/>
              <w:bottom w:w="90" w:type="dxa"/>
              <w:right w:w="195" w:type="dxa"/>
            </w:tcMar>
            <w:vAlign w:val="center"/>
          </w:tcPr>
          <w:p>
            <w:r>
              <w:rPr>
                <w:rFonts w:hint="eastAsia"/>
              </w:rPr>
              <w:t>NA</w:t>
            </w:r>
          </w:p>
        </w:tc>
      </w:tr>
    </w:tbl>
    <w:p>
      <w:r>
        <w:rPr/>
        <w:br w:type="textWrapping" w:clear="all"/>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677C8"/>
    <w:multiLevelType w:val="multilevel"/>
    <w:tmpl w:val="287677C8"/>
    <w:lvl w:ilvl="0" w:tentative="0">
      <w:start w:val="1"/>
      <w:numFmt w:val="decimal"/>
      <w:lvlText w:val="%1"/>
      <w:lvlJc w:val="left"/>
      <w:pPr>
        <w:ind w:left="375" w:hanging="375"/>
      </w:pPr>
      <w:rPr>
        <w:rFonts w:hint="default"/>
      </w:rPr>
    </w:lvl>
    <w:lvl w:ilvl="1" w:tentative="0">
      <w:start w:val="1"/>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76D17E32"/>
    <w:multiLevelType w:val="multilevel"/>
    <w:tmpl w:val="76D17E32"/>
    <w:lvl w:ilvl="0" w:tentative="0">
      <w:start w:val="1"/>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80"/>
    <w:rsid w:val="0005462E"/>
    <w:rsid w:val="00093289"/>
    <w:rsid w:val="000D762A"/>
    <w:rsid w:val="001005B2"/>
    <w:rsid w:val="001107E0"/>
    <w:rsid w:val="0011707D"/>
    <w:rsid w:val="00145551"/>
    <w:rsid w:val="001506F3"/>
    <w:rsid w:val="001F5E41"/>
    <w:rsid w:val="00204F33"/>
    <w:rsid w:val="002276FE"/>
    <w:rsid w:val="00331A55"/>
    <w:rsid w:val="00362119"/>
    <w:rsid w:val="00391F54"/>
    <w:rsid w:val="003C061B"/>
    <w:rsid w:val="00422983"/>
    <w:rsid w:val="004267BC"/>
    <w:rsid w:val="00470858"/>
    <w:rsid w:val="004C4AF3"/>
    <w:rsid w:val="004F04F9"/>
    <w:rsid w:val="004F459F"/>
    <w:rsid w:val="005051AD"/>
    <w:rsid w:val="00561838"/>
    <w:rsid w:val="00563988"/>
    <w:rsid w:val="005B09E6"/>
    <w:rsid w:val="005C4F83"/>
    <w:rsid w:val="005E000E"/>
    <w:rsid w:val="00733367"/>
    <w:rsid w:val="0074537D"/>
    <w:rsid w:val="00745ADF"/>
    <w:rsid w:val="00773597"/>
    <w:rsid w:val="007A3255"/>
    <w:rsid w:val="007E2590"/>
    <w:rsid w:val="007F22E2"/>
    <w:rsid w:val="00805A37"/>
    <w:rsid w:val="00867F6A"/>
    <w:rsid w:val="0087193C"/>
    <w:rsid w:val="00872F90"/>
    <w:rsid w:val="008C6960"/>
    <w:rsid w:val="00964E2A"/>
    <w:rsid w:val="00986D06"/>
    <w:rsid w:val="0099684D"/>
    <w:rsid w:val="00A103AB"/>
    <w:rsid w:val="00A24F80"/>
    <w:rsid w:val="00A32187"/>
    <w:rsid w:val="00A35C55"/>
    <w:rsid w:val="00A61703"/>
    <w:rsid w:val="00B75858"/>
    <w:rsid w:val="00B973EA"/>
    <w:rsid w:val="00C34E08"/>
    <w:rsid w:val="00C456F5"/>
    <w:rsid w:val="00C6468B"/>
    <w:rsid w:val="00CB3125"/>
    <w:rsid w:val="00D56879"/>
    <w:rsid w:val="00E27586"/>
    <w:rsid w:val="00E37DC9"/>
    <w:rsid w:val="00E54C9A"/>
    <w:rsid w:val="00E65E80"/>
    <w:rsid w:val="00E8498E"/>
    <w:rsid w:val="00E8611C"/>
    <w:rsid w:val="00EE5B12"/>
    <w:rsid w:val="00EE5F81"/>
    <w:rsid w:val="00F23152"/>
    <w:rsid w:val="00F41410"/>
    <w:rsid w:val="00F97766"/>
    <w:rsid w:val="039B01D3"/>
    <w:rsid w:val="0426056B"/>
    <w:rsid w:val="04587F72"/>
    <w:rsid w:val="04B27423"/>
    <w:rsid w:val="06D5717D"/>
    <w:rsid w:val="13603B3A"/>
    <w:rsid w:val="1AAD104F"/>
    <w:rsid w:val="1BA809F4"/>
    <w:rsid w:val="1BCC6784"/>
    <w:rsid w:val="2D682FB8"/>
    <w:rsid w:val="2DD96683"/>
    <w:rsid w:val="31083A21"/>
    <w:rsid w:val="31F72390"/>
    <w:rsid w:val="33F742A1"/>
    <w:rsid w:val="3A083066"/>
    <w:rsid w:val="3AD06CFD"/>
    <w:rsid w:val="3B31591D"/>
    <w:rsid w:val="44FE440D"/>
    <w:rsid w:val="4FBE3D0A"/>
    <w:rsid w:val="53E034E6"/>
    <w:rsid w:val="591358E3"/>
    <w:rsid w:val="5AD71D06"/>
    <w:rsid w:val="5FD7677D"/>
    <w:rsid w:val="5FF83479"/>
    <w:rsid w:val="6C2B1170"/>
    <w:rsid w:val="6F3026EB"/>
    <w:rsid w:val="72D35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Pages>
  <Words>661</Words>
  <Characters>3768</Characters>
  <Lines>31</Lines>
  <Paragraphs>8</Paragraphs>
  <TotalTime>0</TotalTime>
  <ScaleCrop>false</ScaleCrop>
  <LinksUpToDate>false</LinksUpToDate>
  <CharactersWithSpaces>4421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2020-11-03T03:19:00Z</dcterms:created>
  <dc:creator>liuhuiling (D)</dc:creator>
  <cp:lastModifiedBy>Administrator</cp:lastModifiedBy>
  <dcterms:modified xsi:type="dcterms:W3CDTF">2021-02-02T03:27:52Z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(2)oHnnKcOnPs+EStWFCHJ3kii3rdpSqJtNqw9kpMFE96uDXVLI5ZYutBTfRrUOlXEmGvt+Rfdd
THP2/IqNkL2DpSAVPPnXLX1hF0BfNHMtWKZ8gxE224Lwv+zMK0XW20JNrxZThcfS4ya0ev7l
BvWat/EEf54YY1swWo+TlsGJdsyb3kr34y4Cq0dTRFuhu1obFGD/1cVL2rA4dAv3Wm2MY3GO
QPU/VItp5SZqfdo39R</vt:lpwstr>
  </property>
  <property fmtid="{D5CDD505-2E9C-101B-9397-08002B2CF9AE}" pid="3" name="_2015_ms_pID_7253431">
    <vt:lpwstr>cdLsiwmlLuy2Z5iUjwr5Kx22smo38NGraShmiLKQC16vsmqFpYcxp6
Xl3l9BO/Gi9PIQBxH1EfRC6GC3Piq0O5i4exwGg+q5rxN5MVkippWJ08JOxr/CsRfJea68Tm
SwGpLP8JJLv/KJ8SorBKdmXK7v0dBmtiW731+tSsHSLsbdTkVy+MvyEfk11+f8Ij8VYh3V3t
tbSpEQEfE36tTgKK</vt:lpwstr>
  </property>
  <property fmtid="{D5CDD505-2E9C-101B-9397-08002B2CF9AE}" pid="4" name="KSOProductBuildVer">
    <vt:lpwstr>2052-11.1.0.10132</vt:lpwstr>
  </property>
</Properties>
</file>