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rFonts w:ascii="Times New Roman" w:cs="Times New Roman" w:eastAsia="Times New Roman" w:hAnsi="Times New Roman"/>
          <w:b/>
          <w:bCs/>
          <w:color w:val="111111"/>
          <w:sz w:val="30"/>
          <w:szCs w:val="30"/>
        </w:rPr>
        <w:t xml:space="preserve">A Systematic Empirical Evaluation of Spectral Persistence Observables in Complex Networks</w:t>
      </w:r>
    </w:p>
    <w:p>
      <w:pPr>
        <w:spacing w:after="180"/>
        <w:jc w:val="center"/>
      </w:pPr>
      <w:r>
        <w:rPr>
          <w:rFonts w:ascii="Times New Roman" w:cs="Times New Roman" w:eastAsia="Times New Roman" w:hAnsi="Times New Roman"/>
          <w:i/>
          <w:iCs/>
          <w:color w:val="111111"/>
          <w:sz w:val="22"/>
          <w:szCs w:val="22"/>
        </w:rPr>
        <w:t xml:space="preserve">Which working conjectures survive rigorous testing, and which do not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color w:val="111111"/>
          <w:sz w:val="23"/>
          <w:szCs w:val="23"/>
        </w:rPr>
        <w:t xml:space="preserve">Edher Alan Arteaga Marroquín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color w:val="444444"/>
          <w:sz w:val="20"/>
          <w:szCs w:val="20"/>
        </w:rPr>
        <w:t xml:space="preserve">ORCID 0009-0004-7333-1975</w:t>
      </w:r>
    </w:p>
    <w:p>
      <w:pP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color w:val="111111"/>
          <w:sz w:val="20"/>
          <w:szCs w:val="20"/>
        </w:rPr>
        <w:t xml:space="preserve">Version 5.0 — July 31, 2026 (paused / at rest)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color w:val="444444"/>
          <w:sz w:val="18"/>
          <w:szCs w:val="18"/>
        </w:rPr>
        <w:t xml:space="preserve">Preprint / reproducible technical record — not peer reviewed. Literature review incomplete (Section 11).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i/>
          <w:iCs/>
          <w:color w:val="111111"/>
          <w:sz w:val="23"/>
          <w:szCs w:val="23"/>
        </w:rPr>
        <w:t xml:space="preserve">Abstract</w:t>
      </w:r>
    </w:p>
    <w:p>
      <w:pPr>
        <w:spacing w:after="200" w:line="288"/>
        <w:jc w:val="both"/>
      </w:pPr>
      <w:r>
        <w:rPr>
          <w:rFonts w:ascii="Times New Roman" w:cs="Times New Roman" w:eastAsia="Times New Roman" w:hAnsi="Times New Roman"/>
          <w:color w:val="111111"/>
          <w:sz w:val="22"/>
          <w:szCs w:val="22"/>
        </w:rPr>
        <w:t xml:space="preserve">This document reports a systematic empirical audit of a known spectral object, the diagonal of the Laplacian pseudoinverse (L⁺_ii), and its dynamics under heat-kernel diffusion. No claim of a new observable is made: V_i = Σ_{k≥2} v_k(i)²/λ_k is verified identical to L⁺_ii (error ~10⁻¹⁴) and to the quantity used by Van Mieghem, Devriendt &amp; Cetinay (2017) to define the best electrical spreader. Version 4 adds a second round of testing that identifies the origin of the degree–V anti-correlation: it is shown, via a continuous interpolation of the graph operator (L_γ = D⁻γ L D⁻γ, 0≤γ≤0.5), that the anti-correlation is not a property of the network alone but of the pairing (network, diffusion operator). The correlation decays smoothly from ≈−1 at γ=0 (combinatorial Laplacian, where the diagonal equals degree exactly) to near 0 at γ=0.5 (symmetric normalized Laplacian, where the diagonal is uniformly 1). This identity was independently verified for the normalized operator (error ~10⁻¹⁴), ruling out the possibility that the effect is a computational artifact of extending the formula outside its valid domain. A modal decomposition shows the effect is distributed across most of the spectrum, not concentrated in the Fiedler mode (removing it changes the ranking by only 0.4% on average; Spearman between full and Fiedler-removed rankings = 0.978). A residual analysis (V_i minus its best 1/degree fit) shows the residual's relative size varies substantially across networks (5–25% of V), and is proposed, not established, as the more promising object for future structural characterization. A benchmark against classical centralities for sensor placement showed V does not outperform degree; a follow-up test restricted to self-retention (the quantity V is defined to predict) confirmed V predicts it near-perfectly at short times (Spearman ≈0.999 for T≲0.3) but the prediction decays to non-correlation by T≈5, a decay whose value depends on the diffusion operator as much as on the network.</w:t>
      </w:r>
    </w:p>
    <w:p>
      <w:pPr>
        <w:pStyle w:val="Heading1"/>
        <w:spacing w:after="140" w:before="320"/>
      </w:pPr>
      <w:r>
        <w:rPr>
          <w:rFonts w:ascii="Times New Roman" w:cs="Times New Roman" w:eastAsia="Times New Roman" w:hAnsi="Times New Roman"/>
          <w:b/>
          <w:bCs/>
          <w:color w:val="111111"/>
          <w:sz w:val="25"/>
          <w:szCs w:val="25"/>
        </w:rPr>
        <w:t xml:space="preserve">1. Object of Study</w:t>
      </w:r>
    </w:p>
    <w:p>
      <w:pPr>
        <w:spacing w:after="100" w:before="100"/>
        <w:jc w:val="center"/>
      </w:pPr>
      <w:r>
        <w:rPr>
          <w:rFonts w:ascii="Cambria Math" w:cs="Cambria Math" w:eastAsia="Cambria Math" w:hAnsi="Cambria Math"/>
          <w:i/>
          <w:iCs/>
          <w:color w:val="111111"/>
          <w:sz w:val="22"/>
          <w:szCs w:val="22"/>
        </w:rPr>
        <w:t xml:space="preserve">V_i = Σ_{k≥2} v_k(i)² / λ_k</w:t>
      </w:r>
    </w:p>
    <w:p>
      <w:pPr>
        <w:spacing w:after="140" w:line="288"/>
        <w:jc w:val="both"/>
      </w:pPr>
      <w:r>
        <w:rPr>
          <w:rFonts w:ascii="Times New Roman" w:cs="Times New Roman" w:eastAsia="Times New Roman" w:hAnsi="Times New Roman"/>
          <w:color w:val="111111"/>
          <w:sz w:val="22"/>
          <w:szCs w:val="22"/>
        </w:rPr>
        <w:t xml:space="preserve">Established fact: V_i is exactly L⁺_ii, the diagonal of the Moore–Penrose pseudoinverse of the combinatorial Laplacian L = D − A (verified numerically, error ~10⁻¹⁴). It coincides with nodal effective resistance (Klein &amp; Randić, 1993) and with the object used by Van Mieghem, Devriendt &amp; Cetinay (2017).</w:t>
      </w:r>
    </w:p>
    <w:p>
      <w:pPr>
        <w:spacing w:after="140" w:line="288"/>
        <w:jc w:val="both"/>
      </w:pPr>
      <w:r>
        <w:rPr>
          <w:rFonts w:ascii="Times New Roman" w:cs="Times New Roman" w:eastAsia="Times New Roman" w:hAnsi="Times New Roman"/>
          <w:color w:val="111111"/>
          <w:sz w:val="22"/>
          <w:szCs w:val="22"/>
        </w:rPr>
        <w:t xml:space="preserve">Time-dependent version used in the dynamic tests:</w:t>
      </w:r>
    </w:p>
    <w:p>
      <w:pPr>
        <w:spacing w:after="100" w:before="100"/>
        <w:jc w:val="center"/>
      </w:pPr>
      <w:r>
        <w:rPr>
          <w:rFonts w:ascii="Cambria Math" w:cs="Cambria Math" w:eastAsia="Cambria Math" w:hAnsi="Cambria Math"/>
          <w:i/>
          <w:iCs/>
          <w:color w:val="111111"/>
          <w:sz w:val="22"/>
          <w:szCs w:val="22"/>
        </w:rPr>
        <w:t xml:space="preserve">V_i(T) = ∫₀^T R_i^⊥(t)\,dt,\quad R_i^⊥(t)=Σ_{k≥2} e^{-λ_k t} v_k(i)^2,\quad \lim_{T→∞}V_i(T)=V_i</w:t>
      </w:r>
    </w:p>
    <w:p>
      <w:pPr>
        <w:pStyle w:val="Heading1"/>
        <w:spacing w:after="140" w:before="320"/>
      </w:pPr>
      <w:r>
        <w:rPr>
          <w:rFonts w:ascii="Times New Roman" w:cs="Times New Roman" w:eastAsia="Times New Roman" w:hAnsi="Times New Roman"/>
          <w:b/>
          <w:bCs/>
          <w:color w:val="111111"/>
          <w:sz w:val="25"/>
          <w:szCs w:val="25"/>
        </w:rPr>
        <w:t xml:space="preserve">2. Methods and Positive Controls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Times New Roman" w:cs="Times New Roman" w:eastAsia="Times New Roman" w:hAnsi="Times New Roman"/>
          <w:color w:val="111111"/>
          <w:sz w:val="22"/>
          <w:szCs w:val="22"/>
        </w:rPr>
        <w:t xml:space="preserve">Data: Netzschleuder (networks.skewed.de); undirected, binary graphs; largest connected component; no truncation.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Times New Roman" w:cs="Times New Roman" w:eastAsia="Times New Roman" w:hAnsi="Times New Roman"/>
          <w:color w:val="111111"/>
          <w:sz w:val="22"/>
          <w:szCs w:val="22"/>
        </w:rPr>
        <w:t xml:space="preserve">Computation: Python 3.12, numpy, scipy.linalg.eigh; networkx for synthetic graphs (Erdős–Rényi, Barabási–Albert), 3–5 seeds per configuration.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Times New Roman" w:cs="Times New Roman" w:eastAsia="Times New Roman" w:hAnsi="Times New Roman"/>
          <w:color w:val="111111"/>
          <w:sz w:val="22"/>
          <w:szCs w:val="22"/>
        </w:rPr>
        <w:t xml:space="preserve">Positive control: star graph S₂₀, τ_hub=0.0500 (theory 1/N), τ_leaf=0.9999 (theory 1.0).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Times New Roman" w:cs="Times New Roman" w:eastAsia="Times New Roman" w:hAnsi="Times New Roman"/>
          <w:color w:val="111111"/>
          <w:sz w:val="22"/>
          <w:szCs w:val="22"/>
        </w:rPr>
        <w:t xml:space="preserve">Reliability criterion: two observables must agree in sign; disagreement flags unreliability.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Times New Roman" w:cs="Times New Roman" w:eastAsia="Times New Roman" w:hAnsi="Times New Roman"/>
          <w:color w:val="111111"/>
          <w:sz w:val="22"/>
          <w:szCs w:val="22"/>
        </w:rPr>
        <w:t xml:space="preserve">A pipeline defect (node truncation dependent on CSV row order) found in prior work was corrected; all results here use full networks.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Times New Roman" w:cs="Times New Roman" w:eastAsia="Times New Roman" w:hAnsi="Times New Roman"/>
          <w:b/>
          <w:bCs/>
          <w:color w:val="111111"/>
          <w:sz w:val="25"/>
          <w:szCs w:val="25"/>
        </w:rPr>
        <w:t xml:space="preserve">3. Working Conjectures and Verdicts (Updated)</w:t>
      </w:r>
    </w:p>
    <w:tbl>
      <w:tblPr>
        <w:tblW w:type="dxa" w:w="9700"/>
        <w:tblBorders>
          <w:top w:val="single" w:color="000000" w:sz="4"/>
          <w:left w:val="single" w:color="999999" w:sz="2"/>
          <w:bottom w:val="single" w:color="000000" w:sz="4"/>
          <w:right w:val="single" w:color="999999" w:sz="2"/>
          <w:insideH w:val="single" w:color="cccccc" w:sz="2"/>
          <w:insideV w:val="single" w:color="cccccc" w:sz="2"/>
        </w:tblBorders>
      </w:tblPr>
      <w:tblGrid>
        <w:gridCol w:w="3600"/>
        <w:gridCol w:w="4300"/>
        <w:gridCol w:w="1800"/>
      </w:tblGrid>
      <w:tr>
        <w:trPr>
          <w:tblHeader/>
        </w:trPr>
        <w:tc>
          <w:tcPr>
            <w:tcW w:type="dxa" w:w="3600"/>
            <w:shd w:fill="e8e8e8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8"/>
                <w:szCs w:val="18"/>
              </w:rPr>
              <w:t xml:space="preserve">Working conjecture</w:t>
            </w:r>
          </w:p>
        </w:tc>
        <w:tc>
          <w:tcPr>
            <w:tcW w:type="dxa" w:w="4300"/>
            <w:shd w:fill="e8e8e8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8"/>
                <w:szCs w:val="18"/>
              </w:rPr>
              <w:t xml:space="preserve">Verdict under testing</w:t>
            </w:r>
          </w:p>
        </w:tc>
        <w:tc>
          <w:tcPr>
            <w:tcW w:type="dxa" w:w="1800"/>
            <w:shd w:fill="e8e8e8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111111"/>
                <w:sz w:val="18"/>
                <w:szCs w:val="18"/>
              </w:rPr>
              <w:t xml:space="preserve">V_i is a novel observable</w:t>
            </w:r>
          </w:p>
        </w:tc>
        <w:tc>
          <w:tcPr>
            <w:tcW w:type="dxa" w:w="4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11111"/>
                <w:sz w:val="18"/>
                <w:szCs w:val="18"/>
              </w:rPr>
              <w:t xml:space="preserve">Identical to L⁺_ii (Van Mieghem et al., 2017); error 10⁻¹⁴.</w:t>
            </w:r>
          </w:p>
        </w:tc>
        <w:tc>
          <w:tcPr>
            <w:tcW w:type="dxa" w:w="1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11111"/>
                <w:sz w:val="18"/>
                <w:szCs w:val="18"/>
              </w:rPr>
              <w:t xml:space="preserve">REFUTED</w:t>
            </w:r>
          </w:p>
        </w:tc>
      </w:tr>
      <w:tr>
        <w:tc>
          <w:tcPr>
            <w:tcW w:type="dxa" w:w="3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111111"/>
                <w:sz w:val="18"/>
                <w:szCs w:val="18"/>
              </w:rPr>
              <w:t xml:space="preserve">The normalized timescale τ̃ carries information beyond V</w:t>
            </w:r>
          </w:p>
        </w:tc>
        <w:tc>
          <w:tcPr>
            <w:tcW w:type="dxa" w:w="4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11111"/>
                <w:sz w:val="18"/>
                <w:szCs w:val="18"/>
              </w:rPr>
              <w:t xml:space="preserve">Pre-registered test against 4 structural tasks; τ̃ never outperformed V.</w:t>
            </w:r>
          </w:p>
        </w:tc>
        <w:tc>
          <w:tcPr>
            <w:tcW w:type="dxa" w:w="1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11111"/>
                <w:sz w:val="18"/>
                <w:szCs w:val="18"/>
              </w:rPr>
              <w:t xml:space="preserve">REFUTED</w:t>
            </w:r>
          </w:p>
        </w:tc>
      </w:tr>
      <w:tr>
        <w:tc>
          <w:tcPr>
            <w:tcW w:type="dxa" w:w="3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111111"/>
                <w:sz w:val="18"/>
                <w:szCs w:val="18"/>
              </w:rPr>
              <w:t xml:space="preserve">The degree–V anti-correlation is a non-trivial finding, independent of the choice of operator</w:t>
            </w:r>
          </w:p>
        </w:tc>
        <w:tc>
          <w:tcPr>
            <w:tcW w:type="dxa" w:w="4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11111"/>
                <w:sz w:val="18"/>
                <w:szCs w:val="18"/>
              </w:rPr>
              <w:t xml:space="preserve">V ≈ c/degree explains R²=0.77–0.999 depending on network; AND the anti-correlation itself is operator-dependent (Section 6): it collapses under the normalized Laplacian.</w:t>
            </w:r>
          </w:p>
        </w:tc>
        <w:tc>
          <w:tcPr>
            <w:tcW w:type="dxa" w:w="1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11111"/>
                <w:sz w:val="18"/>
                <w:szCs w:val="18"/>
              </w:rPr>
              <w:t xml:space="preserve">REFUTED (as stated); reframed in Section 6</w:t>
            </w:r>
          </w:p>
        </w:tc>
      </w:tr>
      <w:tr>
        <w:tc>
          <w:tcPr>
            <w:tcW w:type="dxa" w:w="3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111111"/>
                <w:sz w:val="18"/>
                <w:szCs w:val="18"/>
              </w:rPr>
              <w:t xml:space="preserve">Rank crossings are visible via Spearman(degree, V(T))</w:t>
            </w:r>
          </w:p>
        </w:tc>
        <w:tc>
          <w:tcPr>
            <w:tcW w:type="dxa" w:w="4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11111"/>
                <w:sz w:val="18"/>
                <w:szCs w:val="18"/>
              </w:rPr>
              <w:t xml:space="preserve">This metric is nearly flat in T and does not detect the phenomenon.</w:t>
            </w:r>
          </w:p>
        </w:tc>
        <w:tc>
          <w:tcPr>
            <w:tcW w:type="dxa" w:w="1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11111"/>
                <w:sz w:val="18"/>
                <w:szCs w:val="18"/>
              </w:rPr>
              <w:t xml:space="preserve">REFUTED (insensitive metric)</w:t>
            </w:r>
          </w:p>
        </w:tc>
      </w:tr>
      <w:tr>
        <w:tc>
          <w:tcPr>
            <w:tcW w:type="dxa" w:w="3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111111"/>
                <w:sz w:val="18"/>
                <w:szCs w:val="18"/>
              </w:rPr>
              <w:t xml:space="preserve">A finer control (V(T) vs. V(∞)) reveals substantial early reordering</w:t>
            </w:r>
          </w:p>
        </w:tc>
        <w:tc>
          <w:tcPr>
            <w:tcW w:type="dxa" w:w="4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11111"/>
                <w:sz w:val="18"/>
                <w:szCs w:val="18"/>
              </w:rPr>
              <w:t xml:space="preserve">Up to 94% of nodes reorder at small T in one network.</w:t>
            </w:r>
          </w:p>
        </w:tc>
        <w:tc>
          <w:tcPr>
            <w:tcW w:type="dxa" w:w="1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11111"/>
                <w:sz w:val="18"/>
                <w:szCs w:val="18"/>
              </w:rPr>
              <w:t xml:space="preserve">SURVIVED</w:t>
            </w:r>
          </w:p>
        </w:tc>
      </w:tr>
      <w:tr>
        <w:tc>
          <w:tcPr>
            <w:tcW w:type="dxa" w:w="3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111111"/>
                <w:sz w:val="18"/>
                <w:szCs w:val="18"/>
              </w:rPr>
              <w:t xml:space="preserve">T₉₅ (rank-stabilization time) reflects structure beyond λ₂ or spectral range</w:t>
            </w:r>
          </w:p>
        </w:tc>
        <w:tc>
          <w:tcPr>
            <w:tcW w:type="dxa" w:w="4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11111"/>
                <w:sz w:val="18"/>
                <w:szCs w:val="18"/>
              </w:rPr>
              <w:t xml:space="preserve">Controlled BA/ER sweeps: both correlate strongly (|r|≈0.76–0.79) with log(T₉₅), but one case (BA m=2 vs. jazz_collab) shows λ₂ alone is insufficient.</w:t>
            </w:r>
          </w:p>
        </w:tc>
        <w:tc>
          <w:tcPr>
            <w:tcW w:type="dxa" w:w="1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11111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3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111111"/>
                <w:sz w:val="18"/>
                <w:szCs w:val="18"/>
              </w:rPr>
              <w:t xml:space="preserve">The effect is dominated by the Fiedler mode</w:t>
            </w:r>
          </w:p>
        </w:tc>
        <w:tc>
          <w:tcPr>
            <w:tcW w:type="dxa" w:w="4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11111"/>
                <w:sz w:val="18"/>
                <w:szCs w:val="18"/>
              </w:rPr>
              <w:t xml:space="preserve">Removing it changes ranking negligibly (mean weight 0.4%; Spearman full vs. Fiedler-removed = 0.978).</w:t>
            </w:r>
          </w:p>
        </w:tc>
        <w:tc>
          <w:tcPr>
            <w:tcW w:type="dxa" w:w="1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11111"/>
                <w:sz w:val="18"/>
                <w:szCs w:val="18"/>
              </w:rPr>
              <w:t xml:space="preserve">REFUTED</w:t>
            </w:r>
          </w:p>
        </w:tc>
      </w:tr>
      <w:tr>
        <w:tc>
          <w:tcPr>
            <w:tcW w:type="dxa" w:w="3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111111"/>
                <w:sz w:val="18"/>
                <w:szCs w:val="18"/>
              </w:rPr>
              <w:t xml:space="preserve">The anti-correlation is a network property, independent of the diffusion operator</w:t>
            </w:r>
          </w:p>
        </w:tc>
        <w:tc>
          <w:tcPr>
            <w:tcW w:type="dxa" w:w="4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11111"/>
                <w:sz w:val="18"/>
                <w:szCs w:val="18"/>
              </w:rPr>
              <w:t xml:space="preserve">Continuous interpolation L_γ=D⁻γLD⁻γ shows a smooth decay from ≈−1 (γ=0) to ≈0 (γ=0.5) in all three networks tested; verified not an artifact by confirming the integral identity holds for the normalized operator.</w:t>
            </w:r>
          </w:p>
        </w:tc>
        <w:tc>
          <w:tcPr>
            <w:tcW w:type="dxa" w:w="1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11111"/>
                <w:sz w:val="18"/>
                <w:szCs w:val="18"/>
              </w:rPr>
              <w:t xml:space="preserve">REFUTED — the effect is a property of (network, operator)</w:t>
            </w:r>
          </w:p>
        </w:tc>
      </w:tr>
      <w:tr>
        <w:tc>
          <w:tcPr>
            <w:tcW w:type="dxa" w:w="3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111111"/>
                <w:sz w:val="18"/>
                <w:szCs w:val="18"/>
              </w:rPr>
              <w:t xml:space="preserve">V outperforms classical centralities at sensor placement (energy capture)</w:t>
            </w:r>
          </w:p>
        </w:tc>
        <w:tc>
          <w:tcPr>
            <w:tcW w:type="dxa" w:w="4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11111"/>
                <w:sz w:val="18"/>
                <w:szCs w:val="18"/>
              </w:rPr>
              <w:t xml:space="preserve">Degree, eigenvector and betweenness all outperformed V in a diffusion-energy-capture task across 3 networks.</w:t>
            </w:r>
          </w:p>
        </w:tc>
        <w:tc>
          <w:tcPr>
            <w:tcW w:type="dxa" w:w="1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11111"/>
                <w:sz w:val="18"/>
                <w:szCs w:val="18"/>
              </w:rPr>
              <w:t xml:space="preserve">REFUTED</w:t>
            </w:r>
          </w:p>
        </w:tc>
      </w:tr>
      <w:tr>
        <w:tc>
          <w:tcPr>
            <w:tcW w:type="dxa" w:w="3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111111"/>
                <w:sz w:val="18"/>
                <w:szCs w:val="18"/>
              </w:rPr>
              <w:t xml:space="preserve">V predicts self-retention of an injected perturbation</w:t>
            </w:r>
          </w:p>
        </w:tc>
        <w:tc>
          <w:tcPr>
            <w:tcW w:type="dxa" w:w="4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11111"/>
                <w:sz w:val="18"/>
                <w:szCs w:val="18"/>
              </w:rPr>
              <w:t xml:space="preserve">Spearman(V, self-retained energy) ≈ 0.999–1.000 for T≲0.3, decaying to ≈0 by T≈5, consistently across 3 networks.</w:t>
            </w:r>
          </w:p>
        </w:tc>
        <w:tc>
          <w:tcPr>
            <w:tcW w:type="dxa" w:w="1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11111"/>
                <w:sz w:val="18"/>
                <w:szCs w:val="18"/>
              </w:rPr>
              <w:t xml:space="preserve">SURVIVED, with a decay whose origin is partly explained by the operator dependence in Section 6</w:t>
            </w:r>
          </w:p>
        </w:tc>
      </w:tr>
      <w:tr>
        <w:tc>
          <w:tcPr>
            <w:tcW w:type="dxa" w:w="3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111111"/>
                <w:sz w:val="18"/>
                <w:szCs w:val="18"/>
              </w:rPr>
              <w:t xml:space="preserve">The residual Δ_i = V_i − (a/k_i+b) encodes structural information (clustering, betweenness, k-core, module participation)</w:t>
            </w:r>
          </w:p>
        </w:tc>
        <w:tc>
          <w:tcPr>
            <w:tcW w:type="dxa" w:w="4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11111"/>
                <w:sz w:val="18"/>
                <w:szCs w:val="18"/>
              </w:rPr>
              <w:t xml:space="preserve">Correlations found (|Sp|=0.13–0.62) but sign is inconsistent across networks; relative residual size varies 5–25% of V across networks, suggesting the correlations found in low-residual networks may be dominated by numerical noise rather than structure.</w:t>
            </w:r>
          </w:p>
        </w:tc>
        <w:tc>
          <w:tcPr>
            <w:tcW w:type="dxa" w:w="1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11111"/>
                <w:sz w:val="18"/>
                <w:szCs w:val="18"/>
              </w:rPr>
              <w:t xml:space="preserve">OPEN, not established</w:t>
            </w:r>
          </w:p>
        </w:tc>
      </w:tr>
    </w:tbl>
    <w:p>
      <w:pPr>
        <w:pStyle w:val="Heading1"/>
        <w:spacing w:after="140" w:before="320"/>
      </w:pPr>
      <w:r>
        <w:rPr>
          <w:rFonts w:ascii="Times New Roman" w:cs="Times New Roman" w:eastAsia="Times New Roman" w:hAnsi="Times New Roman"/>
          <w:b/>
          <w:bCs/>
          <w:color w:val="111111"/>
          <w:sz w:val="25"/>
          <w:szCs w:val="25"/>
        </w:rPr>
        <w:t xml:space="preserve">4. Identity Verifications</w:t>
      </w:r>
    </w:p>
    <w:tbl>
      <w:tblPr>
        <w:tblW w:type="dxa" w:w="9200"/>
        <w:tblBorders>
          <w:top w:val="single" w:color="000000" w:sz="4"/>
          <w:left w:val="single" w:color="999999" w:sz="2"/>
          <w:bottom w:val="single" w:color="000000" w:sz="4"/>
          <w:right w:val="single" w:color="999999" w:sz="2"/>
          <w:insideH w:val="single" w:color="cccccc" w:sz="2"/>
          <w:insideV w:val="single" w:color="cccccc" w:sz="2"/>
        </w:tblBorders>
      </w:tblPr>
      <w:tblGrid>
        <w:gridCol w:w="4300"/>
        <w:gridCol w:w="2900"/>
        <w:gridCol w:w="2000"/>
      </w:tblGrid>
      <w:tr>
        <w:trPr>
          <w:tblHeader/>
        </w:trPr>
        <w:tc>
          <w:tcPr>
            <w:tcW w:type="dxa" w:w="4300"/>
            <w:shd w:fill="e8e8e8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8"/>
                <w:szCs w:val="18"/>
              </w:rPr>
              <w:t xml:space="preserve">Identity</w:t>
            </w:r>
          </w:p>
        </w:tc>
        <w:tc>
          <w:tcPr>
            <w:tcW w:type="dxa" w:w="2900"/>
            <w:shd w:fill="e8e8e8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8"/>
                <w:szCs w:val="18"/>
              </w:rPr>
              <w:t xml:space="preserve">Test</w:t>
            </w:r>
          </w:p>
        </w:tc>
        <w:tc>
          <w:tcPr>
            <w:tcW w:type="dxa" w:w="2000"/>
            <w:shd w:fill="e8e8e8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4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111111"/>
                <w:sz w:val="18"/>
                <w:szCs w:val="18"/>
              </w:rPr>
              <w:t xml:space="preserve">V = L⁺_ii (combinatorial L)</w:t>
            </w:r>
          </w:p>
        </w:tc>
        <w:tc>
          <w:tcPr>
            <w:tcW w:type="dxa" w:w="2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11111"/>
                <w:sz w:val="18"/>
                <w:szCs w:val="18"/>
              </w:rPr>
              <w:t xml:space="preserve">pinv(L) vs. spectral sum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11111"/>
                <w:sz w:val="18"/>
                <w:szCs w:val="18"/>
              </w:rPr>
              <w:t xml:space="preserve">error 2.6×10⁻¹⁴</w:t>
            </w:r>
          </w:p>
        </w:tc>
      </w:tr>
      <w:tr>
        <w:tc>
          <w:tcPr>
            <w:tcW w:type="dxa" w:w="4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111111"/>
                <w:sz w:val="18"/>
                <w:szCs w:val="18"/>
              </w:rPr>
              <w:t xml:space="preserve">V ≠ current-flow closeness</w:t>
            </w:r>
          </w:p>
        </w:tc>
        <w:tc>
          <w:tcPr>
            <w:tcW w:type="dxa" w:w="2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11111"/>
                <w:sz w:val="18"/>
                <w:szCs w:val="18"/>
              </w:rPr>
              <w:t xml:space="preserve">networkx CFC vs. V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11111"/>
                <w:sz w:val="18"/>
                <w:szCs w:val="18"/>
              </w:rPr>
              <w:t xml:space="preserve">Spearman −0.9999; Pearson −0.82</w:t>
            </w:r>
          </w:p>
        </w:tc>
      </w:tr>
      <w:tr>
        <w:tc>
          <w:tcPr>
            <w:tcW w:type="dxa" w:w="4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111111"/>
                <w:sz w:val="18"/>
                <w:szCs w:val="18"/>
              </w:rPr>
              <w:t xml:space="preserve">Vˢʸᵐ = ∫₀^∞ Rᵢ^⊥(t)dt for the SYMMETRIC NORMALIZED Laplacian</w:t>
            </w:r>
          </w:p>
        </w:tc>
        <w:tc>
          <w:tcPr>
            <w:tcW w:type="dxa" w:w="2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11111"/>
                <w:sz w:val="18"/>
                <w:szCs w:val="18"/>
              </w:rPr>
              <w:t xml:space="preserve">quadrature vs. spectral, L_sym = I−D⁻¹ᐟ²AD⁻¹ᐟ²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11111"/>
                <w:sz w:val="18"/>
                <w:szCs w:val="18"/>
              </w:rPr>
              <w:t xml:space="preserve">error 2.3×10⁻¹⁴ to 6.7×10⁻¹⁶ (3 nodes tested)</w:t>
            </w:r>
          </w:p>
        </w:tc>
      </w:tr>
      <w:tr>
        <w:tc>
          <w:tcPr>
            <w:tcW w:type="dxa" w:w="4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111111"/>
                <w:sz w:val="18"/>
                <w:szCs w:val="18"/>
              </w:rPr>
              <w:t xml:space="preserve">V_i = ∫₀^∞ R_i^⊥(t) dt (combinatorial)</w:t>
            </w:r>
          </w:p>
        </w:tc>
        <w:tc>
          <w:tcPr>
            <w:tcW w:type="dxa" w:w="2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11111"/>
                <w:sz w:val="18"/>
                <w:szCs w:val="18"/>
              </w:rPr>
              <w:t xml:space="preserve">quadrature vs. spectral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11111"/>
                <w:sz w:val="18"/>
                <w:szCs w:val="18"/>
              </w:rPr>
              <w:t xml:space="preserve">error &lt; 5×10⁻¹⁵</w:t>
            </w:r>
          </w:p>
        </w:tc>
      </w:tr>
      <w:tr>
        <w:tc>
          <w:tcPr>
            <w:tcW w:type="dxa" w:w="4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111111"/>
                <w:sz w:val="18"/>
                <w:szCs w:val="18"/>
              </w:rPr>
              <w:t xml:space="preserve">C_dyn = λ₂²·G_pure</w:t>
            </w:r>
          </w:p>
        </w:tc>
        <w:tc>
          <w:tcPr>
            <w:tcW w:type="dxa" w:w="2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11111"/>
                <w:sz w:val="18"/>
                <w:szCs w:val="18"/>
              </w:rPr>
              <w:t xml:space="preserve">91 ER graphs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11111"/>
                <w:sz w:val="18"/>
                <w:szCs w:val="18"/>
              </w:rPr>
              <w:t xml:space="preserve">error 5.6×10⁻¹⁶</w:t>
            </w:r>
          </w:p>
        </w:tc>
      </w:tr>
    </w:tbl>
    <w:p>
      <w:pPr>
        <w:spacing w:after="180" w:line="288"/>
        <w:jc w:val="both"/>
      </w:pPr>
      <w:r>
        <w:rPr>
          <w:rFonts w:ascii="Times New Roman" w:cs="Times New Roman" w:eastAsia="Times New Roman" w:hAnsi="Times New Roman"/>
          <w:color w:val="111111"/>
          <w:sz w:val="22"/>
          <w:szCs w:val="22"/>
        </w:rPr>
        <w:t xml:space="preserve">The identity check for the normalized Laplacian is reported because the same closed-form spectral expression was applied to a different operator; verifying the integral identity confirms this is mathematically valid and not an artifact of extending a formula outside its derivation.</w:t>
      </w:r>
    </w:p>
    <w:p>
      <w:pPr>
        <w:pStyle w:val="Heading1"/>
        <w:spacing w:after="140" w:before="320"/>
      </w:pPr>
      <w:r>
        <w:rPr>
          <w:rFonts w:ascii="Times New Roman" w:cs="Times New Roman" w:eastAsia="Times New Roman" w:hAnsi="Times New Roman"/>
          <w:b/>
          <w:bCs/>
          <w:color w:val="111111"/>
          <w:sz w:val="25"/>
          <w:szCs w:val="25"/>
        </w:rPr>
        <w:t xml:space="preserve">5. The Degree–V Anti-correlation and Its Partial Explanation by 1/k</w:t>
      </w:r>
    </w:p>
    <w:tbl>
      <w:tblPr>
        <w:tblW w:type="dxa" w:w="7500"/>
        <w:tblBorders>
          <w:top w:val="single" w:color="000000" w:sz="4"/>
          <w:left w:val="single" w:color="999999" w:sz="2"/>
          <w:bottom w:val="single" w:color="000000" w:sz="4"/>
          <w:right w:val="single" w:color="999999" w:sz="2"/>
          <w:insideH w:val="single" w:color="cccccc" w:sz="2"/>
          <w:insideV w:val="single" w:color="cccccc" w:sz="2"/>
        </w:tblBorders>
      </w:tblPr>
      <w:tblGrid>
        <w:gridCol w:w="2900"/>
        <w:gridCol w:w="900"/>
        <w:gridCol w:w="1400"/>
        <w:gridCol w:w="2300"/>
      </w:tblGrid>
      <w:tr>
        <w:trPr>
          <w:tblHeader/>
        </w:trPr>
        <w:tc>
          <w:tcPr>
            <w:tcW w:type="dxa" w:w="2900"/>
            <w:shd w:fill="e8e8e8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8"/>
                <w:szCs w:val="18"/>
              </w:rPr>
              <w:t xml:space="preserve">Network</w:t>
            </w:r>
          </w:p>
        </w:tc>
        <w:tc>
          <w:tcPr>
            <w:tcW w:type="dxa" w:w="900"/>
            <w:shd w:fill="e8e8e8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8"/>
                <w:szCs w:val="18"/>
              </w:rPr>
              <w:t xml:space="preserve">N</w:t>
            </w:r>
          </w:p>
        </w:tc>
        <w:tc>
          <w:tcPr>
            <w:tcW w:type="dxa" w:w="1400"/>
            <w:shd w:fill="e8e8e8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8"/>
                <w:szCs w:val="18"/>
              </w:rPr>
              <w:t xml:space="preserve">Sp(degree,V)</w:t>
            </w:r>
          </w:p>
        </w:tc>
        <w:tc>
          <w:tcPr>
            <w:tcW w:type="dxa" w:w="2300"/>
            <w:shd w:fill="e8e8e8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8"/>
                <w:szCs w:val="18"/>
              </w:rPr>
              <w:t xml:space="preserve">R² with 1/k</w:t>
            </w:r>
          </w:p>
        </w:tc>
      </w:tr>
      <w:tr>
        <w:tc>
          <w:tcPr>
            <w:tcW w:type="dxa" w:w="2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111111"/>
                <w:sz w:val="18"/>
                <w:szCs w:val="18"/>
              </w:rPr>
              <w:t xml:space="preserve">C. elegans neural</w:t>
            </w:r>
          </w:p>
        </w:tc>
        <w:tc>
          <w:tcPr>
            <w:tcW w:type="dxa" w:w="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11111"/>
                <w:sz w:val="18"/>
                <w:szCs w:val="18"/>
              </w:rPr>
              <w:t xml:space="preserve">297</w:t>
            </w:r>
          </w:p>
        </w:tc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11111"/>
                <w:sz w:val="18"/>
                <w:szCs w:val="18"/>
              </w:rPr>
              <w:t xml:space="preserve">−0.998</w:t>
            </w:r>
          </w:p>
        </w:tc>
        <w:tc>
          <w:tcPr>
            <w:tcW w:type="dxa" w:w="2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11111"/>
                <w:sz w:val="18"/>
                <w:szCs w:val="18"/>
              </w:rPr>
              <w:t xml:space="preserve">0.999</w:t>
            </w:r>
          </w:p>
        </w:tc>
      </w:tr>
      <w:tr>
        <w:tc>
          <w:tcPr>
            <w:tcW w:type="dxa" w:w="2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111111"/>
                <w:sz w:val="18"/>
                <w:szCs w:val="18"/>
              </w:rPr>
              <w:t xml:space="preserve">jazz_collab</w:t>
            </w:r>
          </w:p>
        </w:tc>
        <w:tc>
          <w:tcPr>
            <w:tcW w:type="dxa" w:w="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11111"/>
                <w:sz w:val="18"/>
                <w:szCs w:val="18"/>
              </w:rPr>
              <w:t xml:space="preserve">198</w:t>
            </w:r>
          </w:p>
        </w:tc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11111"/>
                <w:sz w:val="18"/>
                <w:szCs w:val="18"/>
              </w:rPr>
              <w:t xml:space="preserve">−0.998</w:t>
            </w:r>
          </w:p>
        </w:tc>
        <w:tc>
          <w:tcPr>
            <w:tcW w:type="dxa" w:w="2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11111"/>
                <w:sz w:val="18"/>
                <w:szCs w:val="18"/>
              </w:rPr>
              <w:t xml:space="preserve">0.951</w:t>
            </w:r>
          </w:p>
        </w:tc>
      </w:tr>
      <w:tr>
        <w:tc>
          <w:tcPr>
            <w:tcW w:type="dxa" w:w="2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111111"/>
                <w:sz w:val="18"/>
                <w:szCs w:val="18"/>
              </w:rPr>
              <w:t xml:space="preserve">C. elegans metabolic</w:t>
            </w:r>
          </w:p>
        </w:tc>
        <w:tc>
          <w:tcPr>
            <w:tcW w:type="dxa" w:w="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11111"/>
                <w:sz w:val="18"/>
                <w:szCs w:val="18"/>
              </w:rPr>
              <w:t xml:space="preserve">453</w:t>
            </w:r>
          </w:p>
        </w:tc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11111"/>
                <w:sz w:val="18"/>
                <w:szCs w:val="18"/>
              </w:rPr>
              <w:t xml:space="preserve">−0.962</w:t>
            </w:r>
          </w:p>
        </w:tc>
        <w:tc>
          <w:tcPr>
            <w:tcW w:type="dxa" w:w="2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11111"/>
                <w:sz w:val="18"/>
                <w:szCs w:val="18"/>
              </w:rPr>
              <w:t xml:space="preserve">0.772</w:t>
            </w:r>
          </w:p>
        </w:tc>
      </w:tr>
    </w:tbl>
    <w:p>
      <w:pPr>
        <w:spacing w:after="180" w:line="288"/>
        <w:jc w:val="both"/>
      </w:pPr>
      <w:r>
        <w:rPr>
          <w:rFonts w:ascii="Times New Roman" w:cs="Times New Roman" w:eastAsia="Times New Roman" w:hAnsi="Times New Roman"/>
          <w:color w:val="111111"/>
          <w:sz w:val="22"/>
          <w:szCs w:val="22"/>
        </w:rPr>
        <w:t xml:space="preserve">Honest reading: in 2 of 3 networks the effect is mostly explained by the expected V~1/degree scaling. In metabolic, ~23% of the variance is left unexplained; whether this residual encodes interpretable structure is examined, but not resolved, in Section 8.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Times New Roman" w:cs="Times New Roman" w:eastAsia="Times New Roman" w:hAnsi="Times New Roman"/>
          <w:b/>
          <w:bCs/>
          <w:color w:val="111111"/>
          <w:sz w:val="25"/>
          <w:szCs w:val="25"/>
        </w:rPr>
        <w:t xml:space="preserve">6. The Anti-correlation Is Operator-Dependent, Not Only Network-Dependent</w:t>
      </w:r>
    </w:p>
    <w:p>
      <w:pPr>
        <w:spacing w:after="140" w:line="288"/>
        <w:jc w:val="both"/>
      </w:pPr>
      <w:r>
        <w:rPr>
          <w:rFonts w:ascii="Times New Roman" w:cs="Times New Roman" w:eastAsia="Times New Roman" w:hAnsi="Times New Roman"/>
          <w:color w:val="111111"/>
          <w:sz w:val="22"/>
          <w:szCs w:val="22"/>
        </w:rPr>
        <w:t xml:space="preserve">The central new result of this version. The combinatorial Laplacian has L_ii = k_i exactly — every node's diagonal term equals its degree. The symmetric normalized Laplacian, L_sym = I − D⁻¹ᐟ²AD⁻¹ᐟ², has diagonal entries uniformly equal to 1 for all nodes, removing the direct link between diagonal and degree. Repeating the identical procedure for computing V under L_sym (identity independently verified, Section 4) and correlating with degree:</w:t>
      </w:r>
    </w:p>
    <w:tbl>
      <w:tblPr>
        <w:tblW w:type="dxa" w:w="7900"/>
        <w:tblBorders>
          <w:top w:val="single" w:color="000000" w:sz="4"/>
          <w:left w:val="single" w:color="999999" w:sz="2"/>
          <w:bottom w:val="single" w:color="000000" w:sz="4"/>
          <w:right w:val="single" w:color="999999" w:sz="2"/>
          <w:insideH w:val="single" w:color="cccccc" w:sz="2"/>
          <w:insideV w:val="single" w:color="cccccc" w:sz="2"/>
        </w:tblBorders>
      </w:tblPr>
      <w:tblGrid>
        <w:gridCol w:w="2600"/>
        <w:gridCol w:w="1500"/>
        <w:gridCol w:w="1900"/>
        <w:gridCol w:w="1900"/>
      </w:tblGrid>
      <w:tr>
        <w:trPr>
          <w:tblHeader/>
        </w:trPr>
        <w:tc>
          <w:tcPr>
            <w:tcW w:type="dxa" w:w="2600"/>
            <w:shd w:fill="e8e8e8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8"/>
                <w:szCs w:val="18"/>
              </w:rPr>
              <w:t xml:space="preserve">Network</w:t>
            </w:r>
          </w:p>
        </w:tc>
        <w:tc>
          <w:tcPr>
            <w:tcW w:type="dxa" w:w="1500"/>
            <w:shd w:fill="e8e8e8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8"/>
                <w:szCs w:val="18"/>
              </w:rPr>
              <w:t xml:space="preserve">Sp(degree,V) comb.</w:t>
            </w:r>
          </w:p>
        </w:tc>
        <w:tc>
          <w:tcPr>
            <w:tcW w:type="dxa" w:w="1900"/>
            <w:shd w:fill="e8e8e8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8"/>
                <w:szCs w:val="18"/>
              </w:rPr>
              <w:t xml:space="preserve">Sp(degree,V) sym.</w:t>
            </w:r>
          </w:p>
        </w:tc>
        <w:tc>
          <w:tcPr>
            <w:tcW w:type="dxa" w:w="1900"/>
            <w:shd w:fill="e8e8e8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8"/>
                <w:szCs w:val="18"/>
              </w:rPr>
              <w:t xml:space="preserve">R²(V,1/k) sym.</w:t>
            </w:r>
          </w:p>
        </w:tc>
      </w:tr>
      <w:t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111111"/>
                <w:sz w:val="18"/>
                <w:szCs w:val="18"/>
              </w:rPr>
              <w:t xml:space="preserve">metabolic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11111"/>
                <w:sz w:val="18"/>
                <w:szCs w:val="18"/>
              </w:rPr>
              <w:t xml:space="preserve">−0.9623</w:t>
            </w:r>
          </w:p>
        </w:tc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11111"/>
                <w:sz w:val="18"/>
                <w:szCs w:val="18"/>
              </w:rPr>
              <w:t xml:space="preserve">−0.1818</w:t>
            </w:r>
          </w:p>
        </w:tc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11111"/>
                <w:sz w:val="18"/>
                <w:szCs w:val="18"/>
              </w:rPr>
              <w:t xml:space="preserve">0.034</w:t>
            </w:r>
          </w:p>
        </w:tc>
      </w:tr>
      <w:t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111111"/>
                <w:sz w:val="18"/>
                <w:szCs w:val="18"/>
              </w:rPr>
              <w:t xml:space="preserve">neural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11111"/>
                <w:sz w:val="18"/>
                <w:szCs w:val="18"/>
              </w:rPr>
              <w:t xml:space="preserve">−0.9979</w:t>
            </w:r>
          </w:p>
        </w:tc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11111"/>
                <w:sz w:val="18"/>
                <w:szCs w:val="18"/>
              </w:rPr>
              <w:t xml:space="preserve">+0.0888</w:t>
            </w:r>
          </w:p>
        </w:tc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11111"/>
                <w:sz w:val="18"/>
                <w:szCs w:val="18"/>
              </w:rPr>
              <w:t xml:space="preserve">0.114</w:t>
            </w:r>
          </w:p>
        </w:tc>
      </w:tr>
      <w:t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111111"/>
                <w:sz w:val="18"/>
                <w:szCs w:val="18"/>
              </w:rPr>
              <w:t xml:space="preserve">jazz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11111"/>
                <w:sz w:val="18"/>
                <w:szCs w:val="18"/>
              </w:rPr>
              <w:t xml:space="preserve">−0.9980</w:t>
            </w:r>
          </w:p>
        </w:tc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11111"/>
                <w:sz w:val="18"/>
                <w:szCs w:val="18"/>
              </w:rPr>
              <w:t xml:space="preserve">−0.3295</w:t>
            </w:r>
          </w:p>
        </w:tc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11111"/>
                <w:sz w:val="18"/>
                <w:szCs w:val="18"/>
              </w:rPr>
              <w:t xml:space="preserve">0.068</w:t>
            </w:r>
          </w:p>
        </w:tc>
      </w:tr>
    </w:tbl>
    <w:p>
      <w:pPr>
        <w:spacing w:after="140" w:line="288"/>
        <w:jc w:val="both"/>
      </w:pPr>
      <w:r>
        <w:rPr>
          <w:rFonts w:ascii="Times New Roman" w:cs="Times New Roman" w:eastAsia="Times New Roman" w:hAnsi="Times New Roman"/>
          <w:color w:val="111111"/>
          <w:sz w:val="22"/>
          <w:szCs w:val="22"/>
        </w:rPr>
        <w:t xml:space="preserve">The effect nearly disappears under the normalized operator, in all three networks. To determine whether this is a discontinuous, threshold-like effect or a smooth transition, a continuous family of operators was constructed:</w:t>
      </w:r>
    </w:p>
    <w:p>
      <w:pPr>
        <w:spacing w:after="100" w:before="100"/>
        <w:jc w:val="center"/>
      </w:pPr>
      <w:r>
        <w:rPr>
          <w:rFonts w:ascii="Cambria Math" w:cs="Cambria Math" w:eastAsia="Cambria Math" w:hAnsi="Cambria Math"/>
          <w:i/>
          <w:iCs/>
          <w:color w:val="111111"/>
          <w:sz w:val="22"/>
          <w:szCs w:val="22"/>
        </w:rPr>
        <w:t xml:space="preserve">L_γ = D^{-γ} L D^{-γ}, \quad 0 ≤ γ ≤ 0.5 \quad (γ=0: combinatorial;\ γ=0.5: symmetric normalized)</w:t>
      </w:r>
    </w:p>
    <w:p>
      <w:pPr>
        <w:spacing w:after="100" w:line="288"/>
        <w:jc w:val="both"/>
      </w:pPr>
      <w:r>
        <w:rPr>
          <w:rFonts w:ascii="Times New Roman" w:cs="Times New Roman" w:eastAsia="Times New Roman" w:hAnsi="Times New Roman"/>
          <w:color w:val="111111"/>
          <w:sz w:val="22"/>
          <w:szCs w:val="22"/>
        </w:rPr>
        <w:t xml:space="preserve">Sweeping γ in steps of 0.025 in all three networks shows a smooth, monotonic, accelerating decay of Spearman(degree, V_γ) from ≈−0.96/−0.998 at γ=0 toward ≈0 near γ=0.5, with most of the decline concentrated in the final quarter of the range (γ &gt; 0.4). No discontinuity is observed; the transition is gradual but non-linear in γ.</w:t>
      </w:r>
    </w:p>
    <w:p>
      <w:pPr>
        <w:spacing w:after="180" w:line="288"/>
        <w:jc w:val="both"/>
      </w:pPr>
      <w:r>
        <w:rPr>
          <w:rFonts w:ascii="Times New Roman" w:cs="Times New Roman" w:eastAsia="Times New Roman" w:hAnsi="Times New Roman"/>
          <w:b/>
          <w:bCs/>
          <w:color w:val="111111"/>
          <w:sz w:val="22"/>
          <w:szCs w:val="22"/>
        </w:rPr>
        <w:t xml:space="preserve">Interpretation: because L_ii(γ) = k_i^{1-2γ} under this family, the diagonal's dependence on degree weakens continuously as γ increases from 0 to 0.5, and the anti-correlation weakens correspondingly. This supports interpreting the degree–V anti-correlation as arising from the coupling between node degree and its local exit rate in the diffusion generator, rather than as an intrinsic property of network topology alone.</w:t>
      </w:r>
    </w:p>
    <w:p>
      <w:pPr>
        <w:pStyle w:val="Heading1"/>
        <w:spacing w:after="140" w:before="320"/>
      </w:pPr>
      <w:r>
        <w:rPr>
          <w:rFonts w:ascii="Times New Roman" w:cs="Times New Roman" w:eastAsia="Times New Roman" w:hAnsi="Times New Roman"/>
          <w:b/>
          <w:bCs/>
          <w:color w:val="111111"/>
          <w:sz w:val="25"/>
          <w:szCs w:val="25"/>
        </w:rPr>
        <w:t xml:space="preserve">7. Modal Decomposition</w:t>
      </w:r>
    </w:p>
    <w:p>
      <w:pPr>
        <w:spacing w:after="140" w:line="288"/>
        <w:jc w:val="both"/>
      </w:pPr>
      <w:r>
        <w:rPr>
          <w:rFonts w:ascii="Times New Roman" w:cs="Times New Roman" w:eastAsia="Times New Roman" w:hAnsi="Times New Roman"/>
          <w:color w:val="111111"/>
          <w:sz w:val="22"/>
          <w:szCs w:val="22"/>
        </w:rPr>
        <w:t xml:space="preserve">To determine whether the anti-correlation is concentrated in a few slow modes (e.g. the Fiedler mode) or distributed across the spectrum, the partial sum V^{(m)}_i = Σ_{k=2}^{k=m} v_k(i)²/λ_k (modes ordered by increasing λ_k) was correlated with degree as m grows:</w:t>
      </w:r>
    </w:p>
    <w:tbl>
      <w:tblPr>
        <w:tblW w:type="dxa" w:w="7400"/>
        <w:tblBorders>
          <w:top w:val="single" w:color="000000" w:sz="4"/>
          <w:left w:val="single" w:color="999999" w:sz="2"/>
          <w:bottom w:val="single" w:color="000000" w:sz="4"/>
          <w:right w:val="single" w:color="999999" w:sz="2"/>
          <w:insideH w:val="single" w:color="cccccc" w:sz="2"/>
          <w:insideV w:val="single" w:color="cccccc" w:sz="2"/>
        </w:tblBorders>
      </w:tblPr>
      <w:tblGrid>
        <w:gridCol w:w="2100"/>
        <w:gridCol w:w="1700"/>
        <w:gridCol w:w="3600"/>
      </w:tblGrid>
      <w:tr>
        <w:trPr>
          <w:tblHeader/>
        </w:trPr>
        <w:tc>
          <w:tcPr>
            <w:tcW w:type="dxa" w:w="2100"/>
            <w:shd w:fill="e8e8e8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8"/>
                <w:szCs w:val="18"/>
              </w:rPr>
              <w:t xml:space="preserve">Network</w:t>
            </w:r>
          </w:p>
        </w:tc>
        <w:tc>
          <w:tcPr>
            <w:tcW w:type="dxa" w:w="1700"/>
            <w:shd w:fill="e8e8e8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8"/>
                <w:szCs w:val="18"/>
              </w:rPr>
              <w:t xml:space="preserve">% modes for |ρ|&gt;0.95</w:t>
            </w:r>
          </w:p>
        </w:tc>
        <w:tc>
          <w:tcPr>
            <w:tcW w:type="dxa" w:w="3600"/>
            <w:shd w:fill="e8e8e8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8"/>
                <w:szCs w:val="18"/>
              </w:rPr>
              <w:t xml:space="preserve">Pattern</w:t>
            </w:r>
          </w:p>
        </w:tc>
      </w:tr>
      <w:tr>
        <w:tc>
          <w:tcPr>
            <w:tcW w:type="dxa" w:w="2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111111"/>
                <w:sz w:val="18"/>
                <w:szCs w:val="18"/>
              </w:rPr>
              <w:t xml:space="preserve">metabolic</w:t>
            </w:r>
          </w:p>
        </w:tc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11111"/>
                <w:sz w:val="18"/>
                <w:szCs w:val="18"/>
              </w:rPr>
              <w:t xml:space="preserve">~55%</w:t>
            </w:r>
          </w:p>
        </w:tc>
        <w:tc>
          <w:tcPr>
            <w:tcW w:type="dxa" w:w="3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11111"/>
                <w:sz w:val="18"/>
                <w:szCs w:val="18"/>
              </w:rPr>
              <w:t xml:space="preserve">smooth, monotonic increase</w:t>
            </w:r>
          </w:p>
        </w:tc>
      </w:tr>
      <w:tr>
        <w:tc>
          <w:tcPr>
            <w:tcW w:type="dxa" w:w="2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111111"/>
                <w:sz w:val="18"/>
                <w:szCs w:val="18"/>
              </w:rPr>
              <w:t xml:space="preserve">neural</w:t>
            </w:r>
          </w:p>
        </w:tc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11111"/>
                <w:sz w:val="18"/>
                <w:szCs w:val="18"/>
              </w:rPr>
              <w:t xml:space="preserve">~32%</w:t>
            </w:r>
          </w:p>
        </w:tc>
        <w:tc>
          <w:tcPr>
            <w:tcW w:type="dxa" w:w="3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11111"/>
                <w:sz w:val="18"/>
                <w:szCs w:val="18"/>
              </w:rPr>
              <w:t xml:space="preserve">smooth, monotonic increase</w:t>
            </w:r>
          </w:p>
        </w:tc>
      </w:tr>
      <w:tr>
        <w:tc>
          <w:tcPr>
            <w:tcW w:type="dxa" w:w="2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111111"/>
                <w:sz w:val="18"/>
                <w:szCs w:val="18"/>
              </w:rPr>
              <w:t xml:space="preserve">jazz</w:t>
            </w:r>
          </w:p>
        </w:tc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11111"/>
                <w:sz w:val="18"/>
                <w:szCs w:val="18"/>
              </w:rPr>
              <w:t xml:space="preserve">~53%</w:t>
            </w:r>
          </w:p>
        </w:tc>
        <w:tc>
          <w:tcPr>
            <w:tcW w:type="dxa" w:w="3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11111"/>
                <w:sz w:val="18"/>
                <w:szCs w:val="18"/>
              </w:rPr>
              <w:t xml:space="preserve">smooth, monotonic increase</w:t>
            </w:r>
          </w:p>
        </w:tc>
      </w:tr>
    </w:tbl>
    <w:p>
      <w:pPr>
        <w:spacing w:after="180" w:line="288"/>
        <w:jc w:val="both"/>
      </w:pPr>
      <w:r>
        <w:rPr>
          <w:rFonts w:ascii="Times New Roman" w:cs="Times New Roman" w:eastAsia="Times New Roman" w:hAnsi="Times New Roman"/>
          <w:color w:val="111111"/>
          <w:sz w:val="22"/>
          <w:szCs w:val="22"/>
        </w:rPr>
        <w:t xml:space="preserve">No network reaches |ρ|&gt;0.9 with fewer than ~30% of modes; the pattern is consistent and gradual in all three networks, without an early plateau. Combined with the Fiedler-removal test (removing the single slowest mode changes the ranking by a mean of 0.4%, full-vs-reduced Spearman = 0.978), this indicates the effect is distributed across a broad portion of the spectrum rather than dominated by any single or small set of modes.</w:t>
      </w:r>
    </w:p>
    <w:p>
      <w:pPr>
        <w:pStyle w:val="Heading1"/>
        <w:spacing w:after="140" w:before="320"/>
      </w:pPr>
      <w:r>
        <w:rPr>
          <w:rFonts w:ascii="Times New Roman" w:cs="Times New Roman" w:eastAsia="Times New Roman" w:hAnsi="Times New Roman"/>
          <w:b/>
          <w:bCs/>
          <w:color w:val="111111"/>
          <w:sz w:val="25"/>
          <w:szCs w:val="25"/>
        </w:rPr>
        <w:t xml:space="preserve">8. Self-Retention Dynamics</w:t>
      </w:r>
    </w:p>
    <w:p>
      <w:pPr>
        <w:spacing w:after="140" w:line="288"/>
        <w:jc w:val="both"/>
      </w:pPr>
      <w:r>
        <w:rPr>
          <w:rFonts w:ascii="Times New Roman" w:cs="Times New Roman" w:eastAsia="Times New Roman" w:hAnsi="Times New Roman"/>
          <w:color w:val="111111"/>
          <w:sz w:val="22"/>
          <w:szCs w:val="22"/>
        </w:rPr>
        <w:t xml:space="preserve">A benchmark comparing V, degree, eigenvector and betweenness centrality on a sensor-placement task (fraction of total network energy captured by the top-k nodes under a random transverse perturbation, single time snapshot) found degree and eigenvector centrality outperformed V. This result was found, on inspection, to test a different quantity than V is defined to predict: V measures self-retention of a perturbation localized at a single node, not aggregate capture of network-wide energy.</w:t>
      </w:r>
    </w:p>
    <w:p>
      <w:pPr>
        <w:spacing w:after="140" w:line="288"/>
        <w:jc w:val="both"/>
      </w:pPr>
      <w:r>
        <w:rPr>
          <w:rFonts w:ascii="Times New Roman" w:cs="Times New Roman" w:eastAsia="Times New Roman" w:hAnsi="Times New Roman"/>
          <w:color w:val="111111"/>
          <w:sz w:val="22"/>
          <w:szCs w:val="22"/>
        </w:rPr>
        <w:t xml:space="preserve">A corrected benchmark — injecting a unit perturbation at node i alone and measuring how much of it remains at i after time T — gives:</w:t>
      </w:r>
    </w:p>
    <w:tbl>
      <w:tblPr>
        <w:tblW w:type="dxa" w:w="7400"/>
        <w:tblBorders>
          <w:top w:val="single" w:color="000000" w:sz="4"/>
          <w:left w:val="single" w:color="999999" w:sz="2"/>
          <w:bottom w:val="single" w:color="000000" w:sz="4"/>
          <w:right w:val="single" w:color="999999" w:sz="2"/>
          <w:insideH w:val="single" w:color="cccccc" w:sz="2"/>
          <w:insideV w:val="single" w:color="cccccc" w:sz="2"/>
        </w:tblBorders>
      </w:tblPr>
      <w:tblGrid>
        <w:gridCol w:w="2200"/>
        <w:gridCol w:w="2600"/>
        <w:gridCol w:w="2600"/>
      </w:tblGrid>
      <w:tr>
        <w:trPr>
          <w:tblHeader/>
        </w:trPr>
        <w:tc>
          <w:tcPr>
            <w:tcW w:type="dxa" w:w="2200"/>
            <w:shd w:fill="e8e8e8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8"/>
                <w:szCs w:val="18"/>
              </w:rPr>
              <w:t xml:space="preserve">T</w:t>
            </w:r>
          </w:p>
        </w:tc>
        <w:tc>
          <w:tcPr>
            <w:tcW w:type="dxa" w:w="2600"/>
            <w:shd w:fill="e8e8e8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8"/>
                <w:szCs w:val="18"/>
              </w:rPr>
              <w:t xml:space="preserve">Sp(V, self-retention)</w:t>
            </w:r>
          </w:p>
        </w:tc>
        <w:tc>
          <w:tcPr>
            <w:tcW w:type="dxa" w:w="2600"/>
            <w:shd w:fill="e8e8e8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8"/>
                <w:szCs w:val="18"/>
              </w:rPr>
              <w:t xml:space="preserve">Interpretation</w:t>
            </w:r>
          </w:p>
        </w:tc>
      </w:tr>
      <w:tr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111111"/>
                <w:sz w:val="18"/>
                <w:szCs w:val="18"/>
              </w:rPr>
              <w:t xml:space="preserve">0.01–0.10</w:t>
            </w:r>
          </w:p>
        </w:tc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11111"/>
                <w:sz w:val="18"/>
                <w:szCs w:val="18"/>
              </w:rPr>
              <w:t xml:space="preserve">+0.9999 to +1.0000</w:t>
            </w:r>
          </w:p>
        </w:tc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11111"/>
                <w:sz w:val="18"/>
                <w:szCs w:val="18"/>
              </w:rPr>
              <w:t xml:space="preserve">near-exact prediction</w:t>
            </w:r>
          </w:p>
        </w:tc>
      </w:tr>
      <w:tr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111111"/>
                <w:sz w:val="18"/>
                <w:szCs w:val="18"/>
              </w:rPr>
              <w:t xml:space="preserve">0.30</w:t>
            </w:r>
          </w:p>
        </w:tc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11111"/>
                <w:sz w:val="18"/>
                <w:szCs w:val="18"/>
              </w:rPr>
              <w:t xml:space="preserve">+0.9903</w:t>
            </w:r>
          </w:p>
        </w:tc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11111"/>
                <w:sz w:val="18"/>
                <w:szCs w:val="18"/>
              </w:rPr>
              <w:t xml:space="preserve">still strong</w:t>
            </w:r>
          </w:p>
        </w:tc>
      </w:tr>
      <w:tr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111111"/>
                <w:sz w:val="18"/>
                <w:szCs w:val="18"/>
              </w:rPr>
              <w:t xml:space="preserve">0.50</w:t>
            </w:r>
          </w:p>
        </w:tc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11111"/>
                <w:sz w:val="18"/>
                <w:szCs w:val="18"/>
              </w:rPr>
              <w:t xml:space="preserve">+0.8841</w:t>
            </w:r>
          </w:p>
        </w:tc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11111"/>
                <w:sz w:val="18"/>
                <w:szCs w:val="18"/>
              </w:rPr>
              <w:t xml:space="preserve">declining</w:t>
            </w:r>
          </w:p>
        </w:tc>
      </w:tr>
      <w:tr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111111"/>
                <w:sz w:val="18"/>
                <w:szCs w:val="18"/>
              </w:rPr>
              <w:t xml:space="preserve">1.00</w:t>
            </w:r>
          </w:p>
        </w:tc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11111"/>
                <w:sz w:val="18"/>
                <w:szCs w:val="18"/>
              </w:rPr>
              <w:t xml:space="preserve">+0.2879</w:t>
            </w:r>
          </w:p>
        </w:tc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11111"/>
                <w:sz w:val="18"/>
                <w:szCs w:val="18"/>
              </w:rPr>
              <w:t xml:space="preserve">weak</w:t>
            </w:r>
          </w:p>
        </w:tc>
      </w:tr>
      <w:tr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111111"/>
                <w:sz w:val="18"/>
                <w:szCs w:val="18"/>
              </w:rPr>
              <w:t xml:space="preserve">2.00</w:t>
            </w:r>
          </w:p>
        </w:tc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11111"/>
                <w:sz w:val="18"/>
                <w:szCs w:val="18"/>
              </w:rPr>
              <w:t xml:space="preserve">+0.4135</w:t>
            </w:r>
          </w:p>
        </w:tc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11111"/>
                <w:sz w:val="18"/>
                <w:szCs w:val="18"/>
              </w:rPr>
              <w:t xml:space="preserve">weak, non-monotonic</w:t>
            </w:r>
          </w:p>
        </w:tc>
      </w:tr>
      <w:tr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111111"/>
                <w:sz w:val="18"/>
                <w:szCs w:val="18"/>
              </w:rPr>
              <w:t xml:space="preserve">5.00</w:t>
            </w:r>
          </w:p>
        </w:tc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11111"/>
                <w:sz w:val="18"/>
                <w:szCs w:val="18"/>
              </w:rPr>
              <w:t xml:space="preserve">−0.0085</w:t>
            </w:r>
          </w:p>
        </w:tc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11111"/>
                <w:sz w:val="18"/>
                <w:szCs w:val="18"/>
              </w:rPr>
              <w:t xml:space="preserve">no correlation</w:t>
            </w:r>
          </w:p>
        </w:tc>
      </w:tr>
    </w:tbl>
    <w:p>
      <w:pPr>
        <w:spacing w:after="180" w:line="288"/>
        <w:jc w:val="both"/>
      </w:pPr>
      <w:r>
        <w:rPr>
          <w:rFonts w:ascii="Times New Roman" w:cs="Times New Roman" w:eastAsia="Times New Roman" w:hAnsi="Times New Roman"/>
          <w:color w:val="111111"/>
          <w:sz w:val="22"/>
          <w:szCs w:val="22"/>
        </w:rPr>
        <w:t xml:space="preserve">This decay is expected on first-order grounds: for small T, e^{-TL}≈I-TL, so self-retention ≈ 1-Tk_i, dominated by the same degree-linked diagonal term examined in Section 6; at large T the system approaches equilibrium and self-retention becomes largely node-independent. The same experiment repeated across degree, current-flow closeness, and closeness centrality shows degree and current-flow closeness follow the same decay curve as V nearly exactly, while closeness (which is not diagonal-dominated) decays more slowly. This is consistent with Section 6: the short-time behaviour is governed by the diagonal term, which under the combinatorial Laplacian is the degree.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Times New Roman" w:cs="Times New Roman" w:eastAsia="Times New Roman" w:hAnsi="Times New Roman"/>
          <w:b/>
          <w:bCs/>
          <w:color w:val="111111"/>
          <w:sz w:val="25"/>
          <w:szCs w:val="25"/>
        </w:rPr>
        <w:t xml:space="preserve">9. Residual Analysis (Open)</w:t>
      </w:r>
    </w:p>
    <w:p>
      <w:pPr>
        <w:spacing w:after="140" w:line="288"/>
        <w:jc w:val="both"/>
      </w:pPr>
      <w:r>
        <w:rPr>
          <w:rFonts w:ascii="Times New Roman" w:cs="Times New Roman" w:eastAsia="Times New Roman" w:hAnsi="Times New Roman"/>
          <w:color w:val="111111"/>
          <w:sz w:val="22"/>
          <w:szCs w:val="22"/>
        </w:rPr>
        <w:t xml:space="preserve">Fitting V_i ≈ a/k_i + b and examining the residual Δ_i = V_i − (a/k_i+b):</w:t>
      </w:r>
    </w:p>
    <w:tbl>
      <w:tblPr>
        <w:tblW w:type="dxa" w:w="8000"/>
        <w:tblBorders>
          <w:top w:val="single" w:color="000000" w:sz="4"/>
          <w:left w:val="single" w:color="999999" w:sz="2"/>
          <w:bottom w:val="single" w:color="000000" w:sz="4"/>
          <w:right w:val="single" w:color="999999" w:sz="2"/>
          <w:insideH w:val="single" w:color="cccccc" w:sz="2"/>
          <w:insideV w:val="single" w:color="cccccc" w:sz="2"/>
        </w:tblBorders>
      </w:tblPr>
      <w:tblGrid>
        <w:gridCol w:w="2400"/>
        <w:gridCol w:w="1600"/>
        <w:gridCol w:w="2000"/>
        <w:gridCol w:w="2000"/>
      </w:tblGrid>
      <w:tr>
        <w:trPr>
          <w:tblHeader/>
        </w:trPr>
        <w:tc>
          <w:tcPr>
            <w:tcW w:type="dxa" w:w="2400"/>
            <w:shd w:fill="e8e8e8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8"/>
                <w:szCs w:val="18"/>
              </w:rPr>
              <w:t xml:space="preserve">Network</w:t>
            </w:r>
          </w:p>
        </w:tc>
        <w:tc>
          <w:tcPr>
            <w:tcW w:type="dxa" w:w="1600"/>
            <w:shd w:fill="e8e8e8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8"/>
                <w:szCs w:val="18"/>
              </w:rPr>
              <w:t xml:space="preserve">R² (fit)</w:t>
            </w:r>
          </w:p>
        </w:tc>
        <w:tc>
          <w:tcPr>
            <w:tcW w:type="dxa" w:w="2000"/>
            <w:shd w:fill="e8e8e8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8"/>
                <w:szCs w:val="18"/>
              </w:rPr>
              <w:t xml:space="preserve">Mean |Δ|/V</w:t>
            </w:r>
          </w:p>
        </w:tc>
        <w:tc>
          <w:tcPr>
            <w:tcW w:type="dxa" w:w="2000"/>
            <w:shd w:fill="e8e8e8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8"/>
                <w:szCs w:val="18"/>
              </w:rPr>
              <w:t xml:space="preserve">Sp(Δ,betweenness)</w:t>
            </w:r>
          </w:p>
        </w:tc>
      </w:tr>
      <w:tr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111111"/>
                <w:sz w:val="18"/>
                <w:szCs w:val="18"/>
              </w:rPr>
              <w:t xml:space="preserve">metabolic</w:t>
            </w:r>
          </w:p>
        </w:tc>
        <w:tc>
          <w:tcPr>
            <w:tcW w:type="dxa" w:w="1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11111"/>
                <w:sz w:val="18"/>
                <w:szCs w:val="18"/>
              </w:rPr>
              <w:t xml:space="preserve">0.772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11111"/>
                <w:sz w:val="18"/>
                <w:szCs w:val="18"/>
              </w:rPr>
              <w:t xml:space="preserve">0.254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11111"/>
                <w:sz w:val="18"/>
                <w:szCs w:val="18"/>
              </w:rPr>
              <w:t xml:space="preserve">+0.617</w:t>
            </w:r>
          </w:p>
        </w:tc>
      </w:tr>
      <w:tr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111111"/>
                <w:sz w:val="18"/>
                <w:szCs w:val="18"/>
              </w:rPr>
              <w:t xml:space="preserve">neural</w:t>
            </w:r>
          </w:p>
        </w:tc>
        <w:tc>
          <w:tcPr>
            <w:tcW w:type="dxa" w:w="1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11111"/>
                <w:sz w:val="18"/>
                <w:szCs w:val="18"/>
              </w:rPr>
              <w:t xml:space="preserve">0.999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11111"/>
                <w:sz w:val="18"/>
                <w:szCs w:val="18"/>
              </w:rPr>
              <w:t xml:space="preserve">0.051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11111"/>
                <w:sz w:val="18"/>
                <w:szCs w:val="18"/>
              </w:rPr>
              <w:t xml:space="preserve">−0.441</w:t>
            </w:r>
          </w:p>
        </w:tc>
      </w:tr>
      <w:tr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111111"/>
                <w:sz w:val="18"/>
                <w:szCs w:val="18"/>
              </w:rPr>
              <w:t xml:space="preserve">jazz</w:t>
            </w:r>
          </w:p>
        </w:tc>
        <w:tc>
          <w:tcPr>
            <w:tcW w:type="dxa" w:w="1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11111"/>
                <w:sz w:val="18"/>
                <w:szCs w:val="18"/>
              </w:rPr>
              <w:t xml:space="preserve">0.951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11111"/>
                <w:sz w:val="18"/>
                <w:szCs w:val="18"/>
              </w:rPr>
              <w:t xml:space="preserve">0.071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11111"/>
                <w:sz w:val="18"/>
                <w:szCs w:val="18"/>
              </w:rPr>
              <w:t xml:space="preserve">+0.617</w:t>
            </w:r>
          </w:p>
        </w:tc>
      </w:tr>
    </w:tbl>
    <w:p>
      <w:pPr>
        <w:spacing w:after="180" w:line="288"/>
        <w:jc w:val="both"/>
      </w:pPr>
      <w:r>
        <w:rPr>
          <w:rFonts w:ascii="Times New Roman" w:cs="Times New Roman" w:eastAsia="Times New Roman" w:hAnsi="Times New Roman"/>
          <w:color w:val="111111"/>
          <w:sz w:val="22"/>
          <w:szCs w:val="22"/>
        </w:rPr>
        <w:t xml:space="preserve">The residual correlates with betweenness, clustering and k-core number with moderate-to-strong magnitude (|Sp|=0.13–0.62), but the sign is inconsistent between neural (opposite sign from the other two networks in every structural comparison tested). The relative residual size (mean |Δ|/V) is an order of magnitude smaller in neural (5%) and jazz (7%) than in metabolic (25%), suggesting the residual in the first two networks may be dominated by numerical noise around a near-exact 1/k fit, while the residual in metabolic — where 1/k explains substantially less variance — may carry genuine structure. This was not resolved and is reported as the most promising open direction from this work: rather than pursuing Δ_i broadly, the question of what determines the size of the residual (i.e. what makes R²(V,1/k) vary from 0.77 to 0.999 across networks) is proposed as more tractable and better-posed than characterizing Δ_i's structural correlates directly.</w:t>
      </w:r>
    </w:p>
    <w:p>
      <w:pPr>
        <w:pStyle w:val="Heading1"/>
        <w:spacing w:after="140" w:before="320"/>
      </w:pPr>
      <w:r>
        <w:rPr>
          <w:rFonts w:ascii="Times New Roman" w:cs="Times New Roman" w:eastAsia="Times New Roman" w:hAnsi="Times New Roman"/>
          <w:b/>
          <w:bCs/>
          <w:color w:val="111111"/>
          <w:sz w:val="25"/>
          <w:szCs w:val="25"/>
        </w:rPr>
        <w:t xml:space="preserve">10. What Explains the Variation of R²(V, 1/k) Across Networks? (Closed, Unresolved)</w:t>
      </w:r>
    </w:p>
    <w:p>
      <w:pPr>
        <w:spacing w:after="140" w:line="288"/>
        <w:jc w:val="both"/>
      </w:pPr>
      <w:r>
        <w:rPr>
          <w:rFonts w:ascii="Times New Roman" w:cs="Times New Roman" w:eastAsia="Times New Roman" w:hAnsi="Times New Roman"/>
          <w:color w:val="111111"/>
          <w:sz w:val="22"/>
          <w:szCs w:val="22"/>
        </w:rPr>
        <w:t xml:space="preserve">Section 9 leaves open why R²(V,1/k) ranges from 0.38 to 1.00 across networks. A candidate-variable search was carried out on an extended sample of 11 real networks (spanning connectomes, metabolic, protein-interaction, gene-regulatory, financial and social domains), testing four candidates: degree heterogeneity (CV), density, clustering coefficient, and degree assortativity.</w:t>
      </w:r>
    </w:p>
    <w:tbl>
      <w:tblPr>
        <w:tblW w:type="dxa" w:w="7800"/>
        <w:tblBorders>
          <w:top w:val="single" w:color="000000" w:sz="4"/>
          <w:left w:val="single" w:color="999999" w:sz="2"/>
          <w:bottom w:val="single" w:color="000000" w:sz="4"/>
          <w:right w:val="single" w:color="999999" w:sz="2"/>
          <w:insideH w:val="single" w:color="cccccc" w:sz="2"/>
          <w:insideV w:val="single" w:color="cccccc" w:sz="2"/>
        </w:tblBorders>
      </w:tblPr>
      <w:tblGrid>
        <w:gridCol w:w="2400"/>
        <w:gridCol w:w="1700"/>
        <w:gridCol w:w="3700"/>
      </w:tblGrid>
      <w:tr>
        <w:trPr>
          <w:tblHeader/>
        </w:trPr>
        <w:tc>
          <w:tcPr>
            <w:tcW w:type="dxa" w:w="2400"/>
            <w:shd w:fill="e8e8e8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8"/>
                <w:szCs w:val="18"/>
              </w:rPr>
              <w:t xml:space="preserve">Candidate (alone)</w:t>
            </w:r>
          </w:p>
        </w:tc>
        <w:tc>
          <w:tcPr>
            <w:tcW w:type="dxa" w:w="1700"/>
            <w:shd w:fill="e8e8e8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8"/>
                <w:szCs w:val="18"/>
              </w:rPr>
              <w:t xml:space="preserve">Spearman with R²</w:t>
            </w:r>
          </w:p>
        </w:tc>
        <w:tc>
          <w:tcPr>
            <w:tcW w:type="dxa" w:w="3700"/>
            <w:shd w:fill="e8e8e8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8"/>
                <w:szCs w:val="18"/>
              </w:rPr>
              <w:t xml:space="preserve">Verdict</w:t>
            </w:r>
          </w:p>
        </w:tc>
      </w:tr>
      <w:tr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111111"/>
                <w:sz w:val="18"/>
                <w:szCs w:val="18"/>
              </w:rPr>
              <w:t xml:space="preserve">log(density)</w:t>
            </w:r>
          </w:p>
        </w:tc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11111"/>
                <w:sz w:val="18"/>
                <w:szCs w:val="18"/>
              </w:rPr>
              <w:t xml:space="preserve">+0.46 to +0.60 (n=11)</w:t>
            </w:r>
          </w:p>
        </w:tc>
        <w:tc>
          <w:tcPr>
            <w:tcW w:type="dxa" w:w="3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11111"/>
                <w:sz w:val="18"/>
                <w:szCs w:val="18"/>
              </w:rPr>
              <w:t xml:space="preserve">weak-to-moderate; not a clean law</w:t>
            </w:r>
          </w:p>
        </w:tc>
      </w:tr>
      <w:tr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111111"/>
                <w:sz w:val="18"/>
                <w:szCs w:val="18"/>
              </w:rPr>
              <w:t xml:space="preserve">CV(degree)</w:t>
            </w:r>
          </w:p>
        </w:tc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11111"/>
                <w:sz w:val="18"/>
                <w:szCs w:val="18"/>
              </w:rPr>
              <w:t xml:space="preserve">not dominant alone</w:t>
            </w:r>
          </w:p>
        </w:tc>
        <w:tc>
          <w:tcPr>
            <w:tcW w:type="dxa" w:w="3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11111"/>
                <w:sz w:val="18"/>
                <w:szCs w:val="18"/>
              </w:rPr>
              <w:t xml:space="preserve">secondary</w:t>
            </w:r>
          </w:p>
        </w:tc>
      </w:tr>
      <w:tr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111111"/>
                <w:sz w:val="18"/>
                <w:szCs w:val="18"/>
              </w:rPr>
              <w:t xml:space="preserve">assortativity, clustering</w:t>
            </w:r>
          </w:p>
        </w:tc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11111"/>
                <w:sz w:val="18"/>
                <w:szCs w:val="18"/>
              </w:rPr>
              <w:t xml:space="preserve">weaker than density</w:t>
            </w:r>
          </w:p>
        </w:tc>
        <w:tc>
          <w:tcPr>
            <w:tcW w:type="dxa" w:w="3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11111"/>
                <w:sz w:val="18"/>
                <w:szCs w:val="18"/>
              </w:rPr>
              <w:t xml:space="preserve">secondary</w:t>
            </w:r>
          </w:p>
        </w:tc>
      </w:tr>
    </w:tbl>
    <w:p>
      <w:pPr>
        <w:spacing w:after="100" w:line="288"/>
        <w:jc w:val="both"/>
      </w:pPr>
      <w:r>
        <w:rPr>
          <w:rFonts w:ascii="Times New Roman" w:cs="Times New Roman" w:eastAsia="Times New Roman" w:hAnsi="Times New Roman"/>
          <w:color w:val="111111"/>
          <w:sz w:val="22"/>
          <w:szCs w:val="22"/>
        </w:rPr>
        <w:t xml:space="preserve">A combined linear model using all four candidates achieved R²=0.93 on direct fit (n=11, 4 predictors) and R²=0.83 under leave-one-out cross-validation, which initially appeared to indicate a genuine joint relationship. A control test — adding a fifth, purely random predictor with no relation to the outcome — produced an equally high or higher direct-fit R² (mean 0.946, range 0.931–0.994 over 20 random seeds). This demonstrates the combined-model result is dominated by overfitting: with only 11 observations and 4–5 free parameters, the model has enough flexibility to fit noise as well as signal, and the cross-validated score does not protect against this at such small sample size.</w:t>
      </w:r>
    </w:p>
    <w:p>
      <w:pPr>
        <w:spacing w:after="180" w:line="288"/>
        <w:jc w:val="both"/>
      </w:pPr>
      <w:r>
        <w:rPr>
          <w:rFonts w:ascii="Times New Roman" w:cs="Times New Roman" w:eastAsia="Times New Roman" w:hAnsi="Times New Roman"/>
          <w:b/>
          <w:bCs/>
          <w:color w:val="111111"/>
          <w:sz w:val="22"/>
          <w:szCs w:val="22"/>
        </w:rPr>
        <w:t xml:space="preserve">Conclusion: the combined-variable model is discarded as an artifact. Density alone shows a moderate, not strong, association with R²(V,1/k) (Spearman ≈ 0.5–0.6, n=11) that survived removal of the single largest outlier but is not established as a predictive law. What determines the network-to-network variation of R²(V,1/k) remains an open question; a sample at least three times larger, together with a pre-registered choice of a single candidate variable (density is the best-supported starting point), would be required before drawing a conclusion.</w:t>
      </w:r>
    </w:p>
    <w:p>
      <w:pPr>
        <w:pStyle w:val="Heading1"/>
        <w:spacing w:after="140" w:before="320"/>
      </w:pPr>
      <w:r>
        <w:rPr>
          <w:rFonts w:ascii="Times New Roman" w:cs="Times New Roman" w:eastAsia="Times New Roman" w:hAnsi="Times New Roman"/>
          <w:b/>
          <w:bCs/>
          <w:color w:val="111111"/>
          <w:sz w:val="25"/>
          <w:szCs w:val="25"/>
        </w:rPr>
        <w:t xml:space="preserve">11. Lessons from Refuted Conjectures and Methodological Errors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Times New Roman" w:cs="Times New Roman" w:eastAsia="Times New Roman" w:hAnsi="Times New Roman"/>
          <w:color w:val="111111"/>
          <w:sz w:val="22"/>
          <w:szCs w:val="22"/>
        </w:rPr>
        <w:t xml:space="preserve">A stale-variable bug in an early T₉₅ implementation produced an identical λ₂ across three structurally distinct networks; caught by logical inspection (94% of nodes reordering is incompatible with 0.01 stabilization time) before interpretation.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Times New Roman" w:cs="Times New Roman" w:eastAsia="Times New Roman" w:hAnsi="Times New Roman"/>
          <w:color w:val="111111"/>
          <w:sz w:val="22"/>
          <w:szCs w:val="22"/>
        </w:rPr>
        <w:t xml:space="preserve">A success criterion for τ̃ (Section 3) was fixed before running the comparison, preventing post hoc reinterpretation of a negative result.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Times New Roman" w:cs="Times New Roman" w:eastAsia="Times New Roman" w:hAnsi="Times New Roman"/>
          <w:color w:val="111111"/>
          <w:sz w:val="22"/>
          <w:szCs w:val="22"/>
        </w:rPr>
        <w:t xml:space="preserve">An operator-interpolation experiment (linear combination (1-α)L+αL_sym) was initially used to test continuity, but was recognised as producing a matrix without direct physical interpretation for intermediate α; replaced with the D⁻γLD⁻γ family, which has a clear interpretation as continuously weakening the link between the operator's diagonal and node degree.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Times New Roman" w:cs="Times New Roman" w:eastAsia="Times New Roman" w:hAnsi="Times New Roman"/>
          <w:color w:val="111111"/>
          <w:sz w:val="22"/>
          <w:szCs w:val="22"/>
        </w:rPr>
        <w:t xml:space="preserve">A sensor-placement benchmark initially appeared to refute V's practical value; on inspection, it tested aggregate energy capture from a network-wide perturbation, a different quantity than V is defined to predict (self-retention of a node-local perturbation). The corrected benchmark (Section 8) is consistent with V's own definition.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Times New Roman" w:cs="Times New Roman" w:eastAsia="Times New Roman" w:hAnsi="Times New Roman"/>
          <w:color w:val="111111"/>
          <w:sz w:val="22"/>
          <w:szCs w:val="22"/>
        </w:rPr>
        <w:t xml:space="preserve">A second stale-variable bug (network loaded once outside a loop, reused across three iterations) produced identical residual/modal-decomposition results for three distinct networks; identified by observing byte-for-byte identical output tables and corrected by moving data loading inside the loop.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Times New Roman" w:cs="Times New Roman" w:eastAsia="Times New Roman" w:hAnsi="Times New Roman"/>
          <w:color w:val="111111"/>
          <w:sz w:val="22"/>
          <w:szCs w:val="22"/>
        </w:rPr>
        <w:t xml:space="preserve">A third counting error occurred when a results list was not reinitialized between runs, silently combining 7 earlier entries with 11 new ones and reporting n=18 instead of n=11; caught by explicitly printing the list length and contents before trusting a downstream statistic.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Times New Roman" w:cs="Times New Roman" w:eastAsia="Times New Roman" w:hAnsi="Times New Roman"/>
          <w:color w:val="111111"/>
          <w:sz w:val="22"/>
          <w:szCs w:val="22"/>
        </w:rPr>
        <w:t xml:space="preserve">An apparently strong combined-predictor result (R²=0.93, cross-validated R²=0.83) was nearly accepted as a finding before a random-noise control variable was added and found to perform as well or better; this is reported as a worked example of why overfitting controls are necessary even when a cross-validated score looks favourable, at small sample sizes.</w:t>
      </w:r>
    </w:p>
    <w:p>
      <w:pPr>
        <w:pStyle w:val="Heading1"/>
        <w:spacing w:after="140" w:before="320"/>
      </w:pPr>
      <w:r>
        <w:rPr>
          <w:rFonts w:ascii="Times New Roman" w:cs="Times New Roman" w:eastAsia="Times New Roman" w:hAnsi="Times New Roman"/>
          <w:b/>
          <w:bCs/>
          <w:color w:val="111111"/>
          <w:sz w:val="25"/>
          <w:szCs w:val="25"/>
        </w:rPr>
        <w:t xml:space="preserve">12. State of the Novelty Review (Incomplete)</w:t>
      </w:r>
    </w:p>
    <w:p>
      <w:pPr>
        <w:spacing w:after="180" w:line="288"/>
        <w:jc w:val="both"/>
      </w:pPr>
      <w:r>
        <w:rPr>
          <w:rFonts w:ascii="Times New Roman" w:cs="Times New Roman" w:eastAsia="Times New Roman" w:hAnsi="Times New Roman"/>
          <w:color w:val="111111"/>
          <w:sz w:val="22"/>
          <w:szCs w:val="22"/>
        </w:rPr>
        <w:t xml:space="preserve">Van Mieghem et al. (2017) identify the best spreader as argmin_i L⁺_ii and do not study the statistical correlation of L⁺_ii with degree across the full node distribution, its temporal dynamics V(T), nor its dependence on the choice of graph operator. A preliminary search did not find prior work reporting this operator-dependence result or the T₉₅ analysis. This absence does not establish novelty; a systematic citation-chain review remains incomplete (see v3 Section 10 for search terms).</w:t>
      </w:r>
    </w:p>
    <w:p>
      <w:pPr>
        <w:pStyle w:val="Heading1"/>
        <w:spacing w:after="140" w:before="320"/>
      </w:pPr>
      <w:r>
        <w:rPr>
          <w:rFonts w:ascii="Times New Roman" w:cs="Times New Roman" w:eastAsia="Times New Roman" w:hAnsi="Times New Roman"/>
          <w:b/>
          <w:bCs/>
          <w:color w:val="111111"/>
          <w:sz w:val="25"/>
          <w:szCs w:val="25"/>
        </w:rPr>
        <w:t xml:space="preserve">13. Limitations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Times New Roman" w:cs="Times New Roman" w:eastAsia="Times New Roman" w:hAnsi="Times New Roman"/>
          <w:b/>
          <w:bCs/>
          <w:color w:val="111111"/>
          <w:sz w:val="22"/>
          <w:szCs w:val="22"/>
        </w:rPr>
        <w:t xml:space="preserve">Preprint, not peer reviewed; literature review incomplete.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Times New Roman" w:cs="Times New Roman" w:eastAsia="Times New Roman" w:hAnsi="Times New Roman"/>
          <w:color w:val="111111"/>
          <w:sz w:val="22"/>
          <w:szCs w:val="22"/>
        </w:rPr>
        <w:t xml:space="preserve">Random-walk Laplacian (L_rw = I − D⁻¹A) was not tested correctly: it is non-symmetric, and applying eigh directly to it (as done in an earlier draft) is invalid; a corrected treatment via similarity transformation to L_sym is needed and was not completed.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Times New Roman" w:cs="Times New Roman" w:eastAsia="Times New Roman" w:hAnsi="Times New Roman"/>
          <w:color w:val="111111"/>
          <w:sz w:val="22"/>
          <w:szCs w:val="22"/>
        </w:rPr>
        <w:t xml:space="preserve">Real-network sample limited to three networks for dynamic and operator-dependence analyses; generalization across domains not established.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Times New Roman" w:cs="Times New Roman" w:eastAsia="Times New Roman" w:hAnsi="Times New Roman"/>
          <w:color w:val="111111"/>
          <w:sz w:val="22"/>
          <w:szCs w:val="22"/>
        </w:rPr>
        <w:t xml:space="preserve">The residual Δ_i's structural correlates are not established; sign inconsistency across networks is unresolved.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Times New Roman" w:cs="Times New Roman" w:eastAsia="Times New Roman" w:hAnsi="Times New Roman"/>
          <w:color w:val="111111"/>
          <w:sz w:val="22"/>
          <w:szCs w:val="22"/>
        </w:rPr>
        <w:t xml:space="preserve">Analysis restricted to binary, undirected graphs.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Times New Roman" w:cs="Times New Roman" w:eastAsia="Times New Roman" w:hAnsi="Times New Roman"/>
          <w:color w:val="111111"/>
          <w:sz w:val="22"/>
          <w:szCs w:val="22"/>
        </w:rPr>
        <w:t xml:space="preserve">No claims are made regarding biological function, cognition, or consciousness.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Times New Roman" w:cs="Times New Roman" w:eastAsia="Times New Roman" w:hAnsi="Times New Roman"/>
          <w:b/>
          <w:bCs/>
          <w:color w:val="111111"/>
          <w:sz w:val="22"/>
          <w:szCs w:val="22"/>
        </w:rPr>
        <w:t xml:space="preserve">Current project status: two full rounds of hypothesis testing (v3, v4) have refuted every conjecture proposing that V, or a derived quantity, carries information beyond what is already known about L⁺_ii (Van Mieghem et al., 2017) and its 1/degree scaling under the combinatorial Laplacian. The one line of inquiry that survived scrutiny — operator dependence (Section 6) — is a methodological observation, not a new observable. Active investigation is paused pending either new evidence or independent expert review; this document is left as a complete, reproducible record of what was tested and what was found, rather than as a claim awaiting further support.</w:t>
      </w:r>
    </w:p>
    <w:p>
      <w:pPr>
        <w:pStyle w:val="Heading1"/>
        <w:spacing w:after="140" w:before="320"/>
      </w:pPr>
      <w:r>
        <w:rPr>
          <w:rFonts w:ascii="Times New Roman" w:cs="Times New Roman" w:eastAsia="Times New Roman" w:hAnsi="Times New Roman"/>
          <w:b/>
          <w:bCs/>
          <w:color w:val="111111"/>
          <w:sz w:val="25"/>
          <w:szCs w:val="25"/>
        </w:rPr>
        <w:t xml:space="preserve">14. References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Times New Roman" w:cs="Times New Roman" w:eastAsia="Times New Roman" w:hAnsi="Times New Roman"/>
          <w:color w:val="111111"/>
          <w:sz w:val="22"/>
          <w:szCs w:val="22"/>
        </w:rPr>
        <w:t xml:space="preserve">Van Mieghem, P., Devriendt, K., &amp; Cetinay, H. (2017). Pseudoinverse of the Laplacian and best spreader node in a network. Physical Review E, 96, 032311.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Times New Roman" w:cs="Times New Roman" w:eastAsia="Times New Roman" w:hAnsi="Times New Roman"/>
          <w:color w:val="111111"/>
          <w:sz w:val="22"/>
          <w:szCs w:val="22"/>
        </w:rPr>
        <w:t xml:space="preserve">Klein, D. J., &amp; Randić, M. (1993). Resistance distance. Journal of Mathematical Chemistry, 12, 81–95.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Times New Roman" w:cs="Times New Roman" w:eastAsia="Times New Roman" w:hAnsi="Times New Roman"/>
          <w:color w:val="111111"/>
          <w:sz w:val="22"/>
          <w:szCs w:val="22"/>
        </w:rPr>
        <w:t xml:space="preserve">Stephenson, K., &amp; Zelen, M. (1989). Rethinking centrality: Methods and examples. Social Networks, 11(1), 1–37.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Times New Roman" w:cs="Times New Roman" w:eastAsia="Times New Roman" w:hAnsi="Times New Roman"/>
          <w:color w:val="111111"/>
          <w:sz w:val="22"/>
          <w:szCs w:val="22"/>
        </w:rPr>
        <w:t xml:space="preserve">Brandes, U., &amp; Fleischer, D. (2005). Centrality measures based on current flow. STACS 2005.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Times New Roman" w:cs="Times New Roman" w:eastAsia="Times New Roman" w:hAnsi="Times New Roman"/>
          <w:color w:val="111111"/>
          <w:sz w:val="22"/>
          <w:szCs w:val="22"/>
        </w:rPr>
        <w:t xml:space="preserve">Roncal, W. G. et al. (2013). MIGRAINE: MRI graph reliability analysis and inference for connectomics. GlobalSIP.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Times New Roman" w:cs="Times New Roman" w:eastAsia="Times New Roman" w:hAnsi="Times New Roman"/>
          <w:color w:val="111111"/>
          <w:sz w:val="22"/>
          <w:szCs w:val="22"/>
        </w:rPr>
        <w:t xml:space="preserve">Szalkai, B. et al. (2015). The Budapest Reference Connectome Server v2.0. Neuroscience Letters, 595, 60–62.</w:t>
      </w:r>
    </w:p>
    <w:p>
      <w:pPr>
        <w:pBdr>
          <w:bottom w:val="single" w:color="000000" w:sz="6" w:space="4"/>
        </w:pBdr>
        <w:spacing w:after="160"/>
      </w:pPr>
    </w:p>
    <w:p>
      <w:pPr>
        <w:spacing w:after="140" w:line="288"/>
        <w:jc w:val="left"/>
      </w:pPr>
      <w:r>
        <w:rPr>
          <w:rFonts w:ascii="Times New Roman" w:cs="Times New Roman" w:eastAsia="Times New Roman" w:hAnsi="Times New Roman"/>
          <w:i/>
          <w:iCs/>
          <w:color w:val="444444"/>
          <w:sz w:val="17"/>
          <w:szCs w:val="17"/>
        </w:rPr>
        <w:t xml:space="preserve">Document v5.0, July 31, 2026. Closes the second round of testing with a search for the determinants of R²(V,1/k) across networks (Section 10), concluding with a discarded overfit model and an open, unresolved question. This version is left at rest: no further conjectures are pursued pending new evidence or external review. Not a peer-reviewed publication. Correspondence via ORCID 0009-0004-7333-1975.</w:t>
      </w:r>
    </w:p>
    <w:sectPr>
      <w:pgSz w:w="12240" w:h="15840" w:orient="portrait"/>
      <w:pgMar w:top="1350" w:right="1500" w:bottom="1350" w:left="15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2026-08-01T06:11:17.998Z</dcterms:created>
  <dcterms:modified xsi:type="dcterms:W3CDTF">2026-08-01T06:11:18.014Z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