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before="0"/>
        <w:jc w:val="center"/>
      </w:pPr>
      <w:r>
        <w:rPr>
          <w:b/>
          <w:bCs/>
          <w:sz w:val="26"/>
          <w:szCs w:val="26"/>
        </w:rPr>
        <w:t xml:space="preserve">FACULTAD DE INGENIERÍAS</w:t>
      </w:r>
    </w:p>
    <w:p>
      <w:pPr>
        <w:spacing w:after="200" w:before="0"/>
        <w:jc w:val="center"/>
      </w:pPr>
      <w:r>
        <w:rPr>
          <w:b/>
          <w:bCs/>
          <w:sz w:val="48"/>
          <w:szCs w:val="48"/>
        </w:rPr>
        <w:t xml:space="preserve">Rutástrofe</w:t>
      </w:r>
    </w:p>
    <w:p>
      <w:pPr>
        <w:spacing w:after="1200" w:before="0"/>
        <w:jc w:val="center"/>
      </w:pPr>
      <w:r>
        <w:rPr>
          <w:b w:val="false"/>
          <w:bCs w:val="false"/>
          <w:sz w:val="26"/>
          <w:szCs w:val="26"/>
        </w:rPr>
        <w:t xml:space="preserve">Videojuego 2D para fomentar la seguridad vial y la cultura ciudadana en jóvenes de Medellín</w:t>
      </w:r>
    </w:p>
    <w:p>
      <w:pPr>
        <w:spacing w:after="1200" w:before="0"/>
        <w:jc w:val="center"/>
      </w:pPr>
      <w:r>
        <w:rPr>
          <w:b w:val="false"/>
          <w:bCs w:val="false"/>
          <w:sz w:val="24"/>
          <w:szCs w:val="24"/>
        </w:rPr>
        <w:t xml:space="preserve">Cuadrante 2 – Trabajo escrito</w:t>
      </w:r>
    </w:p>
    <w:p>
      <w:pPr>
        <w:spacing w:after="60" w:before="0"/>
        <w:jc w:val="center"/>
      </w:pPr>
      <w:r>
        <w:rPr>
          <w:b w:val="false"/>
          <w:bCs w:val="false"/>
          <w:sz w:val="24"/>
          <w:szCs w:val="24"/>
        </w:rPr>
        <w:t xml:space="preserve">Edison Daniel Cardona Vélez</w:t>
      </w:r>
    </w:p>
    <w:p>
      <w:pPr>
        <w:spacing w:after="1200" w:before="0"/>
        <w:jc w:val="center"/>
      </w:pPr>
      <w:r>
        <w:rPr>
          <w:b w:val="false"/>
          <w:bCs w:val="false"/>
          <w:sz w:val="24"/>
          <w:szCs w:val="24"/>
        </w:rPr>
        <w:t xml:space="preserve">Adrian Yamid Muñoz Abuabara</w:t>
      </w:r>
    </w:p>
    <w:p>
      <w:pPr>
        <w:spacing w:after="0" w:before="0"/>
        <w:jc w:val="center"/>
      </w:pPr>
      <w:r>
        <w:rPr>
          <w:b w:val="false"/>
          <w:bCs w:val="false"/>
          <w:sz w:val="22"/>
          <w:szCs w:val="22"/>
        </w:rPr>
        <w:t xml:space="preserve">Medellín, 2026-2</w:t>
      </w:r>
    </w:p>
    <w:p>
      <w:r>
        <w:br w:type="page"/>
      </w:r>
    </w:p>
    <w:p>
      <w:pPr>
        <w:pStyle w:val="Heading1"/>
      </w:pPr>
      <w:r>
        <w:t xml:space="preserve">1. Descripción del problema (complementada y corregida)</w:t>
      </w:r>
    </w:p>
    <w:p>
      <w:pPr>
        <w:spacing w:after="120" w:line="276"/>
        <w:jc w:val="both"/>
      </w:pPr>
      <w:r>
        <w:t xml:space="preserve">La movilidad en Medellín enfrenta congestión vehicular, aumento de los tiempos de desplazamiento, siniestros viales, retos para el transporte público, ocupación inadecuada del espacio vial y un crecimiento sostenido del uso de la motocicleta. Según la Encuesta Origen-Destino 2025 (Área Metropolitana del Valle de Aburrá, 2026), el transporte privado aumentó un 22,3 % y el público disminuyó un 14 %, y TomTom (2026) registró un incremento de la congestión del 3,4 % en el último año. </w:t>
      </w:r>
      <w:r>
        <w:rPr>
          <w:shd w:fill="FFFF00" w:color="auto" w:val="clear"/>
        </w:rPr>
        <w:t xml:space="preserve">[VERIFICAR cifras con las fuentes]</w:t>
      </w:r>
    </w:p>
    <w:p>
      <w:pPr>
        <w:spacing w:after="120" w:line="276"/>
        <w:jc w:val="both"/>
      </w:pPr>
      <w:r>
        <w:t xml:space="preserve">En seguridad vial, la Alcaldía de Medellín (s. f.) informó 210 muertes por siniestros en lo corrido de 2025, frente a 239 en el mismo período de 2024. Los motociclistas y los peatones son los actores más vulnerables.</w:t>
      </w:r>
    </w:p>
    <w:p>
      <w:pPr>
        <w:spacing w:after="120" w:line="276"/>
        <w:jc w:val="both"/>
      </w:pPr>
      <w:r>
        <w:rPr>
          <w:b/>
          <w:bCs/>
        </w:rPr>
        <w:t xml:space="preserve">Problema central:</w:t>
      </w:r>
      <w:r>
        <w:t xml:space="preserve"> muchas decisiones inseguras de los jóvenes en la vía (cruzar sin mirar, no usar casco, irrespetar señales, distraerse con el celular) contribuyen a la siniestralidad y a la congestión, y existen pocas herramientas atractivas que los eduquen de forma práctica.</w:t>
      </w:r>
    </w:p>
    <w:p>
      <w:pPr>
        <w:spacing w:after="120" w:line="276"/>
        <w:jc w:val="both"/>
      </w:pPr>
      <w:r>
        <w:rPr>
          <w:b/>
          <w:bCs/>
        </w:rPr>
        <w:t xml:space="preserve">Necesidad:</w:t>
      </w:r>
      <w:r>
        <w:t xml:space="preserve"> una experiencia interactiva en la que el joven pueda tomar decisiones viales, equivocarse sin riesgo real y ver las consecuencias.</w:t>
      </w:r>
    </w:p>
    <w:p>
      <w:pPr>
        <w:spacing w:after="120" w:line="276"/>
        <w:jc w:val="both"/>
      </w:pPr>
      <w:r>
        <w:rPr>
          <w:b/>
          <w:bCs/>
        </w:rPr>
        <w:t xml:space="preserve">Pregunta orientadora:</w:t>
      </w:r>
      <w:r>
        <w:t xml:space="preserve"> ¿Cómo puede un videojuego 2D de escritorio ayudar a que los jóvenes de Medellín comprendan las consecuencias de sus decisiones en la vía y adopten comportamientos viales más seguros?</w:t>
      </w:r>
    </w:p>
    <w:p>
      <w:pPr>
        <w:pStyle w:val="Heading1"/>
      </w:pPr>
      <w:r>
        <w:t xml:space="preserve">2. Alcance (complementado y corregido)</w:t>
      </w:r>
    </w:p>
    <w:p>
      <w:pPr>
        <w:pStyle w:val="ListParagraph"/>
        <w:numPr>
          <w:ilvl w:val="0"/>
          <w:numId w:val="2"/>
        </w:numPr>
        <w:spacing w:after="60" w:line="276"/>
      </w:pPr>
      <w:r>
        <w:rPr>
          <w:b/>
          <w:bCs/>
        </w:rPr>
        <w:t xml:space="preserve">Producto:</w:t>
      </w:r>
      <w:r>
        <w:t xml:space="preserve"> videojuego 2D de escritorio con interfaz gráfica, desarrollado por tres niveles (peatón, motociclista o ciclista, ciudadano).</w:t>
      </w:r>
    </w:p>
    <w:p>
      <w:pPr>
        <w:pStyle w:val="ListParagraph"/>
        <w:numPr>
          <w:ilvl w:val="0"/>
          <w:numId w:val="2"/>
        </w:numPr>
        <w:spacing w:after="60" w:line="276"/>
      </w:pPr>
      <w:r>
        <w:rPr>
          <w:b/>
          <w:bCs/>
        </w:rPr>
        <w:t xml:space="preserve">Técnica:</w:t>
      </w:r>
      <w:r>
        <w:t xml:space="preserve"> programación estructurada y modular (sin POO), con secuencia, condicionales, iteración y funciones.</w:t>
      </w:r>
    </w:p>
    <w:p>
      <w:pPr>
        <w:pStyle w:val="ListParagraph"/>
        <w:numPr>
          <w:ilvl w:val="0"/>
          <w:numId w:val="2"/>
        </w:numPr>
        <w:spacing w:after="60" w:line="276"/>
      </w:pPr>
      <w:r>
        <w:rPr>
          <w:b/>
          <w:bCs/>
        </w:rPr>
        <w:t xml:space="preserve">Persistencia:</w:t>
      </w:r>
      <w:r>
        <w:t xml:space="preserve"> archivos planos .txt para usuarios, progreso, puntajes y configuración.</w:t>
      </w:r>
    </w:p>
    <w:p>
      <w:pPr>
        <w:pStyle w:val="ListParagraph"/>
        <w:numPr>
          <w:ilvl w:val="0"/>
          <w:numId w:val="2"/>
        </w:numPr>
        <w:spacing w:after="60" w:line="276"/>
      </w:pPr>
      <w:r>
        <w:rPr>
          <w:b/>
          <w:bCs/>
        </w:rPr>
        <w:t xml:space="preserve">Funcionalidades:</w:t>
      </w:r>
      <w:r>
        <w:t xml:space="preserve"> inicio de sesión con alias, selección de nivel, juego con obstáculos y decisiones, puntaje y vidas, guardado de progreso, ranking de puntajes. </w:t>
      </w:r>
      <w:r>
        <w:rPr>
          <w:shd w:fill="FFFF00" w:color="auto" w:val="clear"/>
        </w:rPr>
        <w:t xml:space="preserve">[Confirmar y registrar en la bitácora con el módulo sol]</w:t>
      </w:r>
    </w:p>
    <w:p>
      <w:pPr>
        <w:pStyle w:val="ListParagraph"/>
        <w:numPr>
          <w:ilvl w:val="0"/>
          <w:numId w:val="2"/>
        </w:numPr>
        <w:spacing w:after="60" w:line="276"/>
      </w:pPr>
      <w:r>
        <w:rPr>
          <w:b/>
          <w:bCs/>
        </w:rPr>
        <w:t xml:space="preserve">Público objetivo:</w:t>
      </w:r>
      <w:r>
        <w:t xml:space="preserve"> jóvenes de Medellín (peatones, ciclistas, motociclistas y usuarios del transporte público).</w:t>
      </w:r>
    </w:p>
    <w:p>
      <w:pPr>
        <w:pStyle w:val="ListParagraph"/>
        <w:numPr>
          <w:ilvl w:val="0"/>
          <w:numId w:val="2"/>
        </w:numPr>
        <w:spacing w:after="60" w:line="276"/>
      </w:pPr>
      <w:r>
        <w:rPr>
          <w:b/>
          <w:bCs/>
        </w:rPr>
        <w:t xml:space="preserve">Fuera del alcance:</w:t>
      </w:r>
      <w:r>
        <w:t xml:space="preserve"> GPS, datos en tiempo real, simulación del Metro, solución directa del problema de movilidad y temas ambientales.</w:t>
      </w:r>
    </w:p>
    <w:p>
      <w:pPr>
        <w:pStyle w:val="Heading1"/>
      </w:pPr>
      <w:r>
        <w:t xml:space="preserve">3. Descripción del problema y alcance en mapa conceptual</w:t>
      </w:r>
    </w:p>
    <w:p>
      <w:pPr>
        <w:jc w:val="center"/>
      </w:pPr>
      <w:r>
        <w:drawing>
          <wp:inline distT="0" distB="0" distL="0" distR="0">
            <wp:extent cx="5905500" cy="3638550"/>
            <wp:effectExtent t="0" r="0" b="0" l="0"/>
            <wp:docPr id="1" name="figura" descr="figur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38550"/>
                    </a:xfrm>
                    <a:prstGeom prst="rect">
                      <a:avLst/>
                    </a:prstGeom>
                  </pic:spPr>
                </pic:pic>
              </a:graphicData>
            </a:graphic>
          </wp:inline>
        </w:drawing>
      </w:r>
    </w:p>
    <w:p>
      <w:pPr>
        <w:spacing w:after="120" w:line="276"/>
        <w:jc w:val="center"/>
      </w:pPr>
      <w:r>
        <w:rPr>
          <w:i/>
          <w:iCs/>
          <w:sz w:val="18"/>
          <w:szCs w:val="18"/>
        </w:rPr>
        <w:t xml:space="preserve">Figura 1. Mapa conceptual del problema y el alcance de Rutástrofe. Elaboración propia.</w:t>
      </w:r>
    </w:p>
    <w:p>
      <w:pPr>
        <w:pStyle w:val="Heading1"/>
      </w:pPr>
      <w:r>
        <w:t xml:space="preserve">4. Objetivo general</w:t>
      </w:r>
    </w:p>
    <w:p>
      <w:pPr>
        <w:spacing w:after="120" w:line="276"/>
        <w:jc w:val="both"/>
      </w:pPr>
      <w:r>
        <w:t xml:space="preserve">Desarrollar un videojuego 2D de escritorio, con programación estructurada y archivos planos, que promueva la seguridad vial y la cultura ciudadana en jóvenes de Medellín mediante decisiones con consecuencias en tres niveles de juego.</w:t>
      </w:r>
    </w:p>
    <w:p>
      <w:pPr>
        <w:pStyle w:val="Heading1"/>
      </w:pPr>
      <w:r>
        <w:t xml:space="preserve">5. Objetivos específicos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Fase</w:t>
            </w:r>
          </w:p>
        </w:tc>
        <w:tc>
          <w:tcPr>
            <w:tcW w:type="dxa" w:w="716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Objetivo específico</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Identificar y documentar los requerimientos funcionales y no funcionales del juego, y las situaciones viales que se representarán, a partir de fuentes oficiales y de la validación con 4 usuarios.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Diseñar el storyboard, el logo, las interfaces y el prototipo navegacional de los tres niveles, y la estructura de los archivos planos.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Codificar el videojuego con programación estructurada y modular, aplicando secuencia, condicionales, iteración y funciones, con interfaz gráfica y persistencia en archivos .txt.</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Verificar el funcionamiento de cada nivel y de la persistencia mediante pruebas funcionales y pruebas con usuarios, y registrar los errores corregidos.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Operación y mantenimiento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Elaborar el manual de usuario y el instalador, y corregir los errores detectados tras la puesta en uso del juego.</w:t>
            </w:r>
          </w:p>
        </w:tc>
      </w:tr>
    </w:tbl>
    <w:p>
      <w:pPr>
        <w:pStyle w:val="Heading1"/>
      </w:pPr>
      <w:r>
        <w:t xml:space="preserve">6. Cronograma de actividades (diagrama de Gantt)</w:t>
      </w:r>
    </w:p>
    <w:p>
      <w:pPr>
        <w:jc w:val="center"/>
      </w:pPr>
      <w:r>
        <w:drawing>
          <wp:inline distT="0" distB="0" distL="0" distR="0">
            <wp:extent cx="5905500" cy="3143250"/>
            <wp:effectExtent t="0" r="0" b="0" l="0"/>
            <wp:docPr id="1" name="figura" descr="figur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143250"/>
                    </a:xfrm>
                    <a:prstGeom prst="rect">
                      <a:avLst/>
                    </a:prstGeom>
                  </pic:spPr>
                </pic:pic>
              </a:graphicData>
            </a:graphic>
          </wp:inline>
        </w:drawing>
      </w:r>
    </w:p>
    <w:p>
      <w:pPr>
        <w:spacing w:after="120" w:line="276"/>
        <w:jc w:val="center"/>
      </w:pPr>
      <w:r>
        <w:rPr>
          <w:i/>
          <w:iCs/>
          <w:sz w:val="18"/>
          <w:szCs w:val="18"/>
        </w:rPr>
        <w:t xml:space="preserve">Figura 2. Cronograma de Rutástrofe (1 de octubre al 12 de diciembre de 2026). </w:t>
      </w:r>
      <w:r>
        <w:rPr>
          <w:i/>
          <w:iCs/>
          <w:sz w:val="18"/>
          <w:szCs w:val="18"/>
          <w:shd w:fill="FFFF00" w:color="auto" w:val="clear"/>
        </w:rPr>
        <w:t xml:space="preserve">[Reproducir este cronograma en GanttProject, que es la herramienta que pide la rúbrica de la socialización, y pegar aquí la captura]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160"/>
        <w:gridCol w:w="1450"/>
        <w:gridCol w:w="1450"/>
      </w:tblGrid>
      <w:tr>
        <w:trPr>
          <w:cantSplit/>
          <w:tblHeader/>
        </w:trPr>
        <w:tc>
          <w:tcPr>
            <w:tcW w:type="dxa" w:w="23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Fase</w:t>
            </w:r>
          </w:p>
        </w:tc>
        <w:tc>
          <w:tcPr>
            <w:tcW w:type="dxa" w:w="416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Actividad</w:t>
            </w:r>
          </w:p>
        </w:tc>
        <w:tc>
          <w:tcPr>
            <w:tcW w:type="dxa" w:w="145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Inicio</w:t>
            </w:r>
          </w:p>
        </w:tc>
        <w:tc>
          <w:tcPr>
            <w:tcW w:type="dxa" w:w="145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Fin</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Corrección del Cuadrante 1 y árbol del problema</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6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Revisión sistemática de literatura</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9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Validación con 4 usuarios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9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Storyboard y logo</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8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Prototipo navegacional</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16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Nivel 1 e interfaz base</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10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Archivos planos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25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Nivel 2</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12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Nivel 3</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3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23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 funcionales por nivel</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26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27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 con usuarios y ajustes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16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4 dic</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Operación y mantenimiento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Correcciones, manual e instalador</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23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6 dic</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1ra socialización</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11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2da socialización</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7 dic</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12 dic</w:t>
            </w:r>
          </w:p>
        </w:tc>
      </w:tr>
    </w:tbl>
    <w:p>
      <w:pPr>
        <w:spacing w:after="60" w:line="276"/>
        <w:jc w:val="both"/>
      </w:pPr>
    </w:p>
    <w:p>
      <w:pPr>
        <w:spacing w:after="120" w:line="276"/>
        <w:jc w:val="both"/>
      </w:pPr>
      <w:r>
        <w:t xml:space="preserve">Las fechas de socialización siguen el protocolo PPI 2026-2. </w:t>
      </w:r>
      <w:r>
        <w:rPr>
          <w:shd w:fill="FFFF00" w:color="auto" w:val="clear"/>
        </w:rPr>
        <w:t xml:space="preserve">[Ajustar si el módulo sol cambia las fechas]</w:t>
      </w:r>
    </w:p>
    <w:p>
      <w:pPr>
        <w:pStyle w:val="Heading1"/>
      </w:pPr>
      <w:r>
        <w:t xml:space="preserve">7. Marco teórico o marco de referencia</w:t>
      </w:r>
    </w:p>
    <w:p>
      <w:pPr>
        <w:spacing w:after="120" w:line="276"/>
        <w:jc w:val="both"/>
      </w:pPr>
      <w:r>
        <w:rPr>
          <w:shd w:fill="FFFF00" w:color="auto" w:val="clear"/>
        </w:rPr>
        <w:t xml:space="preserve">[Este marco es un esqueleto: cada subtema debe completarse leyendo y citando las fuentes (mínimo una por subtema). No copiar texto; parafrasear con cita en APA.]</w:t>
      </w:r>
    </w:p>
    <w:p>
      <w:pPr>
        <w:pStyle w:val="Heading2"/>
      </w:pPr>
      <w:r>
        <w:t xml:space="preserve">7.1 Seguridad vial y cultura ciudadana</w:t>
      </w:r>
    </w:p>
    <w:p>
      <w:pPr>
        <w:spacing w:after="120" w:line="276"/>
        <w:jc w:val="both"/>
      </w:pPr>
      <w:r>
        <w:t xml:space="preserve">Definir siniestro vial, actor vial vulnerable y cultura ciudadana vial, y mostrar el contexto de Medellín con las cifras de la Alcaldía de Medellín (s. f.) y del Área Metropolitana (2026). </w:t>
      </w:r>
      <w:r>
        <w:rPr>
          <w:shd w:fill="FFFF00" w:color="auto" w:val="clear"/>
        </w:rPr>
        <w:t xml:space="preserve">[Agregar definiciones desde la OMS o la Agencia Nacional de Seguridad Vial]</w:t>
      </w:r>
    </w:p>
    <w:p>
      <w:pPr>
        <w:pStyle w:val="Heading2"/>
      </w:pPr>
      <w:r>
        <w:t xml:space="preserve">7.2 Juegos serios y gamificación en la educación vial</w:t>
      </w:r>
    </w:p>
    <w:p>
      <w:pPr>
        <w:spacing w:after="120" w:line="276"/>
        <w:jc w:val="both"/>
      </w:pPr>
      <w:r>
        <w:t xml:space="preserve">Explicar qué es un juego serio y cómo se usa para educar sobre seguridad vial. Existen revisiones que muestran impactos mayormente positivos de los juegos serios en las habilidades de seguridad de los niños como peatones (ver Theseus, "Don't Be Like Frogger"). </w:t>
      </w:r>
      <w:r>
        <w:rPr>
          <w:shd w:fill="FFFF00" w:color="auto" w:val="clear"/>
        </w:rPr>
        <w:t xml:space="preserve">[Completar autor, año y URL; leer el resumen antes de citar]</w:t>
      </w:r>
    </w:p>
    <w:p>
      <w:pPr>
        <w:pStyle w:val="Heading2"/>
      </w:pPr>
      <w:r>
        <w:t xml:space="preserve">7.3 Programación estructurada y modular</w:t>
      </w:r>
    </w:p>
    <w:p>
      <w:pPr>
        <w:spacing w:after="120" w:line="276"/>
        <w:jc w:val="both"/>
      </w:pPr>
      <w:r>
        <w:t xml:space="preserve">Describir las estructuras de secuencia, selección e iteración, el uso de funciones y por qué se evita la programación orientada a objetos en este proyecto. </w:t>
      </w:r>
      <w:r>
        <w:rPr>
          <w:shd w:fill="FFFF00" w:color="auto" w:val="clear"/>
        </w:rPr>
        <w:t xml:space="preserve">[Citar un libro de lógica de programación]</w:t>
      </w:r>
    </w:p>
    <w:p>
      <w:pPr>
        <w:pStyle w:val="Heading2"/>
      </w:pPr>
      <w:r>
        <w:t xml:space="preserve">7.4 Archivos planos</w:t>
      </w:r>
    </w:p>
    <w:p>
      <w:pPr>
        <w:spacing w:after="120" w:line="276"/>
        <w:jc w:val="both"/>
      </w:pPr>
      <w:r>
        <w:t xml:space="preserve">Explicar qué es un archivo plano, cómo se lee y escribe, y el formato elegido para usuarios, progreso y puntajes. </w:t>
      </w:r>
      <w:r>
        <w:rPr>
          <w:shd w:fill="FFFF00" w:color="auto" w:val="clear"/>
        </w:rPr>
        <w:t xml:space="preserve">[Citar la documentación del lenguaje elegido]</w:t>
      </w:r>
    </w:p>
    <w:p>
      <w:pPr>
        <w:pStyle w:val="Heading2"/>
      </w:pPr>
      <w:r>
        <w:t xml:space="preserve">7.5 Interfaz gráfica de escritorio</w:t>
      </w:r>
    </w:p>
    <w:p>
      <w:pPr>
        <w:spacing w:after="120" w:line="276"/>
        <w:jc w:val="both"/>
      </w:pPr>
      <w:r>
        <w:t xml:space="preserve">Describir la biblioteca elegida para la interfaz y el ciclo principal de un juego 2D (entrada, actualización, dibujo). </w:t>
      </w:r>
      <w:r>
        <w:rPr>
          <w:shd w:fill="FFFF00" w:color="auto" w:val="clear"/>
        </w:rPr>
        <w:t xml:space="preserve">[Definir el lenguaje y la biblioteca con el módulo sol; Python con Pygame es una opción]</w:t>
      </w:r>
    </w:p>
    <w:p>
      <w:pPr>
        <w:pStyle w:val="Heading1"/>
      </w:pPr>
      <w:r>
        <w:t xml:space="preserve">8. Cuadro comparativo de tres proyectos similares</w:t>
      </w:r>
    </w:p>
    <w:p>
      <w:pPr>
        <w:spacing w:after="120" w:line="276"/>
        <w:jc w:val="both"/>
      </w:pPr>
      <w:r>
        <w:t xml:space="preserve">Los tres proyectos se encontraron en la búsqueda inicial; las celdas resaltadas deben completarse leyendo el documento original.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rPr>
          <w:cantSplit/>
          <w:tblHeader/>
        </w:trPr>
        <w:tc>
          <w:tcPr>
            <w:tcW w:type="dxa" w:w="156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Aspecto</w:t>
            </w:r>
          </w:p>
        </w:tc>
        <w:tc>
          <w:tcPr>
            <w:tcW w:type="dxa" w:w="26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1: videojuego de educación vial en Pereira</w:t>
            </w:r>
          </w:p>
        </w:tc>
        <w:tc>
          <w:tcPr>
            <w:tcW w:type="dxa" w:w="26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2: "Atrapados", plataforma de serious games para educación vial (Costa Rica)</w:t>
            </w:r>
          </w:p>
        </w:tc>
        <w:tc>
          <w:tcPr>
            <w:tcW w:type="dxa" w:w="26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3: Programa Nacional de Educación Vial para la Vida (Colombia)</w:t>
            </w:r>
          </w:p>
        </w:tc>
      </w:tr>
      <w:tr>
        <w:trPr>
          <w:cantSplit/>
          <w:tblHeader w:val="false"/>
        </w:trPr>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Referencia</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shd w:fill="FFFF00" w:color="auto" w:val="clear"/>
              </w:rPr>
              <w:t xml:space="preserve">[Autores, año]</w:t>
            </w:r>
            <w:r>
              <w:rPr>
                <w:sz w:val="19"/>
                <w:szCs w:val="19"/>
              </w:rPr>
              <w:t xml:space="preserve">. Revista Grafías, Universidad Católica de Pereira. https://revistas.ucp.edu.co/index.php/grafias/article/download/1368/1376</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shd w:fill="FFFF00" w:color="auto" w:val="clear"/>
              </w:rPr>
              <w:t xml:space="preserve">[Autores, año]</w:t>
            </w:r>
            <w:r>
              <w:rPr>
                <w:sz w:val="19"/>
                <w:szCs w:val="19"/>
              </w:rPr>
              <w:t xml:space="preserve">. Universidad de Costa Rica. https://www.kerwa.ucr.ac.cr/handle/10669/85289</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Agencia Nacional de Seguridad Vial. </w:t>
            </w:r>
            <w:r>
              <w:rPr>
                <w:sz w:val="19"/>
                <w:szCs w:val="19"/>
                <w:shd w:fill="FFFF00" w:color="auto" w:val="clear"/>
              </w:rPr>
              <w:t xml:space="preserve">[año]</w:t>
            </w:r>
            <w:r>
              <w:rPr>
                <w:sz w:val="19"/>
                <w:szCs w:val="19"/>
              </w:rPr>
              <w:t xml:space="preserve">. </w:t>
            </w:r>
            <w:r>
              <w:rPr>
                <w:sz w:val="19"/>
                <w:szCs w:val="19"/>
                <w:shd w:fill="FFFF00" w:color="auto" w:val="clear"/>
              </w:rPr>
              <w:t xml:space="preserve">[URL oficial]</w:t>
            </w:r>
          </w:p>
        </w:tc>
      </w:tr>
      <w:tr>
        <w:trPr>
          <w:cantSplit/>
          <w:tblHeader w:val="false"/>
        </w:trPr>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Problema</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Falta de educación en seguridad vial</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Nuevo modelo de educación vial</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Reducir la siniestralidad de niños y adolescentes en su desplazamiento a la escuela</w:t>
            </w:r>
          </w:p>
        </w:tc>
      </w:tr>
      <w:tr>
        <w:trPr>
          <w:cantSplit/>
          <w:tblHeader w:val="false"/>
        </w:trPr>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Público</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shd w:fill="FFFF00" w:color="auto" w:val="clear"/>
              </w:rPr>
              <w:t xml:space="preserve">[completar]</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shd w:fill="FFFF00" w:color="auto" w:val="clear"/>
              </w:rPr>
              <w:t xml:space="preserve">[completar]</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Niños, niñas y adolescentes; 55 municipios y 151 instituciones educativas</w:t>
            </w:r>
          </w:p>
        </w:tc>
      </w:tr>
      <w:tr>
        <w:trPr>
          <w:cantSplit/>
          <w:tblHeader w:val="false"/>
        </w:trPr>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Tecnología / formato</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Videojuego a partir de una infografía</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Plataforma de serious games</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Gamificación con juegos de gran formato</w:t>
            </w:r>
          </w:p>
        </w:tc>
      </w:tr>
      <w:tr>
        <w:trPr>
          <w:cantSplit/>
          <w:tblHeader w:val="false"/>
        </w:trPr>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Resultados</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shd w:fill="FFFF00" w:color="auto" w:val="clear"/>
              </w:rPr>
              <w:t xml:space="preserve">[completar]</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shd w:fill="FFFF00" w:color="auto" w:val="clear"/>
              </w:rPr>
              <w:t xml:space="preserve">[completar]</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shd w:fill="FFFF00" w:color="auto" w:val="clear"/>
              </w:rPr>
              <w:t xml:space="preserve">[completar]</w:t>
            </w:r>
          </w:p>
        </w:tc>
      </w:tr>
      <w:tr>
        <w:trPr>
          <w:cantSplit/>
          <w:tblHeader w:val="false"/>
        </w:trPr>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Diferencia con Rutástrofe</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shd w:fill="FFFF00" w:color="auto" w:val="clear"/>
              </w:rPr>
              <w:t xml:space="preserve">[completar]</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shd w:fill="FFFF00" w:color="auto" w:val="clear"/>
              </w:rPr>
              <w:t xml:space="preserve">[completar]</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Es un programa presencial en colegios; Rutástrofe es una aplicación de escritorio centrada en Medellín y en jóvenes</w:t>
            </w:r>
          </w:p>
        </w:tc>
      </w:tr>
    </w:tbl>
    <w:p>
      <w:pPr>
        <w:spacing w:after="60" w:line="276"/>
        <w:jc w:val="both"/>
      </w:pPr>
    </w:p>
    <w:p>
      <w:pPr>
        <w:spacing w:after="120" w:line="276"/>
        <w:jc w:val="both"/>
      </w:pPr>
      <w:r>
        <w:rPr>
          <w:shd w:fill="FFFF00" w:color="auto" w:val="clear"/>
        </w:rPr>
        <w:t xml:space="preserve">[Agregar una conclusión de 3–4 líneas: qué aporta Rutástrofe frente a estos proyectos.]</w:t>
      </w:r>
    </w:p>
    <w:p>
      <w:pPr>
        <w:pStyle w:val="Heading1"/>
      </w:pPr>
      <w:r>
        <w:t xml:space="preserve">9. Referencias</w:t>
      </w:r>
    </w:p>
    <w:p>
      <w:pPr>
        <w:spacing w:after="120" w:line="276"/>
        <w:ind w:left="720" w:hanging="720"/>
      </w:pPr>
      <w:r>
        <w:t xml:space="preserve">Agencia Nacional de Seguridad Vial. (s. f.). Programa Nacional de Educación Vial para la Vida. </w:t>
      </w:r>
      <w:r>
        <w:rPr>
          <w:shd w:fill="FFFF00" w:color="auto" w:val="clear"/>
        </w:rPr>
        <w:t xml:space="preserve">[Completar con la URL oficial]</w:t>
      </w:r>
    </w:p>
    <w:p>
      <w:pPr>
        <w:spacing w:after="120" w:line="276"/>
        <w:ind w:left="720" w:hanging="720"/>
      </w:pPr>
      <w:r>
        <w:t xml:space="preserve">Alcaldía de Medellín. (s. f.). Muertes en siniestros viales bajaron un 12 % en Medellín, en lo corrido de 2025. https://www.medellin.gov.co/es/sala-de-prensa/noticias/muertes-en-siniestros-viales-bajaron-un-12-en-medellin-en-lo-corrido-de-2025/</w:t>
      </w:r>
    </w:p>
    <w:p>
      <w:pPr>
        <w:spacing w:after="120" w:line="276"/>
        <w:ind w:left="720" w:hanging="720"/>
      </w:pPr>
      <w:r>
        <w:t xml:space="preserve">Área Metropolitana del Valle de Aburrá. (2026, 29 de abril). Área Metropolitana del Valle de Aburrá entrega resultados de la Encuesta Origen-Destino 2025. https://www.metropol.gov.co/Paginas/Noticias/Encuesta%20origen%20destino%202025.aspx</w:t>
      </w:r>
    </w:p>
    <w:p>
      <w:pPr>
        <w:spacing w:after="120" w:line="276"/>
        <w:ind w:left="720" w:hanging="720"/>
      </w:pPr>
      <w:r>
        <w:t xml:space="preserve">Theseus. (s. f.). "Don't Be Like Frogger": A rapid review on the use of serious game for road safety education in children. https://www.theseus.fi/handle/10024/746717 </w:t>
      </w:r>
      <w:r>
        <w:rPr>
          <w:shd w:fill="FFFF00" w:color="auto" w:val="clear"/>
        </w:rPr>
        <w:t xml:space="preserve">[Completar autor y año]</w:t>
      </w:r>
    </w:p>
    <w:p>
      <w:pPr>
        <w:spacing w:after="120" w:line="276"/>
        <w:ind w:left="720" w:hanging="720"/>
      </w:pPr>
      <w:r>
        <w:t xml:space="preserve">TomTom. (2026). Medellin traffic report. TomTom Traffic Index. https://www.tomtom.com/traffic-index/city/medellin/</w:t>
      </w:r>
    </w:p>
    <w:p>
      <w:pPr>
        <w:spacing w:after="120" w:line="276"/>
        <w:ind w:left="720" w:hanging="720"/>
      </w:pPr>
      <w:r>
        <w:rPr>
          <w:shd w:fill="FFFF00" w:color="auto" w:val="clear"/>
        </w:rPr>
        <w:t xml:space="preserve">[Agregar los proyectos 1 y 2 del cuadro comparativo en formato APA]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0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95d125c189c6fa0c428b1d98bdbd0bebdf94a.png"/><Relationship Id="rId8" Type="http://schemas.openxmlformats.org/officeDocument/2006/relationships/image" Target="media/0b6e55fa07c5312bfaba454022a515d288b9750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2026-10-01T20:11:26.144Z</dcterms:created>
  <dcterms:modified xsi:type="dcterms:W3CDTF">2026-10-01T20:11:26.144Z</dcterms:modified>
</cp:coreProperties>
</file>

<file path=docProps/custom.xml><?xml version="1.0" encoding="utf-8"?>
<Properties xmlns="http://schemas.openxmlformats.org/officeDocument/2006/custom-properties" xmlns:vt="http://schemas.openxmlformats.org/officeDocument/2006/docPropsVTypes"/>
</file>