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099D" w14:textId="4F66EC88" w:rsidR="00DE03B8" w:rsidRPr="005929CC" w:rsidRDefault="00ED58A0" w:rsidP="005929CC">
      <w:pPr>
        <w:pStyle w:val="Title"/>
      </w:pPr>
      <w:r>
        <w:t xml:space="preserve">Burden and health-related quality of life among caregivers of </w:t>
      </w:r>
      <w:r w:rsidR="005929CC">
        <w:t>MND</w:t>
      </w:r>
      <w:r>
        <w:t xml:space="preserve"> patients</w:t>
      </w:r>
    </w:p>
    <w:p w14:paraId="3A96B1F1" w14:textId="5438A63B" w:rsidR="000F287D" w:rsidRDefault="000F287D" w:rsidP="000F287D">
      <w:pPr>
        <w:pStyle w:val="Heading1"/>
      </w:pPr>
      <w:r>
        <w:t>Introduction</w:t>
      </w:r>
    </w:p>
    <w:p w14:paraId="7E3D73E8" w14:textId="77777777" w:rsidR="006E4504" w:rsidRPr="006E4504" w:rsidRDefault="006E4504" w:rsidP="006E4504">
      <w:pPr>
        <w:rPr>
          <w:b/>
          <w:bCs/>
          <w:lang/>
        </w:rPr>
      </w:pPr>
      <w:r w:rsidRPr="006E4504">
        <w:rPr>
          <w:b/>
          <w:bCs/>
          <w:lang/>
        </w:rPr>
        <w:t>Literature Review</w:t>
      </w:r>
    </w:p>
    <w:p w14:paraId="169482A1" w14:textId="77777777" w:rsidR="006E4504" w:rsidRPr="006E4504" w:rsidRDefault="006E4504" w:rsidP="006E4504">
      <w:pPr>
        <w:rPr>
          <w:lang/>
        </w:rPr>
      </w:pPr>
      <w:r w:rsidRPr="006E4504">
        <w:rPr>
          <w:lang/>
        </w:rPr>
        <w:t xml:space="preserve">Amyotrophic lateral sclerosis (ALS) is a progressive neurodegenerative disease that impacts not only patients but also their informal caregivers. Several studies on ALS in Australia (Lillo et al., 2012), USA (Qutub et al., 2014; Burke et al., 2015; Roach et al., 2019), Turkey (Tülek et al., 2023), Ireland (Galvin et al., 2016), Germany (Schischlevskij et al., 2021), and China (Geng et al., 2017) have investigated the factors contributing to caregiver burden in ALS and the associated impact of caregiving on the quality of life of these individuals. The Zarit Burden Interview was found to be the common tool used to measure caregivers' burden. However, while many studies statistically derive and report </w:t>
      </w:r>
      <w:r w:rsidRPr="006E4504">
        <w:rPr>
          <w:lang/>
        </w:rPr>
        <w:sym w:font="Symbol" w:char="F0B3"/>
      </w:r>
      <w:r w:rsidRPr="006E4504">
        <w:rPr>
          <w:lang/>
        </w:rPr>
        <w:t xml:space="preserve"> 24 as high burden on the 22-item tool, with scores ranging from 0-88, where 0-21 indicates little or no burden, 21-40 indicates mild to moderate burden, 42-60 indicates moderate to severe burden, and 61-88 indicates severe burden, in the study by Lillo et al. (2012), a score of </w:t>
      </w:r>
      <w:r w:rsidRPr="006E4504">
        <w:rPr>
          <w:lang/>
        </w:rPr>
        <w:sym w:font="Symbol" w:char="F0B3"/>
      </w:r>
      <w:r w:rsidRPr="006E4504">
        <w:rPr>
          <w:lang/>
        </w:rPr>
        <w:t xml:space="preserve"> 17 indicates high burden using a revised ZBI tool with a maximum score of 48. Depression and anxiety were measured using The Depression, Anxiety, Stress Scale (DASS 21) (Lillo et al., 2012), Hospital Anxiety and Depression Scale (Schischlevskij et al., 2021; Galvin et al., 2016; Tülek et al., 2023; Burke et al., 2015), and Beck Depression Inventory (Qutub et al., 2014). Caregivers' quality of life was assessed using the EuroQol Five Dimension Scale (Tülek et al., 2023; Schischlevskij et al., 2021), World Health Organization Quality of Life-BREF (Geng et al., 2017), and McGill Quality of Life Single Item Scale (Qutub et al., 2014; Roach et al., 2019). From the papers assessed, the proportion of female caregivers was found to be higher than male caregivers, with the age distribution of caregivers ranging from 18 years to 88 years. The majority of the caregivers recruited in the studies were informal caregivers, i.e., they had a personal relationship with the patient and were not being paid as caregivers.</w:t>
      </w:r>
    </w:p>
    <w:p w14:paraId="5A642B09" w14:textId="77777777" w:rsidR="006E4504" w:rsidRPr="006E4504" w:rsidRDefault="006E4504" w:rsidP="006E4504">
      <w:pPr>
        <w:rPr>
          <w:lang/>
        </w:rPr>
      </w:pPr>
      <w:r w:rsidRPr="006E4504">
        <w:rPr>
          <w:lang/>
        </w:rPr>
        <w:t xml:space="preserve">In their study to determine if caregivers' burden was influenced by patients' change in behavior or deterioration in physical ability, Lillo et al. (2012) found that patients' abnormal behavior and caregiver stress were the strongest predictors of high caregiver burden, while physical disability was not significantly associated. This corresponds to Burke et al., (2015) cross-sectional study of 33 patient-caregiver pairs, which showed that high caregiver burden was associated with greater patient apathy, disinhibition, and executive dysfunction, as well as caregiver distress. Qutub et al., (2014) study also found that patients' functional status did not affect caregivers' burden. However, Schischlevskij et al., (2021) results showed that caregiver </w:t>
      </w:r>
      <w:r w:rsidRPr="006E4504">
        <w:rPr>
          <w:lang/>
        </w:rPr>
        <w:lastRenderedPageBreak/>
        <w:t>burden increased with patients' decline in functional status - patients' wheelchair use and need for supervision were the strongest predictors of burden.</w:t>
      </w:r>
    </w:p>
    <w:p w14:paraId="4FD3DC39" w14:textId="77777777" w:rsidR="006E4504" w:rsidRPr="006E4504" w:rsidRDefault="006E4504" w:rsidP="006E4504">
      <w:pPr>
        <w:rPr>
          <w:lang/>
        </w:rPr>
      </w:pPr>
      <w:r w:rsidRPr="006E4504">
        <w:rPr>
          <w:lang/>
        </w:rPr>
        <w:t>Strong associations were found between caregivers' distress or depression and anxiety and caregiver burden. In Qutub et al., (2014) cross-sectional study of 50 caregivers, younger age, female gender, higher financial burden, other Christian religious denominations, and more daily caregiving hours were identified as risk factors for caregiver depression. While Tülek et al., (2023) study corroborates sex as having a significant relationship to caregivers' burden, Geng et al. (2017) found an association between caregiver burden and older caregiver age.</w:t>
      </w:r>
    </w:p>
    <w:p w14:paraId="0DB45C63" w14:textId="77777777" w:rsidR="006E4504" w:rsidRPr="006E4504" w:rsidRDefault="006E4504" w:rsidP="006E4504">
      <w:pPr>
        <w:rPr>
          <w:lang/>
        </w:rPr>
      </w:pPr>
      <w:r w:rsidRPr="006E4504">
        <w:rPr>
          <w:lang/>
        </w:rPr>
        <w:t>Other factors related to caregivers' burden are difficulties in managing ALS, the emotional or psychosocial impact of caregiving, limitations or restrictions, and the effects on relationships that caregiving has on the caregivers (Galvin et al., 2016).</w:t>
      </w:r>
    </w:p>
    <w:p w14:paraId="5B490819" w14:textId="77777777" w:rsidR="006E4504" w:rsidRPr="006E4504" w:rsidRDefault="006E4504" w:rsidP="006E4504">
      <w:pPr>
        <w:rPr>
          <w:lang/>
        </w:rPr>
      </w:pPr>
      <w:r w:rsidRPr="006E4504">
        <w:rPr>
          <w:lang/>
        </w:rPr>
        <w:t>There was an observed association between decreased patient quality of life and caregivers' burden. In their study, Roach et al. (2009) reported a significant decrease in caregivers' quality of life in relation to patients' functional status, i.e., physical ability, as increased tasks impacted their energy levels, leading to a high report of decreased quality of life. However, the impact of caregiver burden did not significantly influence patients' survival.</w:t>
      </w:r>
    </w:p>
    <w:p w14:paraId="1BC88186" w14:textId="77777777" w:rsidR="006E4504" w:rsidRPr="006E4504" w:rsidRDefault="006E4504" w:rsidP="006E4504">
      <w:pPr>
        <w:rPr>
          <w:lang/>
        </w:rPr>
      </w:pPr>
    </w:p>
    <w:p w14:paraId="761DAE5E" w14:textId="77777777" w:rsidR="006E4504" w:rsidRPr="006E4504" w:rsidRDefault="006E4504" w:rsidP="006E4504">
      <w:pPr>
        <w:rPr>
          <w:b/>
          <w:bCs/>
          <w:lang/>
        </w:rPr>
      </w:pPr>
      <w:r w:rsidRPr="006E4504">
        <w:rPr>
          <w:b/>
          <w:bCs/>
          <w:lang/>
        </w:rPr>
        <w:t xml:space="preserve">REFERENCES </w:t>
      </w:r>
    </w:p>
    <w:p w14:paraId="6BB7514B" w14:textId="77777777" w:rsidR="006E4504" w:rsidRPr="006E4504" w:rsidRDefault="006E4504" w:rsidP="006E4504">
      <w:pPr>
        <w:rPr>
          <w:lang/>
        </w:rPr>
      </w:pPr>
      <w:r w:rsidRPr="006E4504">
        <w:rPr>
          <w:lang/>
        </w:rPr>
        <w:t>Burke, T., Elamin, M., Galvin, M., Hardiman, O., &amp; Pender, N. (2015). Caregiver burden in amyotrophic lateral sclerosis: a cross-sectional investigation of predictors. Journal of Neurology, 262(6), 1526-1532.</w:t>
      </w:r>
    </w:p>
    <w:p w14:paraId="72B6A1E7" w14:textId="77777777" w:rsidR="006E4504" w:rsidRPr="006E4504" w:rsidRDefault="006E4504" w:rsidP="006E4504">
      <w:pPr>
        <w:rPr>
          <w:lang/>
        </w:rPr>
      </w:pPr>
      <w:r w:rsidRPr="006E4504">
        <w:rPr>
          <w:lang/>
        </w:rPr>
        <w:t xml:space="preserve">Galvin, M., Corr, B., Madden, C., Mays, I., McQuillan, R., Timonen, V., Staines, A., &amp; Hardiman, O. (2016). Caregiving in ALS - a mixed methods approach to the study of Burden. BMC Palliative Care, 15, 81. </w:t>
      </w:r>
    </w:p>
    <w:p w14:paraId="636E1E44" w14:textId="77777777" w:rsidR="006E4504" w:rsidRPr="006E4504" w:rsidRDefault="006E4504" w:rsidP="006E4504">
      <w:pPr>
        <w:rPr>
          <w:lang/>
        </w:rPr>
      </w:pPr>
      <w:r w:rsidRPr="006E4504">
        <w:rPr>
          <w:lang/>
        </w:rPr>
        <w:t>Geng, D., Ou, R., Miao, X., Zhao, L., Wei, Q., Chen, X., Liang, Y., Shang, H., &amp; Yang, R. (2017). Patients' self-perceived burden, caregivers' burden, and quality of life for amyotrophic lateral sclerosis patients: a cross-sectional study. Journal of Clinical Nursing, 26(19-20), 3188-3199.</w:t>
      </w:r>
    </w:p>
    <w:p w14:paraId="128C0094" w14:textId="77777777" w:rsidR="006E4504" w:rsidRPr="006E4504" w:rsidRDefault="006E4504" w:rsidP="006E4504">
      <w:pPr>
        <w:rPr>
          <w:lang/>
        </w:rPr>
      </w:pPr>
      <w:r w:rsidRPr="006E4504">
        <w:rPr>
          <w:lang/>
        </w:rPr>
        <w:t xml:space="preserve">Lillo, P., Mioshi, E., &amp; Hodges, J. R. (2012). Caregiver burden in amyotrophic lateral sclerosis is more dependent on patients' behavioral changes than physical disability: a comparative study. BMC Neurology, 12, 156. </w:t>
      </w:r>
    </w:p>
    <w:p w14:paraId="1FFEFA7F" w14:textId="77777777" w:rsidR="006E4504" w:rsidRPr="006E4504" w:rsidRDefault="006E4504" w:rsidP="006E4504">
      <w:pPr>
        <w:rPr>
          <w:lang/>
        </w:rPr>
      </w:pPr>
      <w:r w:rsidRPr="006E4504">
        <w:rPr>
          <w:lang/>
        </w:rPr>
        <w:lastRenderedPageBreak/>
        <w:t xml:space="preserve">Qutub, K., Lacomis, D., Albert, S. M., &amp; Feingold, E. (2014). Life factors affecting depression and burden in amyotrophic lateral sclerosis caregivers. Amyotrophic Lateral Sclerosis and Frontotemporal Degeneration, 15(3-4), 292-297. </w:t>
      </w:r>
    </w:p>
    <w:p w14:paraId="13DC8D9E" w14:textId="77777777" w:rsidR="006E4504" w:rsidRPr="006E4504" w:rsidRDefault="006E4504" w:rsidP="006E4504">
      <w:pPr>
        <w:rPr>
          <w:lang/>
        </w:rPr>
      </w:pPr>
      <w:r w:rsidRPr="006E4504">
        <w:rPr>
          <w:lang/>
        </w:rPr>
        <w:t>Roach, A. R., Averill, A. J., Segerstrom, S. C., &amp; Kasarskis, E. J. (2009). The dynamics of quality of life in ALS patients and caregivers. Annals of Behavioral Medicine, 37(2), 197–206.</w:t>
      </w:r>
    </w:p>
    <w:p w14:paraId="0F3191B6" w14:textId="77777777" w:rsidR="006E4504" w:rsidRPr="006E4504" w:rsidRDefault="006E4504" w:rsidP="006E4504">
      <w:pPr>
        <w:rPr>
          <w:lang/>
        </w:rPr>
      </w:pPr>
      <w:r w:rsidRPr="006E4504">
        <w:rPr>
          <w:lang/>
        </w:rPr>
        <w:t xml:space="preserve">Schischlevskij, P., Cordts, I., Günther, R., Stolte, B., Zeller, D., Schröter, C., Weyen, U., Regensburger, M., Wolf, J., Schneider, I., Hermann, A., Metelmann, M., Kohl, Z., Linker, R. A., Koch, J. C., Stendel, C., Müschen, L. H., Osmanovic, A., Binz, C., Schreiber-Katz, O. (2021). Informal Caregiving in Amyotrophic Lateral Sclerosis (ALS): A High Caregiver Burden and Drastic Consequences on Caregivers' Lives. Brain Sciences, 11(6), 748. </w:t>
      </w:r>
    </w:p>
    <w:p w14:paraId="7BAFA624" w14:textId="77777777" w:rsidR="006E4504" w:rsidRPr="006E4504" w:rsidRDefault="006E4504" w:rsidP="006E4504">
      <w:pPr>
        <w:rPr>
          <w:lang/>
        </w:rPr>
      </w:pPr>
      <w:r w:rsidRPr="006E4504">
        <w:rPr>
          <w:lang/>
        </w:rPr>
        <w:t>Tülek, Z., Özakgül, A., Alankaya, N., Dik, A., Kaya, A., Ünalan, P. C., Özaydin, A. N., &amp; İdrisoğlu, H. A. (2023). Care burden and related factors among informal caregivers of patients with amyotrophic lateral sclerosis. Amyotrophic Lateral Sclerosis and Frontotemporal Degeneration, 24(1-2), 125-132.</w:t>
      </w:r>
    </w:p>
    <w:p w14:paraId="6B4E55C0" w14:textId="77777777" w:rsidR="000F287D" w:rsidRPr="000F287D" w:rsidRDefault="000F287D" w:rsidP="000F287D"/>
    <w:p w14:paraId="2FA6BE08" w14:textId="32A50A2B" w:rsidR="00561C47" w:rsidRPr="00561C47" w:rsidRDefault="00562CC6" w:rsidP="00561C47">
      <w:pPr>
        <w:pStyle w:val="Heading1"/>
      </w:pPr>
      <w:r>
        <w:t>Method</w:t>
      </w:r>
    </w:p>
    <w:p w14:paraId="418163CE" w14:textId="4AD61A1C" w:rsidR="00561C47" w:rsidRPr="00561C47" w:rsidRDefault="009F05BF" w:rsidP="00561C47">
      <w:pPr>
        <w:pStyle w:val="Heading2"/>
      </w:pPr>
      <w:r>
        <w:t xml:space="preserve">Data and </w:t>
      </w:r>
      <w:r w:rsidRPr="00561C47">
        <w:t>variable</w:t>
      </w:r>
    </w:p>
    <w:p w14:paraId="0D8D46E1" w14:textId="3FDC78B5" w:rsidR="009F05BF" w:rsidRPr="009F05BF" w:rsidRDefault="009F05BF" w:rsidP="00562CC6">
      <w:r>
        <w:t xml:space="preserve">A cross-sectional study of caregivers </w:t>
      </w:r>
      <w:r w:rsidR="00FE43E6">
        <w:t xml:space="preserve">of XXX </w:t>
      </w:r>
      <w:r>
        <w:t xml:space="preserve">was carried out in </w:t>
      </w:r>
      <w:r w:rsidR="00FE43E6">
        <w:t>WHERE</w:t>
      </w:r>
      <w:r>
        <w:t xml:space="preserve"> in </w:t>
      </w:r>
      <w:r w:rsidR="00FE43E6">
        <w:t>WHEN</w:t>
      </w:r>
      <w:r>
        <w:t xml:space="preserve">. </w:t>
      </w:r>
      <w:r w:rsidR="00FE43E6">
        <w:t>C</w:t>
      </w:r>
      <w:r>
        <w:t xml:space="preserve">aregivers were included if </w:t>
      </w:r>
      <w:r w:rsidR="001E29DC">
        <w:t>BRIEF INCLUSION CRITERIA</w:t>
      </w:r>
      <w:r>
        <w:t xml:space="preserve"> [</w:t>
      </w:r>
      <w:r w:rsidR="001E29DC">
        <w:t>cite trial</w:t>
      </w:r>
      <w:r>
        <w:t>].</w:t>
      </w:r>
      <w:r w:rsidR="002236B9">
        <w:t xml:space="preserve"> </w:t>
      </w:r>
      <w:r>
        <w:t>Data were collected using a questionnaire completed during an in-person interview.</w:t>
      </w:r>
    </w:p>
    <w:p w14:paraId="4EE38F6A" w14:textId="722D5217" w:rsidR="00B230F0" w:rsidRDefault="00334CEE" w:rsidP="0070685B">
      <w:r>
        <w:t xml:space="preserve">The </w:t>
      </w:r>
      <w:r w:rsidR="00C70B75">
        <w:t>first</w:t>
      </w:r>
      <w:r>
        <w:t xml:space="preserve"> set of variables were </w:t>
      </w:r>
      <w:r w:rsidR="00AF1224">
        <w:t>c</w:t>
      </w:r>
      <w:r>
        <w:t xml:space="preserve">aregiver </w:t>
      </w:r>
      <w:r w:rsidR="00AF1224">
        <w:t xml:space="preserve">sociodemographic </w:t>
      </w:r>
      <w:r>
        <w:t>characteristics</w:t>
      </w:r>
      <w:r w:rsidR="002C4C18">
        <w:t>.</w:t>
      </w:r>
      <w:r>
        <w:rPr>
          <w:rStyle w:val="FootnoteReference"/>
        </w:rPr>
        <w:footnoteReference w:id="1"/>
      </w:r>
      <w:r w:rsidR="007868AF">
        <w:t xml:space="preserve"> such as s</w:t>
      </w:r>
      <w:r w:rsidR="004B1253" w:rsidRPr="00C53F8E">
        <w:t>ex</w:t>
      </w:r>
      <w:r w:rsidR="007868AF">
        <w:t xml:space="preserve"> (DEFINE)</w:t>
      </w:r>
      <w:r w:rsidR="0070685B">
        <w:t xml:space="preserve">, </w:t>
      </w:r>
      <w:r w:rsidR="007868AF">
        <w:t>a</w:t>
      </w:r>
      <w:r w:rsidR="00674A75" w:rsidRPr="00C53F8E">
        <w:t>ge</w:t>
      </w:r>
      <w:r w:rsidR="007868AF">
        <w:t xml:space="preserve"> (DEFINE),</w:t>
      </w:r>
      <w:r w:rsidR="0070685B">
        <w:t xml:space="preserve"> </w:t>
      </w:r>
      <w:r w:rsidR="007868AF">
        <w:t>l</w:t>
      </w:r>
      <w:r w:rsidR="00562CC6" w:rsidRPr="00C53F8E">
        <w:t>evel of education</w:t>
      </w:r>
      <w:r w:rsidR="007868AF">
        <w:t xml:space="preserve"> (DEFINE), e</w:t>
      </w:r>
      <w:r w:rsidR="00562CC6" w:rsidRPr="00C53F8E">
        <w:t>mployment status</w:t>
      </w:r>
      <w:r w:rsidR="007868AF">
        <w:t xml:space="preserve"> (DEFINE). We also asked respondents if they had a</w:t>
      </w:r>
      <w:r w:rsidR="00562CC6">
        <w:t>ny medical conditions</w:t>
      </w:r>
      <w:r w:rsidR="006A76F1">
        <w:t xml:space="preserve">. </w:t>
      </w:r>
    </w:p>
    <w:p w14:paraId="50DD48A5" w14:textId="2E01A66D" w:rsidR="002309AD" w:rsidRDefault="00B319FD" w:rsidP="0070685B">
      <w:r>
        <w:t xml:space="preserve">The </w:t>
      </w:r>
      <w:r w:rsidR="00317686">
        <w:t>second</w:t>
      </w:r>
      <w:r>
        <w:t xml:space="preserve"> set of variables were </w:t>
      </w:r>
      <w:r w:rsidR="00337411">
        <w:t>p</w:t>
      </w:r>
      <w:r w:rsidR="002309AD">
        <w:t>sychosocial</w:t>
      </w:r>
      <w:r w:rsidR="00337411">
        <w:t>, including</w:t>
      </w:r>
      <w:r w:rsidR="002309AD">
        <w:t xml:space="preserve"> </w:t>
      </w:r>
      <w:r w:rsidR="00572940">
        <w:t xml:space="preserve">coping strategies, social support, self-esteem, </w:t>
      </w:r>
      <w:r w:rsidR="00E134DA">
        <w:t xml:space="preserve">anxiety, and </w:t>
      </w:r>
      <w:r w:rsidR="00F7539A">
        <w:t>depression.</w:t>
      </w:r>
    </w:p>
    <w:p w14:paraId="62F6E465" w14:textId="42671A64" w:rsidR="00E75C6A" w:rsidRDefault="009F04E7" w:rsidP="0070685B">
      <w:r>
        <w:t xml:space="preserve">The </w:t>
      </w:r>
      <w:r w:rsidR="00B319FD">
        <w:t>third</w:t>
      </w:r>
      <w:r>
        <w:t xml:space="preserve"> set of variables were </w:t>
      </w:r>
      <w:r w:rsidR="00075A92">
        <w:t>c</w:t>
      </w:r>
      <w:r w:rsidR="00075A92" w:rsidRPr="00674A75">
        <w:t xml:space="preserve">aregiving </w:t>
      </w:r>
      <w:r w:rsidR="00E91DEA">
        <w:t>context</w:t>
      </w:r>
      <w:r w:rsidR="00075A92">
        <w:t xml:space="preserve">, including </w:t>
      </w:r>
      <w:r>
        <w:t>r</w:t>
      </w:r>
      <w:r w:rsidR="00674A75">
        <w:t>elationship with care recipient</w:t>
      </w:r>
      <w:r w:rsidR="00075A92">
        <w:t xml:space="preserve"> (DEFINE),</w:t>
      </w:r>
      <w:r w:rsidR="00F7539A">
        <w:t xml:space="preserve"> whether living with patient (DEFINE),</w:t>
      </w:r>
      <w:r w:rsidR="00075A92">
        <w:t xml:space="preserve"> the</w:t>
      </w:r>
      <w:r w:rsidR="00334CEE">
        <w:t xml:space="preserve"> type of support</w:t>
      </w:r>
      <w:r w:rsidR="00562CC6">
        <w:t xml:space="preserve"> </w:t>
      </w:r>
      <w:r w:rsidR="00674A75">
        <w:t>provided</w:t>
      </w:r>
      <w:r w:rsidR="00317686">
        <w:t xml:space="preserve"> or care demands</w:t>
      </w:r>
      <w:r>
        <w:t xml:space="preserve"> (DEFINE), </w:t>
      </w:r>
      <w:r w:rsidR="00075A92">
        <w:t>i</w:t>
      </w:r>
      <w:r w:rsidR="00562CC6">
        <w:t>ntensity of caregiving activities</w:t>
      </w:r>
      <w:r>
        <w:t xml:space="preserve"> (DEFINE), </w:t>
      </w:r>
      <w:r w:rsidR="00334CEE">
        <w:t xml:space="preserve">and </w:t>
      </w:r>
      <w:r>
        <w:t>h</w:t>
      </w:r>
      <w:r w:rsidR="00E75C6A">
        <w:t>ow long has been looking after</w:t>
      </w:r>
      <w:r>
        <w:t xml:space="preserve"> (DEFINE)</w:t>
      </w:r>
      <w:r w:rsidR="008445C9">
        <w:t>.</w:t>
      </w:r>
    </w:p>
    <w:p w14:paraId="25BA528A" w14:textId="11EF129B" w:rsidR="004872AF" w:rsidRDefault="006A76F1" w:rsidP="0070685B">
      <w:r>
        <w:lastRenderedPageBreak/>
        <w:t>We also collected information on characteristics of care</w:t>
      </w:r>
      <w:r w:rsidR="00107BB8">
        <w:t xml:space="preserve"> recipient</w:t>
      </w:r>
      <w:r>
        <w:t xml:space="preserve">. These were </w:t>
      </w:r>
      <w:r w:rsidR="00C70B75">
        <w:t>s</w:t>
      </w:r>
      <w:r w:rsidR="00107BB8">
        <w:t>ex</w:t>
      </w:r>
      <w:r w:rsidR="00107BB8" w:rsidRPr="004B1253">
        <w:t xml:space="preserve"> </w:t>
      </w:r>
      <w:r w:rsidR="00107BB8">
        <w:t>of care recipient</w:t>
      </w:r>
      <w:r w:rsidR="00C70B75">
        <w:t xml:space="preserve"> (DEFINE), a</w:t>
      </w:r>
      <w:r w:rsidR="00107BB8">
        <w:t>ge of care recipient</w:t>
      </w:r>
      <w:r w:rsidR="00C70B75">
        <w:t xml:space="preserve"> (DEFINE), </w:t>
      </w:r>
      <w:r w:rsidR="00107BB8">
        <w:t>severity</w:t>
      </w:r>
      <w:r w:rsidR="00A270E0">
        <w:t xml:space="preserve"> of the disease</w:t>
      </w:r>
      <w:r w:rsidR="003805AF">
        <w:t xml:space="preserve"> </w:t>
      </w:r>
      <w:r w:rsidR="00C70B75">
        <w:t>(DEFINE), and d</w:t>
      </w:r>
      <w:r w:rsidR="00107BB8">
        <w:t>isease duration</w:t>
      </w:r>
      <w:r w:rsidR="00C70B75">
        <w:t xml:space="preserve"> (DEFINE).</w:t>
      </w:r>
    </w:p>
    <w:p w14:paraId="569967B0" w14:textId="5DCBC81B" w:rsidR="00562CC6" w:rsidRDefault="00562CC6" w:rsidP="00562CC6">
      <w:r>
        <w:t xml:space="preserve">The Zarit Burden Interview (ZBI) is the most widely-used instrument for measuring caregiver subjective burden [15], and we used the validated </w:t>
      </w:r>
      <w:r w:rsidR="00317686">
        <w:t>xxx</w:t>
      </w:r>
      <w:r>
        <w:t xml:space="preserve"> version [16]. The ZBI contains 22 five-point Likert-style questions with reply options ranging from 0 “never” to 4, “nearly always”. The total score ranges from 0 to 88, with a higher score indicating a greater perceived care burden. The cut-off points are: 0 to 20 points</w:t>
      </w:r>
      <w:r>
        <w:rPr>
          <w:rFonts w:cs="Arial"/>
        </w:rPr>
        <w:t> </w:t>
      </w:r>
      <w:r>
        <w:t>=</w:t>
      </w:r>
      <w:r>
        <w:rPr>
          <w:rFonts w:cs="Arial"/>
        </w:rPr>
        <w:t> </w:t>
      </w:r>
      <w:r>
        <w:t>little or no burden; 21 to 40</w:t>
      </w:r>
      <w:r>
        <w:rPr>
          <w:rFonts w:cs="Arial"/>
        </w:rPr>
        <w:t> </w:t>
      </w:r>
      <w:r>
        <w:t>=</w:t>
      </w:r>
      <w:r>
        <w:rPr>
          <w:rFonts w:cs="Arial"/>
        </w:rPr>
        <w:t> </w:t>
      </w:r>
      <w:r>
        <w:t>mild to moderate burden; 41 to 60</w:t>
      </w:r>
      <w:r>
        <w:rPr>
          <w:rFonts w:cs="Arial"/>
        </w:rPr>
        <w:t> </w:t>
      </w:r>
      <w:r>
        <w:t>=</w:t>
      </w:r>
      <w:r>
        <w:rPr>
          <w:rFonts w:cs="Arial"/>
        </w:rPr>
        <w:t> </w:t>
      </w:r>
      <w:r>
        <w:t>moderate to severe burden; 61 to 88</w:t>
      </w:r>
      <w:r>
        <w:rPr>
          <w:rFonts w:cs="Arial"/>
        </w:rPr>
        <w:t> </w:t>
      </w:r>
      <w:r>
        <w:t>=</w:t>
      </w:r>
      <w:r>
        <w:rPr>
          <w:rFonts w:cs="Arial"/>
        </w:rPr>
        <w:t> </w:t>
      </w:r>
      <w:r>
        <w:t>severe burden.</w:t>
      </w:r>
    </w:p>
    <w:p w14:paraId="7DFE45E3" w14:textId="77777777" w:rsidR="00562CC6" w:rsidRPr="00562CC6" w:rsidRDefault="00562CC6" w:rsidP="00B57FC0">
      <w:pPr>
        <w:pStyle w:val="Heading2"/>
      </w:pPr>
      <w:r w:rsidRPr="00562CC6">
        <w:t>Statistical analysis</w:t>
      </w:r>
    </w:p>
    <w:p w14:paraId="1653F3B3" w14:textId="20FFDEEC" w:rsidR="00562CC6" w:rsidRDefault="00562CC6" w:rsidP="00B57FC0">
      <w:r>
        <w:t xml:space="preserve">Descriptive statistics including means, standard deviations, </w:t>
      </w:r>
      <w:r w:rsidR="00CB4402">
        <w:t>frequencies,</w:t>
      </w:r>
      <w:r>
        <w:t xml:space="preserve"> and percentages were used to analyse the data.</w:t>
      </w:r>
    </w:p>
    <w:p w14:paraId="29F20E86" w14:textId="4378BFF2" w:rsidR="00562CC6" w:rsidRDefault="00562CC6" w:rsidP="00B57FC0">
      <w:r>
        <w:t xml:space="preserve">Normality of the primary outcome was tested using the Kolmogorov-Smirnov test, and normal distribution of data was not confirmed. </w:t>
      </w:r>
    </w:p>
    <w:p w14:paraId="59F5F0AF" w14:textId="77777777" w:rsidR="00BB30C1" w:rsidRDefault="00562CC6" w:rsidP="00B57FC0">
      <w:r>
        <w:t xml:space="preserve">Univariate linear regression was used to examine the direction and size of the relationships between caregiver burden and the variables examined, i.e., caregiver characteristics, caregiver resources (internal and external), caregiver-care recipient relationship, intensity of care, and care recipient characteristics. </w:t>
      </w:r>
    </w:p>
    <w:p w14:paraId="6AA3C3F7" w14:textId="2F7B0566" w:rsidR="00562CC6" w:rsidRDefault="00BB30C1" w:rsidP="007E5193">
      <w:r w:rsidRPr="00562CC6">
        <w:t xml:space="preserve">To test the </w:t>
      </w:r>
      <w:r>
        <w:t>extent to which the variables explained caregiver burden</w:t>
      </w:r>
      <w:r w:rsidRPr="00562CC6">
        <w:t xml:space="preserve">, </w:t>
      </w:r>
      <w:r>
        <w:t xml:space="preserve">we will </w:t>
      </w:r>
      <w:r w:rsidR="00C53F8E">
        <w:t>conduct</w:t>
      </w:r>
      <w:r>
        <w:t xml:space="preserve"> </w:t>
      </w:r>
      <w:r w:rsidRPr="00562CC6">
        <w:t xml:space="preserve">a hierarchical </w:t>
      </w:r>
      <w:r>
        <w:t xml:space="preserve">(block-wise) </w:t>
      </w:r>
      <w:r w:rsidRPr="00562CC6">
        <w:t xml:space="preserve">multiple regression </w:t>
      </w:r>
      <w:r>
        <w:t xml:space="preserve">analysis, </w:t>
      </w:r>
      <w:r w:rsidRPr="00562CC6">
        <w:t xml:space="preserve">with </w:t>
      </w:r>
      <w:r>
        <w:t>XX</w:t>
      </w:r>
      <w:r w:rsidRPr="00562CC6">
        <w:t xml:space="preserve"> blocks of variables. </w:t>
      </w:r>
      <w:r w:rsidR="00EC18CF">
        <w:t xml:space="preserve">The variables that </w:t>
      </w:r>
      <w:r w:rsidR="007E5193">
        <w:t xml:space="preserve">will </w:t>
      </w:r>
      <w:r w:rsidR="00EC18CF">
        <w:t xml:space="preserve">compose the blocks used in the </w:t>
      </w:r>
      <w:r w:rsidR="007E5193">
        <w:t>regression</w:t>
      </w:r>
      <w:r w:rsidR="00EC18CF">
        <w:t xml:space="preserve"> </w:t>
      </w:r>
      <w:r w:rsidR="007E5193">
        <w:t>model</w:t>
      </w:r>
      <w:r w:rsidR="00EC18CF">
        <w:t xml:space="preserve"> </w:t>
      </w:r>
      <w:r w:rsidR="007E5193">
        <w:t>will be</w:t>
      </w:r>
      <w:r w:rsidR="00EC18CF">
        <w:t xml:space="preserve"> selected by adopting a critical level of significance (p</w:t>
      </w:r>
      <w:r w:rsidR="00EC18CF">
        <w:rPr>
          <w:rFonts w:cs="Arial"/>
        </w:rPr>
        <w:t> </w:t>
      </w:r>
      <w:r w:rsidR="00EC18CF">
        <w:rPr>
          <w:rFonts w:ascii="Cambria Math" w:hAnsi="Cambria Math" w:cs="Cambria Math"/>
        </w:rPr>
        <w:t>≤</w:t>
      </w:r>
      <w:r w:rsidR="00EC18CF">
        <w:rPr>
          <w:rFonts w:cs="Arial"/>
        </w:rPr>
        <w:t> </w:t>
      </w:r>
      <w:r w:rsidR="00EC18CF">
        <w:t>0.10</w:t>
      </w:r>
      <w:r w:rsidR="007E5193">
        <w:t>|0.05</w:t>
      </w:r>
      <w:r w:rsidR="00EC18CF">
        <w:t xml:space="preserve">) in the univariate analysis. </w:t>
      </w:r>
      <w:r w:rsidRPr="00562CC6">
        <w:t xml:space="preserve">The first block </w:t>
      </w:r>
      <w:r w:rsidR="00C53F8E">
        <w:t>will include</w:t>
      </w:r>
      <w:r w:rsidRPr="00562CC6">
        <w:t xml:space="preserve"> </w:t>
      </w:r>
      <w:r w:rsidR="007C59F0">
        <w:t xml:space="preserve">caregiver characteristics </w:t>
      </w:r>
      <w:r w:rsidRPr="00562CC6">
        <w:t xml:space="preserve">as the predictors. </w:t>
      </w:r>
      <w:r w:rsidR="00B328CB">
        <w:t xml:space="preserve">We will add </w:t>
      </w:r>
      <w:r w:rsidR="007C59F0">
        <w:t>caregiving activities</w:t>
      </w:r>
      <w:r w:rsidR="00B328CB">
        <w:t>, caregiver resources, and care recipient characteristics</w:t>
      </w:r>
      <w:r w:rsidR="00EC18CF">
        <w:t xml:space="preserve"> as predictors in blocks two to four</w:t>
      </w:r>
      <w:r w:rsidRPr="00562CC6">
        <w:t xml:space="preserve">, </w:t>
      </w:r>
      <w:r w:rsidR="00B328CB">
        <w:t>respectively</w:t>
      </w:r>
      <w:r w:rsidRPr="00562CC6">
        <w:t>.</w:t>
      </w:r>
      <w:r w:rsidR="00562CC6">
        <w:t xml:space="preserve"> Results are presented as coefficients</w:t>
      </w:r>
      <w:r w:rsidR="007E5193">
        <w:t xml:space="preserve"> (</w:t>
      </w:r>
      <w:r w:rsidR="009C549A">
        <w:t>change in ZBI)</w:t>
      </w:r>
      <w:r w:rsidR="00562CC6">
        <w:t xml:space="preserve"> and standard errors. The regression models included the following indicators: </w:t>
      </w:r>
      <w:r w:rsidR="006D450F">
        <w:t>F</w:t>
      </w:r>
      <w:r w:rsidR="0032576E">
        <w:t>-</w:t>
      </w:r>
      <w:r w:rsidR="006D450F">
        <w:t>statistic</w:t>
      </w:r>
      <w:r w:rsidR="0032576E">
        <w:t xml:space="preserve"> and the corresponding p-value</w:t>
      </w:r>
      <w:r w:rsidR="006D450F">
        <w:t>,</w:t>
      </w:r>
      <w:r w:rsidR="0032576E">
        <w:t xml:space="preserve"> </w:t>
      </w:r>
      <w:r w:rsidR="009C549A">
        <w:t xml:space="preserve">adjusted </w:t>
      </w:r>
      <w:r w:rsidR="00562CC6">
        <w:t>R</w:t>
      </w:r>
      <w:r w:rsidR="009C549A">
        <w:rPr>
          <w:vertAlign w:val="superscript"/>
        </w:rPr>
        <w:t>2</w:t>
      </w:r>
      <w:r w:rsidR="00562CC6">
        <w:t xml:space="preserve">, </w:t>
      </w:r>
      <w:r w:rsidR="00A57868">
        <w:t>change in adjusted R</w:t>
      </w:r>
      <w:r w:rsidR="00A57868">
        <w:rPr>
          <w:vertAlign w:val="superscript"/>
        </w:rPr>
        <w:t>2</w:t>
      </w:r>
      <w:r w:rsidR="00A57868">
        <w:t>, and deviance statistics (AIC/BIC)</w:t>
      </w:r>
      <w:r w:rsidR="00562CC6">
        <w:t>.</w:t>
      </w:r>
      <w:r w:rsidR="00A57868">
        <w:t xml:space="preserve"> </w:t>
      </w:r>
    </w:p>
    <w:p w14:paraId="4241A884" w14:textId="29610300" w:rsidR="00790E5F" w:rsidRDefault="00790E5F" w:rsidP="00B57FC0">
      <w:r>
        <w:t>Regression diagnostics</w:t>
      </w:r>
    </w:p>
    <w:p w14:paraId="6880480B" w14:textId="73ED0716" w:rsidR="00790E5F" w:rsidRPr="007A5FDA" w:rsidRDefault="00790E5F" w:rsidP="007A5FDA">
      <w:pPr>
        <w:rPr>
          <w:b/>
        </w:rPr>
      </w:pPr>
      <w:r>
        <w:t xml:space="preserve">Multicollinearity: Drop </w:t>
      </w:r>
      <w:r w:rsidR="00562CC6">
        <w:t xml:space="preserve">a variable was dropped if the variance inflation factor (VIF) </w:t>
      </w:r>
      <w:r>
        <w:t>is</w:t>
      </w:r>
      <w:r w:rsidR="00562CC6">
        <w:t xml:space="preserve"> 10. </w:t>
      </w:r>
    </w:p>
    <w:p w14:paraId="63F37214" w14:textId="422069C6" w:rsidR="0002410F" w:rsidRDefault="00015EC3" w:rsidP="00790E5F">
      <w:r>
        <w:t xml:space="preserve">All analysis will be conducted using </w:t>
      </w:r>
      <w:r w:rsidRPr="00DB1DB3">
        <w:t xml:space="preserve">Stata </w:t>
      </w:r>
      <w:r>
        <w:t>version</w:t>
      </w:r>
      <w:r w:rsidRPr="00DB1DB3">
        <w:t xml:space="preserve"> 18</w:t>
      </w:r>
      <w:r>
        <w:t>.0</w:t>
      </w:r>
      <w:r w:rsidRPr="00DB1DB3">
        <w:t xml:space="preserve"> </w:t>
      </w:r>
      <w:r>
        <w:t>(StataCorp, College Station, Texas, USA).</w:t>
      </w:r>
    </w:p>
    <w:p w14:paraId="12AAC2CD" w14:textId="2C0D8425" w:rsidR="00F63788" w:rsidRDefault="00F63788" w:rsidP="00F63788">
      <w:pPr>
        <w:pStyle w:val="Heading1"/>
      </w:pPr>
      <w:r>
        <w:lastRenderedPageBreak/>
        <w:t>Results</w:t>
      </w:r>
    </w:p>
    <w:p w14:paraId="0C90F3E6" w14:textId="42D15AB9" w:rsidR="001437C7" w:rsidRDefault="00095974" w:rsidP="00095974">
      <w:pPr>
        <w:pStyle w:val="Heading2"/>
      </w:pPr>
      <w:r>
        <w:t>Caregiver characteristics</w:t>
      </w:r>
      <w:r w:rsidR="00974686">
        <w:t xml:space="preserve"> and </w:t>
      </w:r>
      <w:r w:rsidR="00974686" w:rsidRPr="00974686">
        <w:t>caregiving context</w:t>
      </w:r>
    </w:p>
    <w:p w14:paraId="6F2EEFE7" w14:textId="77777777" w:rsidR="00095974" w:rsidRDefault="00095974" w:rsidP="00790E5F"/>
    <w:p w14:paraId="6C9C957B" w14:textId="77777777" w:rsidR="007A5FDA" w:rsidRDefault="007A5FDA" w:rsidP="007A5FDA">
      <w:pPr>
        <w:pStyle w:val="Heading2"/>
      </w:pPr>
      <w:r>
        <w:t>Patient characteristics and disease severity</w:t>
      </w:r>
    </w:p>
    <w:p w14:paraId="38C8060B" w14:textId="77777777" w:rsidR="007A5FDA" w:rsidRDefault="007A5FDA" w:rsidP="00790E5F"/>
    <w:p w14:paraId="27AC06E5" w14:textId="4E2A111C" w:rsidR="001437C7" w:rsidRPr="005929CC" w:rsidRDefault="00E253E0" w:rsidP="004D6FD8">
      <w:pPr>
        <w:pStyle w:val="Caption"/>
      </w:pPr>
      <w:r>
        <w:t xml:space="preserve">Table </w:t>
      </w:r>
      <w:r>
        <w:fldChar w:fldCharType="begin"/>
      </w:r>
      <w:r>
        <w:instrText xml:space="preserve"> SEQ Table \* ARABIC </w:instrText>
      </w:r>
      <w:r>
        <w:fldChar w:fldCharType="separate"/>
      </w:r>
      <w:r w:rsidR="00415D49">
        <w:rPr>
          <w:noProof/>
        </w:rPr>
        <w:t>1</w:t>
      </w:r>
      <w:r>
        <w:fldChar w:fldCharType="end"/>
      </w:r>
      <w:r>
        <w:t xml:space="preserve">. </w:t>
      </w:r>
      <w:r w:rsidR="00EC41FF" w:rsidRPr="00EC41FF">
        <w:t>Characteristics of patients with motor neuron disease</w:t>
      </w:r>
      <w:r w:rsidR="00EC7448">
        <w:t xml:space="preserve">, </w:t>
      </w:r>
      <w:r w:rsidR="00EC41FF" w:rsidRPr="00EC41FF">
        <w:t>their caregivers</w:t>
      </w:r>
      <w:r w:rsidR="00EC7448">
        <w:t>, and caregiving context</w:t>
      </w:r>
      <w:r w:rsidR="00EC41FF" w:rsidRPr="00EC41FF">
        <w:t xml:space="preserve"> at baseline</w:t>
      </w:r>
      <w:r w:rsidR="00342C1E">
        <w:t xml:space="preserve"> from the </w:t>
      </w:r>
      <w:r w:rsidR="00342C1E" w:rsidRPr="00342C1E">
        <w:t>COMMEND trial</w:t>
      </w:r>
      <w:r w:rsidR="008E5F33">
        <w:t>.</w:t>
      </w:r>
    </w:p>
    <w:tbl>
      <w:tblPr>
        <w:tblStyle w:val="TableGrid2"/>
        <w:tblW w:w="0" w:type="auto"/>
        <w:tblLook w:val="04A0" w:firstRow="1" w:lastRow="0" w:firstColumn="1" w:lastColumn="0" w:noHBand="0" w:noVBand="1"/>
      </w:tblPr>
      <w:tblGrid>
        <w:gridCol w:w="4525"/>
        <w:gridCol w:w="4491"/>
      </w:tblGrid>
      <w:tr w:rsidR="00641C88" w:rsidRPr="00641C88" w14:paraId="1DCDC04B"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tcPr>
          <w:p w14:paraId="57BFFF80" w14:textId="77777777" w:rsidR="00641C88" w:rsidRPr="00641C88" w:rsidRDefault="00641C88" w:rsidP="00641C88">
            <w:pPr>
              <w:spacing w:after="0" w:line="276" w:lineRule="auto"/>
              <w:jc w:val="left"/>
              <w:rPr>
                <w:rFonts w:ascii="Aptos" w:eastAsia="Aptos" w:hAnsi="Aptos" w:cs="Times New Roman"/>
              </w:rPr>
            </w:pPr>
          </w:p>
        </w:tc>
        <w:tc>
          <w:tcPr>
            <w:tcW w:w="4491" w:type="dxa"/>
            <w:tcBorders>
              <w:top w:val="single" w:sz="4" w:space="0" w:color="000000"/>
              <w:left w:val="single" w:sz="4" w:space="0" w:color="000000"/>
              <w:bottom w:val="single" w:sz="4" w:space="0" w:color="000000"/>
              <w:right w:val="single" w:sz="4" w:space="0" w:color="000000"/>
            </w:tcBorders>
            <w:vAlign w:val="center"/>
          </w:tcPr>
          <w:p w14:paraId="7BB9B125"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Mean (SD) or n (%)</w:t>
            </w:r>
          </w:p>
        </w:tc>
      </w:tr>
      <w:tr w:rsidR="00342C1E" w:rsidRPr="00641C88" w14:paraId="2FD73236"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4BA01BFA" w14:textId="77777777" w:rsidR="00342C1E" w:rsidRPr="00641C88" w:rsidRDefault="00342C1E" w:rsidP="00567CF3">
            <w:pPr>
              <w:spacing w:after="0" w:line="276" w:lineRule="auto"/>
              <w:jc w:val="left"/>
              <w:rPr>
                <w:rFonts w:ascii="Aptos" w:eastAsia="Aptos" w:hAnsi="Aptos" w:cs="Times New Roman"/>
                <w:b/>
                <w:bCs/>
              </w:rPr>
            </w:pPr>
            <w:r w:rsidRPr="00641C88">
              <w:rPr>
                <w:rFonts w:eastAsia="Arial" w:cs="Arial"/>
                <w:b/>
                <w:bCs/>
                <w:sz w:val="20"/>
              </w:rPr>
              <w:t>Caregivers, N=85</w:t>
            </w:r>
          </w:p>
        </w:tc>
        <w:tc>
          <w:tcPr>
            <w:tcW w:w="4491" w:type="dxa"/>
            <w:tcBorders>
              <w:top w:val="single" w:sz="4" w:space="0" w:color="000000"/>
              <w:left w:val="single" w:sz="4" w:space="0" w:color="000000"/>
              <w:bottom w:val="single" w:sz="4" w:space="0" w:color="000000"/>
              <w:right w:val="single" w:sz="4" w:space="0" w:color="000000"/>
            </w:tcBorders>
          </w:tcPr>
          <w:p w14:paraId="585E2C52" w14:textId="77777777" w:rsidR="00342C1E" w:rsidRPr="00641C88" w:rsidRDefault="00342C1E" w:rsidP="00567CF3">
            <w:pPr>
              <w:spacing w:after="0" w:line="276" w:lineRule="auto"/>
              <w:jc w:val="left"/>
              <w:rPr>
                <w:rFonts w:ascii="Aptos" w:eastAsia="Aptos" w:hAnsi="Aptos" w:cs="Times New Roman"/>
                <w:b/>
                <w:bCs/>
              </w:rPr>
            </w:pPr>
          </w:p>
        </w:tc>
      </w:tr>
      <w:tr w:rsidR="00342C1E" w:rsidRPr="00641C88" w14:paraId="25B7541C"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6DAE151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4A6BD42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60.0 (12.2)</w:t>
            </w:r>
          </w:p>
        </w:tc>
      </w:tr>
      <w:tr w:rsidR="00342C1E" w:rsidRPr="00641C88" w14:paraId="1B93657B"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05226B86"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1483B3BF"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59 (69.4%)</w:t>
            </w:r>
          </w:p>
        </w:tc>
      </w:tr>
      <w:tr w:rsidR="00342C1E" w:rsidRPr="00641C88" w14:paraId="6A9E3458"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00A8D0EA"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67636172"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81 (95.3%)</w:t>
            </w:r>
          </w:p>
        </w:tc>
      </w:tr>
      <w:tr w:rsidR="00342C1E" w:rsidRPr="00641C88" w14:paraId="4FB1000A"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524B08C8"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239CC151"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41 (48.2%)</w:t>
            </w:r>
          </w:p>
        </w:tc>
      </w:tr>
      <w:tr w:rsidR="00342C1E" w:rsidRPr="00641C88" w14:paraId="14DE37F7"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545B61A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Relationship with patient</w:t>
            </w:r>
          </w:p>
        </w:tc>
        <w:tc>
          <w:tcPr>
            <w:tcW w:w="4491" w:type="dxa"/>
            <w:tcBorders>
              <w:top w:val="single" w:sz="4" w:space="0" w:color="000000"/>
              <w:left w:val="single" w:sz="4" w:space="0" w:color="000000"/>
              <w:bottom w:val="single" w:sz="4" w:space="0" w:color="000000"/>
              <w:right w:val="single" w:sz="4" w:space="0" w:color="000000"/>
            </w:tcBorders>
          </w:tcPr>
          <w:p w14:paraId="50BD9A88" w14:textId="77777777" w:rsidR="00342C1E" w:rsidRPr="00641C88" w:rsidRDefault="00342C1E" w:rsidP="00567CF3">
            <w:pPr>
              <w:spacing w:after="0" w:line="276" w:lineRule="auto"/>
              <w:jc w:val="left"/>
              <w:rPr>
                <w:rFonts w:ascii="Aptos" w:eastAsia="Aptos" w:hAnsi="Aptos" w:cs="Times New Roman"/>
              </w:rPr>
            </w:pPr>
          </w:p>
        </w:tc>
      </w:tr>
      <w:tr w:rsidR="00342C1E" w:rsidRPr="00641C88" w14:paraId="686B22D3"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2C15A91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Spouse/partner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03BCB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70 (82.4%)</w:t>
            </w:r>
          </w:p>
        </w:tc>
      </w:tr>
      <w:tr w:rsidR="00342C1E" w:rsidRPr="00641C88" w14:paraId="309AF990"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7123E5E5"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Child</w:t>
            </w:r>
          </w:p>
        </w:tc>
        <w:tc>
          <w:tcPr>
            <w:tcW w:w="4491" w:type="dxa"/>
            <w:tcBorders>
              <w:top w:val="single" w:sz="4" w:space="0" w:color="000000"/>
              <w:left w:val="single" w:sz="4" w:space="0" w:color="000000"/>
              <w:bottom w:val="single" w:sz="4" w:space="0" w:color="000000"/>
              <w:right w:val="single" w:sz="4" w:space="0" w:color="000000"/>
            </w:tcBorders>
            <w:vAlign w:val="center"/>
          </w:tcPr>
          <w:p w14:paraId="09377BF4"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9 (10.6%)</w:t>
            </w:r>
          </w:p>
        </w:tc>
      </w:tr>
      <w:tr w:rsidR="00342C1E" w:rsidRPr="00641C88" w14:paraId="3C805CA0"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4464CC73"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Other family/friend</w:t>
            </w:r>
          </w:p>
        </w:tc>
        <w:tc>
          <w:tcPr>
            <w:tcW w:w="4491" w:type="dxa"/>
            <w:tcBorders>
              <w:top w:val="single" w:sz="4" w:space="0" w:color="000000"/>
              <w:left w:val="single" w:sz="4" w:space="0" w:color="000000"/>
              <w:bottom w:val="single" w:sz="4" w:space="0" w:color="000000"/>
              <w:right w:val="single" w:sz="4" w:space="0" w:color="000000"/>
            </w:tcBorders>
            <w:vAlign w:val="center"/>
          </w:tcPr>
          <w:p w14:paraId="6A042806"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6 (7.1%)</w:t>
            </w:r>
          </w:p>
        </w:tc>
      </w:tr>
      <w:tr w:rsidR="00342C1E" w:rsidRPr="00641C88" w14:paraId="600BB375"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236E35ED"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Years as primary caregiver</w:t>
            </w:r>
          </w:p>
        </w:tc>
        <w:tc>
          <w:tcPr>
            <w:tcW w:w="4491" w:type="dxa"/>
            <w:tcBorders>
              <w:top w:val="single" w:sz="4" w:space="0" w:color="000000"/>
              <w:left w:val="single" w:sz="4" w:space="0" w:color="000000"/>
              <w:bottom w:val="single" w:sz="4" w:space="0" w:color="000000"/>
              <w:right w:val="single" w:sz="4" w:space="0" w:color="000000"/>
            </w:tcBorders>
            <w:vAlign w:val="center"/>
          </w:tcPr>
          <w:p w14:paraId="561789BB"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1.7 (2.6)</w:t>
            </w:r>
          </w:p>
        </w:tc>
      </w:tr>
      <w:tr w:rsidR="00342C1E" w:rsidRPr="00641C88" w14:paraId="6CC18B35"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3BF07841" w14:textId="77777777" w:rsidR="00342C1E" w:rsidRPr="00641C88" w:rsidRDefault="00342C1E" w:rsidP="00567CF3">
            <w:pPr>
              <w:spacing w:after="0" w:line="276" w:lineRule="auto"/>
              <w:jc w:val="left"/>
              <w:rPr>
                <w:rFonts w:ascii="Aptos" w:eastAsia="Aptos" w:hAnsi="Aptos" w:cs="Times New Roman"/>
              </w:rPr>
            </w:pPr>
            <w:r w:rsidRPr="00641C88">
              <w:rPr>
                <w:rFonts w:eastAsia="Arial" w:cs="Arial"/>
                <w:sz w:val="20"/>
              </w:rPr>
              <w:t xml:space="preserve">  Hours per week in caregiving</w:t>
            </w:r>
          </w:p>
        </w:tc>
        <w:tc>
          <w:tcPr>
            <w:tcW w:w="4491" w:type="dxa"/>
            <w:tcBorders>
              <w:top w:val="single" w:sz="4" w:space="0" w:color="000000"/>
              <w:left w:val="single" w:sz="4" w:space="0" w:color="000000"/>
              <w:bottom w:val="single" w:sz="4" w:space="0" w:color="000000"/>
              <w:right w:val="single" w:sz="4" w:space="0" w:color="000000"/>
            </w:tcBorders>
            <w:vAlign w:val="center"/>
          </w:tcPr>
          <w:p w14:paraId="13422CE8" w14:textId="77777777" w:rsidR="00342C1E" w:rsidRPr="00641C88" w:rsidRDefault="00342C1E" w:rsidP="00567CF3">
            <w:pPr>
              <w:spacing w:after="0" w:line="276" w:lineRule="auto"/>
              <w:jc w:val="center"/>
              <w:rPr>
                <w:rFonts w:ascii="Aptos" w:eastAsia="Aptos" w:hAnsi="Aptos" w:cs="Times New Roman"/>
              </w:rPr>
            </w:pPr>
            <w:r w:rsidRPr="00641C88">
              <w:rPr>
                <w:rFonts w:eastAsia="Arial" w:cs="Arial"/>
                <w:sz w:val="20"/>
              </w:rPr>
              <w:t>53.7 (64.3)</w:t>
            </w:r>
          </w:p>
        </w:tc>
      </w:tr>
      <w:tr w:rsidR="00641C88" w:rsidRPr="00641C88" w14:paraId="58908CEC"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7956CDA4" w14:textId="77777777" w:rsidR="00641C88" w:rsidRPr="00641C88" w:rsidRDefault="00641C88" w:rsidP="00641C88">
            <w:pPr>
              <w:spacing w:after="0" w:line="276" w:lineRule="auto"/>
              <w:jc w:val="left"/>
              <w:rPr>
                <w:rFonts w:ascii="Aptos" w:eastAsia="Aptos" w:hAnsi="Aptos" w:cs="Times New Roman"/>
                <w:b/>
                <w:bCs/>
              </w:rPr>
            </w:pPr>
            <w:r w:rsidRPr="00641C88">
              <w:rPr>
                <w:rFonts w:eastAsia="Arial" w:cs="Arial"/>
                <w:b/>
                <w:bCs/>
                <w:sz w:val="20"/>
              </w:rPr>
              <w:t>Patients, N=85</w:t>
            </w:r>
          </w:p>
        </w:tc>
        <w:tc>
          <w:tcPr>
            <w:tcW w:w="4491" w:type="dxa"/>
            <w:tcBorders>
              <w:top w:val="single" w:sz="4" w:space="0" w:color="000000"/>
              <w:left w:val="single" w:sz="4" w:space="0" w:color="000000"/>
              <w:bottom w:val="single" w:sz="4" w:space="0" w:color="000000"/>
              <w:right w:val="single" w:sz="4" w:space="0" w:color="000000"/>
            </w:tcBorders>
          </w:tcPr>
          <w:p w14:paraId="121C08F6" w14:textId="77777777" w:rsidR="00641C88" w:rsidRPr="00641C88" w:rsidRDefault="00641C88" w:rsidP="00641C88">
            <w:pPr>
              <w:spacing w:after="0" w:line="276" w:lineRule="auto"/>
              <w:jc w:val="left"/>
              <w:rPr>
                <w:rFonts w:ascii="Aptos" w:eastAsia="Aptos" w:hAnsi="Aptos" w:cs="Times New Roman"/>
                <w:b/>
                <w:bCs/>
              </w:rPr>
            </w:pPr>
          </w:p>
        </w:tc>
      </w:tr>
      <w:tr w:rsidR="00641C88" w:rsidRPr="00641C88" w14:paraId="1D544E2A"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3C7B257B"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Age in years</w:t>
            </w:r>
          </w:p>
        </w:tc>
        <w:tc>
          <w:tcPr>
            <w:tcW w:w="4491" w:type="dxa"/>
            <w:tcBorders>
              <w:top w:val="single" w:sz="4" w:space="0" w:color="000000"/>
              <w:left w:val="single" w:sz="4" w:space="0" w:color="000000"/>
              <w:bottom w:val="single" w:sz="4" w:space="0" w:color="000000"/>
              <w:right w:val="single" w:sz="4" w:space="0" w:color="000000"/>
            </w:tcBorders>
            <w:vAlign w:val="center"/>
          </w:tcPr>
          <w:p w14:paraId="5B59C12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62.5 (10.9)</w:t>
            </w:r>
          </w:p>
        </w:tc>
      </w:tr>
      <w:tr w:rsidR="00641C88" w:rsidRPr="00641C88" w14:paraId="760F7EBB"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464755EF"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Female sex</w:t>
            </w:r>
          </w:p>
        </w:tc>
        <w:tc>
          <w:tcPr>
            <w:tcW w:w="4491" w:type="dxa"/>
            <w:tcBorders>
              <w:top w:val="single" w:sz="4" w:space="0" w:color="000000"/>
              <w:left w:val="single" w:sz="4" w:space="0" w:color="000000"/>
              <w:bottom w:val="single" w:sz="4" w:space="0" w:color="000000"/>
              <w:right w:val="single" w:sz="4" w:space="0" w:color="000000"/>
            </w:tcBorders>
            <w:vAlign w:val="center"/>
          </w:tcPr>
          <w:p w14:paraId="39B87FE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29CBA58E"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4B7DC684"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Marital status</w:t>
            </w:r>
          </w:p>
        </w:tc>
        <w:tc>
          <w:tcPr>
            <w:tcW w:w="4491" w:type="dxa"/>
            <w:tcBorders>
              <w:top w:val="single" w:sz="4" w:space="0" w:color="000000"/>
              <w:left w:val="single" w:sz="4" w:space="0" w:color="000000"/>
              <w:bottom w:val="single" w:sz="4" w:space="0" w:color="000000"/>
              <w:right w:val="single" w:sz="4" w:space="0" w:color="000000"/>
            </w:tcBorders>
            <w:vAlign w:val="center"/>
          </w:tcPr>
          <w:p w14:paraId="33359616"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76 (89.4%)</w:t>
            </w:r>
          </w:p>
        </w:tc>
      </w:tr>
      <w:tr w:rsidR="00641C88" w:rsidRPr="00641C88" w14:paraId="0F900B6D"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049B11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In paid employment</w:t>
            </w:r>
          </w:p>
        </w:tc>
        <w:tc>
          <w:tcPr>
            <w:tcW w:w="4491" w:type="dxa"/>
            <w:tcBorders>
              <w:top w:val="single" w:sz="4" w:space="0" w:color="000000"/>
              <w:left w:val="single" w:sz="4" w:space="0" w:color="000000"/>
              <w:bottom w:val="single" w:sz="4" w:space="0" w:color="000000"/>
              <w:right w:val="single" w:sz="4" w:space="0" w:color="000000"/>
            </w:tcBorders>
            <w:vAlign w:val="center"/>
          </w:tcPr>
          <w:p w14:paraId="4BEAF399"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25 (29.4%)</w:t>
            </w:r>
          </w:p>
        </w:tc>
      </w:tr>
      <w:tr w:rsidR="00641C88" w:rsidRPr="00641C88" w14:paraId="1E595B9A"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24131C15"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Patient with comorbidity</w:t>
            </w:r>
          </w:p>
        </w:tc>
        <w:tc>
          <w:tcPr>
            <w:tcW w:w="4491" w:type="dxa"/>
            <w:tcBorders>
              <w:top w:val="single" w:sz="4" w:space="0" w:color="000000"/>
              <w:left w:val="single" w:sz="4" w:space="0" w:color="000000"/>
              <w:bottom w:val="single" w:sz="4" w:space="0" w:color="000000"/>
              <w:right w:val="single" w:sz="4" w:space="0" w:color="000000"/>
            </w:tcBorders>
            <w:vAlign w:val="center"/>
          </w:tcPr>
          <w:p w14:paraId="0C29100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36 (42.4%)</w:t>
            </w:r>
          </w:p>
        </w:tc>
      </w:tr>
      <w:tr w:rsidR="00641C88" w:rsidRPr="00641C88" w14:paraId="0F7A2A9E"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651BE21C"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Number of comorbidities</w:t>
            </w:r>
          </w:p>
        </w:tc>
        <w:tc>
          <w:tcPr>
            <w:tcW w:w="4491" w:type="dxa"/>
            <w:tcBorders>
              <w:top w:val="single" w:sz="4" w:space="0" w:color="000000"/>
              <w:left w:val="single" w:sz="4" w:space="0" w:color="000000"/>
              <w:bottom w:val="single" w:sz="4" w:space="0" w:color="000000"/>
              <w:right w:val="single" w:sz="4" w:space="0" w:color="000000"/>
            </w:tcBorders>
            <w:vAlign w:val="center"/>
          </w:tcPr>
          <w:p w14:paraId="79BE2ABA"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0.6 (0.7)</w:t>
            </w:r>
          </w:p>
        </w:tc>
      </w:tr>
      <w:tr w:rsidR="00641C88" w:rsidRPr="00641C88" w14:paraId="1F97F649"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5CC1AB6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Years since diagnosis</w:t>
            </w:r>
          </w:p>
        </w:tc>
        <w:tc>
          <w:tcPr>
            <w:tcW w:w="4491" w:type="dxa"/>
            <w:tcBorders>
              <w:top w:val="single" w:sz="4" w:space="0" w:color="000000"/>
              <w:left w:val="single" w:sz="4" w:space="0" w:color="000000"/>
              <w:bottom w:val="single" w:sz="4" w:space="0" w:color="000000"/>
              <w:right w:val="single" w:sz="4" w:space="0" w:color="000000"/>
            </w:tcBorders>
            <w:vAlign w:val="center"/>
          </w:tcPr>
          <w:p w14:paraId="0CD9EE4F"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1.6 (2.9)</w:t>
            </w:r>
          </w:p>
        </w:tc>
      </w:tr>
      <w:tr w:rsidR="00641C88" w:rsidRPr="00641C88" w14:paraId="420609B7"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23D02118" w14:textId="60C24B65"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King's </w:t>
            </w:r>
            <w:r>
              <w:rPr>
                <w:rFonts w:eastAsia="Arial" w:cs="Arial"/>
                <w:sz w:val="20"/>
              </w:rPr>
              <w:t>s</w:t>
            </w:r>
            <w:r w:rsidRPr="00641C88">
              <w:rPr>
                <w:rFonts w:eastAsia="Arial" w:cs="Arial"/>
                <w:sz w:val="20"/>
              </w:rPr>
              <w:t>tage at baseline</w:t>
            </w:r>
          </w:p>
        </w:tc>
        <w:tc>
          <w:tcPr>
            <w:tcW w:w="4491" w:type="dxa"/>
            <w:tcBorders>
              <w:top w:val="single" w:sz="4" w:space="0" w:color="000000"/>
              <w:left w:val="single" w:sz="4" w:space="0" w:color="000000"/>
              <w:bottom w:val="single" w:sz="4" w:space="0" w:color="000000"/>
              <w:right w:val="single" w:sz="4" w:space="0" w:color="000000"/>
            </w:tcBorders>
          </w:tcPr>
          <w:p w14:paraId="02924FA4" w14:textId="77777777" w:rsidR="00641C88" w:rsidRPr="00641C88" w:rsidRDefault="00641C88" w:rsidP="00641C88">
            <w:pPr>
              <w:spacing w:after="0" w:line="276" w:lineRule="auto"/>
              <w:jc w:val="left"/>
              <w:rPr>
                <w:rFonts w:ascii="Aptos" w:eastAsia="Aptos" w:hAnsi="Aptos" w:cs="Times New Roman"/>
              </w:rPr>
            </w:pPr>
          </w:p>
        </w:tc>
      </w:tr>
      <w:tr w:rsidR="00641C88" w:rsidRPr="00641C88" w14:paraId="41F000A0"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7CAF81BA"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1</w:t>
            </w:r>
          </w:p>
        </w:tc>
        <w:tc>
          <w:tcPr>
            <w:tcW w:w="4491" w:type="dxa"/>
            <w:tcBorders>
              <w:top w:val="single" w:sz="4" w:space="0" w:color="000000"/>
              <w:left w:val="single" w:sz="4" w:space="0" w:color="000000"/>
              <w:bottom w:val="single" w:sz="4" w:space="0" w:color="000000"/>
              <w:right w:val="single" w:sz="4" w:space="0" w:color="000000"/>
            </w:tcBorders>
            <w:vAlign w:val="center"/>
          </w:tcPr>
          <w:p w14:paraId="7410C204"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18 (21.2%)</w:t>
            </w:r>
          </w:p>
        </w:tc>
      </w:tr>
      <w:tr w:rsidR="00641C88" w:rsidRPr="00641C88" w14:paraId="6B3FB444"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2F54C6A1"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2</w:t>
            </w:r>
          </w:p>
        </w:tc>
        <w:tc>
          <w:tcPr>
            <w:tcW w:w="4491" w:type="dxa"/>
            <w:tcBorders>
              <w:top w:val="single" w:sz="4" w:space="0" w:color="000000"/>
              <w:left w:val="single" w:sz="4" w:space="0" w:color="000000"/>
              <w:bottom w:val="single" w:sz="4" w:space="0" w:color="000000"/>
              <w:right w:val="single" w:sz="4" w:space="0" w:color="000000"/>
            </w:tcBorders>
            <w:vAlign w:val="center"/>
          </w:tcPr>
          <w:p w14:paraId="6254D36C"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27 (31.8%)</w:t>
            </w:r>
          </w:p>
        </w:tc>
      </w:tr>
      <w:tr w:rsidR="00641C88" w:rsidRPr="00641C88" w14:paraId="6C550F53"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05F39356"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3</w:t>
            </w:r>
          </w:p>
        </w:tc>
        <w:tc>
          <w:tcPr>
            <w:tcW w:w="4491" w:type="dxa"/>
            <w:tcBorders>
              <w:top w:val="single" w:sz="4" w:space="0" w:color="000000"/>
              <w:left w:val="single" w:sz="4" w:space="0" w:color="000000"/>
              <w:bottom w:val="single" w:sz="4" w:space="0" w:color="000000"/>
              <w:right w:val="single" w:sz="4" w:space="0" w:color="000000"/>
            </w:tcBorders>
            <w:vAlign w:val="center"/>
          </w:tcPr>
          <w:p w14:paraId="6C67FCAB"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35 (41.2%)</w:t>
            </w:r>
          </w:p>
        </w:tc>
      </w:tr>
      <w:tr w:rsidR="00641C88" w:rsidRPr="00641C88" w14:paraId="6E86929E" w14:textId="77777777" w:rsidTr="007357C0">
        <w:trPr>
          <w:trHeight w:val="255"/>
        </w:trPr>
        <w:tc>
          <w:tcPr>
            <w:tcW w:w="4525" w:type="dxa"/>
            <w:tcBorders>
              <w:top w:val="single" w:sz="4" w:space="0" w:color="000000"/>
              <w:left w:val="single" w:sz="4" w:space="0" w:color="000000"/>
              <w:bottom w:val="single" w:sz="4" w:space="0" w:color="000000"/>
              <w:right w:val="single" w:sz="4" w:space="0" w:color="000000"/>
            </w:tcBorders>
            <w:vAlign w:val="center"/>
          </w:tcPr>
          <w:p w14:paraId="1639CFE0" w14:textId="77777777" w:rsidR="00641C88" w:rsidRPr="00641C88" w:rsidRDefault="00641C88" w:rsidP="00641C88">
            <w:pPr>
              <w:spacing w:after="0" w:line="276" w:lineRule="auto"/>
              <w:jc w:val="left"/>
              <w:rPr>
                <w:rFonts w:ascii="Aptos" w:eastAsia="Aptos" w:hAnsi="Aptos" w:cs="Times New Roman"/>
              </w:rPr>
            </w:pPr>
            <w:r w:rsidRPr="00641C88">
              <w:rPr>
                <w:rFonts w:eastAsia="Arial" w:cs="Arial"/>
                <w:sz w:val="20"/>
              </w:rPr>
              <w:t xml:space="preserve">    4</w:t>
            </w:r>
          </w:p>
        </w:tc>
        <w:tc>
          <w:tcPr>
            <w:tcW w:w="4491" w:type="dxa"/>
            <w:tcBorders>
              <w:top w:val="single" w:sz="4" w:space="0" w:color="000000"/>
              <w:left w:val="single" w:sz="4" w:space="0" w:color="000000"/>
              <w:bottom w:val="single" w:sz="4" w:space="0" w:color="000000"/>
              <w:right w:val="single" w:sz="4" w:space="0" w:color="000000"/>
            </w:tcBorders>
            <w:vAlign w:val="center"/>
          </w:tcPr>
          <w:p w14:paraId="42E88D6E" w14:textId="77777777" w:rsidR="00641C88" w:rsidRPr="00641C88" w:rsidRDefault="00641C88" w:rsidP="00641C88">
            <w:pPr>
              <w:spacing w:after="0" w:line="276" w:lineRule="auto"/>
              <w:jc w:val="center"/>
              <w:rPr>
                <w:rFonts w:ascii="Aptos" w:eastAsia="Aptos" w:hAnsi="Aptos" w:cs="Times New Roman"/>
              </w:rPr>
            </w:pPr>
            <w:r w:rsidRPr="00641C88">
              <w:rPr>
                <w:rFonts w:eastAsia="Arial" w:cs="Arial"/>
                <w:sz w:val="20"/>
              </w:rPr>
              <w:t>5 (5.9%)</w:t>
            </w:r>
          </w:p>
        </w:tc>
      </w:tr>
    </w:tbl>
    <w:p w14:paraId="3E141D1D" w14:textId="77777777" w:rsidR="00737318" w:rsidRDefault="00737318" w:rsidP="00880CFB">
      <w:pPr>
        <w:pStyle w:val="BodyText"/>
      </w:pPr>
      <w:r>
        <w:t>Data are based on participants with non-missing baseline caregiver burden and quality of life data.</w:t>
      </w:r>
    </w:p>
    <w:p w14:paraId="4177FDD2" w14:textId="24ADB83B" w:rsidR="00562CC6" w:rsidRDefault="00737318" w:rsidP="00880CFB">
      <w:pPr>
        <w:pStyle w:val="BodyText"/>
      </w:pPr>
      <w:r>
        <w:t>n, number; SD, standard deviation.</w:t>
      </w:r>
    </w:p>
    <w:p w14:paraId="6511E803" w14:textId="77777777" w:rsidR="009A636F" w:rsidRDefault="009A636F" w:rsidP="009A636F">
      <w:pPr>
        <w:pStyle w:val="NoSpacing"/>
      </w:pPr>
      <w:r w:rsidRPr="004A4BF6">
        <w:rPr>
          <w:noProof/>
        </w:rPr>
        <w:lastRenderedPageBreak/>
        <w:drawing>
          <wp:inline distT="0" distB="0" distL="0" distR="0" wp14:anchorId="13CC7E53" wp14:editId="688E1FFB">
            <wp:extent cx="5086350" cy="3815044"/>
            <wp:effectExtent l="12700" t="12700" r="6350" b="8255"/>
            <wp:docPr id="1110200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200941" name=""/>
                    <pic:cNvPicPr/>
                  </pic:nvPicPr>
                  <pic:blipFill>
                    <a:blip r:embed="rId8"/>
                    <a:stretch>
                      <a:fillRect/>
                    </a:stretch>
                  </pic:blipFill>
                  <pic:spPr>
                    <a:xfrm>
                      <a:off x="0" y="0"/>
                      <a:ext cx="5105956" cy="3829749"/>
                    </a:xfrm>
                    <a:prstGeom prst="rect">
                      <a:avLst/>
                    </a:prstGeom>
                    <a:ln>
                      <a:solidFill>
                        <a:schemeClr val="bg1">
                          <a:lumMod val="85000"/>
                        </a:schemeClr>
                      </a:solidFill>
                    </a:ln>
                  </pic:spPr>
                </pic:pic>
              </a:graphicData>
            </a:graphic>
          </wp:inline>
        </w:drawing>
      </w:r>
    </w:p>
    <w:p w14:paraId="7AFE95F9" w14:textId="77777777" w:rsidR="009A636F" w:rsidRPr="00F45F86" w:rsidRDefault="009A636F" w:rsidP="009A636F">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4D6FD8">
        <w:t>EQ-5D-5L utility scores, domain scores and scores by King’s stage</w:t>
      </w:r>
    </w:p>
    <w:p w14:paraId="0F74304A" w14:textId="77777777" w:rsidR="006E4504" w:rsidRDefault="006E4504" w:rsidP="006E4504">
      <w:pPr>
        <w:spacing w:before="240" w:after="240"/>
      </w:pPr>
    </w:p>
    <w:p w14:paraId="6E3751B2" w14:textId="7E0C4434" w:rsidR="00415D49" w:rsidRDefault="00415D49" w:rsidP="00415D49">
      <w:pPr>
        <w:pStyle w:val="Caption"/>
      </w:pPr>
      <w:r>
        <w:t xml:space="preserve">Table </w:t>
      </w:r>
      <w:r>
        <w:fldChar w:fldCharType="begin"/>
      </w:r>
      <w:r>
        <w:instrText xml:space="preserve"> SEQ Table \* ARABIC </w:instrText>
      </w:r>
      <w:r>
        <w:fldChar w:fldCharType="separate"/>
      </w:r>
      <w:r>
        <w:rPr>
          <w:noProof/>
        </w:rPr>
        <w:t>2</w:t>
      </w:r>
      <w:r>
        <w:fldChar w:fldCharType="end"/>
      </w:r>
      <w:r>
        <w:t xml:space="preserve">. Pooled carer ZBI, </w:t>
      </w:r>
      <w:r w:rsidRPr="00655104">
        <w:t>EQ-VAS</w:t>
      </w:r>
      <w:r>
        <w:t>,</w:t>
      </w:r>
      <w:r w:rsidRPr="00655104">
        <w:t xml:space="preserve"> </w:t>
      </w:r>
      <w:r>
        <w:t xml:space="preserve">and </w:t>
      </w:r>
      <w:r w:rsidRPr="00415D49">
        <w:t>EQ-5D</w:t>
      </w:r>
      <w:r>
        <w:t xml:space="preserve"> utility and </w:t>
      </w:r>
      <w:r w:rsidRPr="00415D49">
        <w:t>domain scores by King’s stage</w:t>
      </w:r>
      <w:r w:rsidRPr="00415D49">
        <w:rPr>
          <w:vertAlign w:val="superscript"/>
        </w:rPr>
        <w:t>1</w:t>
      </w:r>
    </w:p>
    <w:tbl>
      <w:tblPr>
        <w:tblStyle w:val="TableGrid1"/>
        <w:tblW w:w="8644" w:type="dxa"/>
        <w:tblLayout w:type="fixed"/>
        <w:tblLook w:val="0600" w:firstRow="0" w:lastRow="0" w:firstColumn="0" w:lastColumn="0" w:noHBand="1" w:noVBand="1"/>
      </w:tblPr>
      <w:tblGrid>
        <w:gridCol w:w="1984"/>
        <w:gridCol w:w="1332"/>
        <w:gridCol w:w="1332"/>
        <w:gridCol w:w="1332"/>
        <w:gridCol w:w="1332"/>
        <w:gridCol w:w="1332"/>
      </w:tblGrid>
      <w:tr w:rsidR="00415D49" w:rsidRPr="004D7C43" w14:paraId="593BAADD" w14:textId="5250741D" w:rsidTr="006E4504">
        <w:trPr>
          <w:trHeight w:val="300"/>
        </w:trPr>
        <w:tc>
          <w:tcPr>
            <w:tcW w:w="1984" w:type="dxa"/>
            <w:vAlign w:val="center"/>
          </w:tcPr>
          <w:p w14:paraId="0FD67D50" w14:textId="77777777" w:rsidR="00415D49" w:rsidRPr="004D7C43" w:rsidRDefault="00415D49" w:rsidP="006E4504">
            <w:pPr>
              <w:spacing w:after="0" w:line="276" w:lineRule="auto"/>
              <w:contextualSpacing/>
              <w:jc w:val="left"/>
              <w:rPr>
                <w:sz w:val="20"/>
                <w:szCs w:val="20"/>
              </w:rPr>
            </w:pPr>
          </w:p>
        </w:tc>
        <w:tc>
          <w:tcPr>
            <w:tcW w:w="1332" w:type="dxa"/>
            <w:vAlign w:val="center"/>
          </w:tcPr>
          <w:p w14:paraId="16416E4C" w14:textId="77777777" w:rsidR="00415D49" w:rsidRDefault="00415D49" w:rsidP="006E4504">
            <w:pPr>
              <w:spacing w:after="0" w:line="276" w:lineRule="auto"/>
              <w:jc w:val="center"/>
              <w:rPr>
                <w:sz w:val="20"/>
                <w:szCs w:val="20"/>
              </w:rPr>
            </w:pPr>
            <w:r>
              <w:rPr>
                <w:sz w:val="20"/>
                <w:szCs w:val="20"/>
              </w:rPr>
              <w:t>Stage 1</w:t>
            </w:r>
          </w:p>
          <w:p w14:paraId="32922467" w14:textId="0B4F25C1" w:rsidR="006E4504" w:rsidRPr="004D7C43" w:rsidRDefault="006E4504" w:rsidP="006E4504">
            <w:pPr>
              <w:spacing w:after="0" w:line="276" w:lineRule="auto"/>
              <w:jc w:val="center"/>
              <w:rPr>
                <w:sz w:val="20"/>
                <w:szCs w:val="20"/>
              </w:rPr>
            </w:pPr>
            <w:r>
              <w:rPr>
                <w:sz w:val="20"/>
                <w:szCs w:val="20"/>
              </w:rPr>
              <w:t>N=36</w:t>
            </w:r>
          </w:p>
        </w:tc>
        <w:tc>
          <w:tcPr>
            <w:tcW w:w="1332" w:type="dxa"/>
            <w:vAlign w:val="center"/>
          </w:tcPr>
          <w:p w14:paraId="0F82775A" w14:textId="77777777" w:rsidR="00415D49" w:rsidRDefault="00415D49" w:rsidP="006E4504">
            <w:pPr>
              <w:spacing w:after="0" w:line="276" w:lineRule="auto"/>
              <w:jc w:val="center"/>
              <w:rPr>
                <w:sz w:val="20"/>
                <w:szCs w:val="20"/>
              </w:rPr>
            </w:pPr>
            <w:r>
              <w:rPr>
                <w:sz w:val="20"/>
                <w:szCs w:val="20"/>
              </w:rPr>
              <w:t>Stage 2</w:t>
            </w:r>
          </w:p>
          <w:p w14:paraId="2B8B620E" w14:textId="00807111" w:rsidR="006E4504" w:rsidRPr="004D7C43" w:rsidRDefault="006E4504" w:rsidP="006E4504">
            <w:pPr>
              <w:spacing w:after="0" w:line="276" w:lineRule="auto"/>
              <w:jc w:val="center"/>
              <w:rPr>
                <w:sz w:val="20"/>
                <w:szCs w:val="20"/>
              </w:rPr>
            </w:pPr>
            <w:r>
              <w:rPr>
                <w:sz w:val="20"/>
                <w:szCs w:val="20"/>
              </w:rPr>
              <w:t>N=59</w:t>
            </w:r>
          </w:p>
        </w:tc>
        <w:tc>
          <w:tcPr>
            <w:tcW w:w="1332" w:type="dxa"/>
            <w:vAlign w:val="center"/>
          </w:tcPr>
          <w:p w14:paraId="3BA2A515" w14:textId="77777777" w:rsidR="00415D49" w:rsidRDefault="00415D49" w:rsidP="006E4504">
            <w:pPr>
              <w:spacing w:after="0" w:line="276" w:lineRule="auto"/>
              <w:jc w:val="center"/>
              <w:rPr>
                <w:sz w:val="20"/>
                <w:szCs w:val="20"/>
              </w:rPr>
            </w:pPr>
            <w:r>
              <w:rPr>
                <w:sz w:val="20"/>
                <w:szCs w:val="20"/>
              </w:rPr>
              <w:t>Stage 3</w:t>
            </w:r>
          </w:p>
          <w:p w14:paraId="1D3D7660" w14:textId="3CD45598" w:rsidR="006E4504" w:rsidRPr="004D7C43" w:rsidRDefault="006E4504" w:rsidP="006E4504">
            <w:pPr>
              <w:spacing w:after="0" w:line="276" w:lineRule="auto"/>
              <w:jc w:val="center"/>
              <w:rPr>
                <w:sz w:val="20"/>
                <w:szCs w:val="20"/>
              </w:rPr>
            </w:pPr>
            <w:r>
              <w:rPr>
                <w:sz w:val="20"/>
                <w:szCs w:val="20"/>
              </w:rPr>
              <w:t>N=92</w:t>
            </w:r>
          </w:p>
        </w:tc>
        <w:tc>
          <w:tcPr>
            <w:tcW w:w="1332" w:type="dxa"/>
            <w:vAlign w:val="center"/>
          </w:tcPr>
          <w:p w14:paraId="30CBB1B8" w14:textId="77777777" w:rsidR="00415D49" w:rsidRDefault="00415D49" w:rsidP="006E4504">
            <w:pPr>
              <w:spacing w:after="0" w:line="276" w:lineRule="auto"/>
              <w:jc w:val="center"/>
              <w:rPr>
                <w:sz w:val="20"/>
                <w:szCs w:val="20"/>
              </w:rPr>
            </w:pPr>
            <w:r>
              <w:rPr>
                <w:sz w:val="20"/>
                <w:szCs w:val="20"/>
              </w:rPr>
              <w:t>Stage 4</w:t>
            </w:r>
          </w:p>
          <w:p w14:paraId="59F2F8B2" w14:textId="213E0CAA" w:rsidR="006E4504" w:rsidRPr="004D7C43" w:rsidRDefault="006E4504" w:rsidP="006E4504">
            <w:pPr>
              <w:spacing w:after="0" w:line="276" w:lineRule="auto"/>
              <w:jc w:val="center"/>
              <w:rPr>
                <w:sz w:val="20"/>
                <w:szCs w:val="20"/>
              </w:rPr>
            </w:pPr>
            <w:r>
              <w:rPr>
                <w:sz w:val="20"/>
                <w:szCs w:val="20"/>
              </w:rPr>
              <w:t>N=35</w:t>
            </w:r>
          </w:p>
        </w:tc>
        <w:tc>
          <w:tcPr>
            <w:tcW w:w="1332" w:type="dxa"/>
            <w:vAlign w:val="center"/>
          </w:tcPr>
          <w:p w14:paraId="73835985" w14:textId="4953D532" w:rsidR="00415D49" w:rsidRDefault="00415D49" w:rsidP="006E4504">
            <w:pPr>
              <w:spacing w:after="0" w:line="276" w:lineRule="auto"/>
              <w:jc w:val="center"/>
              <w:rPr>
                <w:sz w:val="20"/>
                <w:szCs w:val="20"/>
              </w:rPr>
            </w:pPr>
            <w:r>
              <w:rPr>
                <w:sz w:val="20"/>
                <w:szCs w:val="20"/>
              </w:rPr>
              <w:t>p-value</w:t>
            </w:r>
            <w:r w:rsidRPr="006E4504">
              <w:rPr>
                <w:sz w:val="20"/>
                <w:szCs w:val="20"/>
                <w:vertAlign w:val="superscript"/>
              </w:rPr>
              <w:t>2</w:t>
            </w:r>
          </w:p>
        </w:tc>
      </w:tr>
      <w:tr w:rsidR="006E4504" w:rsidRPr="004D7C43" w14:paraId="4CD32C54" w14:textId="110E2D1E" w:rsidTr="006E4504">
        <w:trPr>
          <w:trHeight w:val="300"/>
        </w:trPr>
        <w:tc>
          <w:tcPr>
            <w:tcW w:w="1984" w:type="dxa"/>
            <w:vAlign w:val="center"/>
          </w:tcPr>
          <w:p w14:paraId="6116D732" w14:textId="7ABCED35" w:rsidR="006E4504" w:rsidRPr="004D7C43" w:rsidRDefault="006E4504" w:rsidP="006E4504">
            <w:pPr>
              <w:spacing w:after="0" w:line="276" w:lineRule="auto"/>
              <w:contextualSpacing/>
              <w:jc w:val="left"/>
              <w:rPr>
                <w:sz w:val="20"/>
                <w:szCs w:val="20"/>
              </w:rPr>
            </w:pPr>
            <w:r>
              <w:rPr>
                <w:sz w:val="20"/>
                <w:szCs w:val="20"/>
              </w:rPr>
              <w:t>ZBI</w:t>
            </w:r>
            <w:r w:rsidRPr="00BD3469">
              <w:rPr>
                <w:sz w:val="20"/>
                <w:szCs w:val="20"/>
                <w:vertAlign w:val="superscript"/>
              </w:rPr>
              <w:t>3</w:t>
            </w:r>
          </w:p>
        </w:tc>
        <w:tc>
          <w:tcPr>
            <w:tcW w:w="1332" w:type="dxa"/>
            <w:vAlign w:val="center"/>
          </w:tcPr>
          <w:p w14:paraId="444A7D1E" w14:textId="04E688A6" w:rsidR="006E4504" w:rsidRPr="004D7C43" w:rsidRDefault="006E4504" w:rsidP="006E4504">
            <w:pPr>
              <w:spacing w:after="0" w:line="276" w:lineRule="auto"/>
              <w:jc w:val="center"/>
              <w:rPr>
                <w:sz w:val="20"/>
                <w:szCs w:val="20"/>
              </w:rPr>
            </w:pPr>
            <w:r>
              <w:rPr>
                <w:rFonts w:ascii="Aptos Narrow" w:hAnsi="Aptos Narrow"/>
                <w:color w:val="000000"/>
              </w:rPr>
              <w:t>18.11</w:t>
            </w:r>
          </w:p>
        </w:tc>
        <w:tc>
          <w:tcPr>
            <w:tcW w:w="1332" w:type="dxa"/>
            <w:vAlign w:val="center"/>
          </w:tcPr>
          <w:p w14:paraId="78AECD93" w14:textId="0D908A67" w:rsidR="006E4504" w:rsidRPr="004D7C43" w:rsidRDefault="006E4504" w:rsidP="006E4504">
            <w:pPr>
              <w:spacing w:after="0" w:line="276" w:lineRule="auto"/>
              <w:jc w:val="center"/>
              <w:rPr>
                <w:sz w:val="20"/>
                <w:szCs w:val="20"/>
              </w:rPr>
            </w:pPr>
            <w:r>
              <w:rPr>
                <w:rFonts w:ascii="Aptos Narrow" w:hAnsi="Aptos Narrow"/>
                <w:color w:val="000000"/>
              </w:rPr>
              <w:t>25.68</w:t>
            </w:r>
          </w:p>
        </w:tc>
        <w:tc>
          <w:tcPr>
            <w:tcW w:w="1332" w:type="dxa"/>
            <w:vAlign w:val="center"/>
          </w:tcPr>
          <w:p w14:paraId="65116CE6" w14:textId="5829A437" w:rsidR="006E4504" w:rsidRPr="004D7C43" w:rsidRDefault="006E4504" w:rsidP="006E4504">
            <w:pPr>
              <w:spacing w:after="0" w:line="276" w:lineRule="auto"/>
              <w:jc w:val="center"/>
              <w:rPr>
                <w:sz w:val="20"/>
                <w:szCs w:val="20"/>
              </w:rPr>
            </w:pPr>
            <w:r>
              <w:rPr>
                <w:rFonts w:ascii="Aptos Narrow" w:hAnsi="Aptos Narrow"/>
                <w:color w:val="000000"/>
              </w:rPr>
              <w:t>23.04</w:t>
            </w:r>
          </w:p>
        </w:tc>
        <w:tc>
          <w:tcPr>
            <w:tcW w:w="1332" w:type="dxa"/>
            <w:vAlign w:val="center"/>
          </w:tcPr>
          <w:p w14:paraId="688B8DFE" w14:textId="6DE56D95" w:rsidR="006E4504" w:rsidRPr="004D7C43" w:rsidRDefault="006E4504" w:rsidP="006E4504">
            <w:pPr>
              <w:spacing w:after="0" w:line="276" w:lineRule="auto"/>
              <w:jc w:val="center"/>
              <w:rPr>
                <w:sz w:val="20"/>
                <w:szCs w:val="20"/>
              </w:rPr>
            </w:pPr>
            <w:r>
              <w:rPr>
                <w:rFonts w:ascii="Aptos Narrow" w:hAnsi="Aptos Narrow"/>
                <w:color w:val="000000"/>
              </w:rPr>
              <w:t>27.95</w:t>
            </w:r>
          </w:p>
        </w:tc>
        <w:tc>
          <w:tcPr>
            <w:tcW w:w="1332" w:type="dxa"/>
            <w:vAlign w:val="center"/>
          </w:tcPr>
          <w:p w14:paraId="67E59DA8" w14:textId="01AEB7CC" w:rsidR="006E4504" w:rsidRPr="006E4504" w:rsidRDefault="006E4504" w:rsidP="006E4504">
            <w:pPr>
              <w:spacing w:after="0" w:line="276" w:lineRule="auto"/>
              <w:jc w:val="center"/>
              <w:rPr>
                <w:sz w:val="20"/>
                <w:szCs w:val="20"/>
              </w:rPr>
            </w:pPr>
            <w:r w:rsidRPr="006E4504">
              <w:rPr>
                <w:sz w:val="20"/>
                <w:szCs w:val="20"/>
              </w:rPr>
              <w:t>0.01</w:t>
            </w:r>
            <w:r>
              <w:rPr>
                <w:sz w:val="20"/>
                <w:szCs w:val="20"/>
              </w:rPr>
              <w:t>3</w:t>
            </w:r>
          </w:p>
        </w:tc>
      </w:tr>
      <w:tr w:rsidR="006E4504" w:rsidRPr="004D7C43" w14:paraId="6BED0471" w14:textId="37686607" w:rsidTr="006E4504">
        <w:trPr>
          <w:trHeight w:val="300"/>
        </w:trPr>
        <w:tc>
          <w:tcPr>
            <w:tcW w:w="1984" w:type="dxa"/>
            <w:vAlign w:val="center"/>
          </w:tcPr>
          <w:p w14:paraId="13201754" w14:textId="3A3397A6" w:rsidR="006E4504" w:rsidRPr="004D7C43" w:rsidRDefault="006E4504" w:rsidP="006E4504">
            <w:pPr>
              <w:spacing w:after="0" w:line="276" w:lineRule="auto"/>
              <w:contextualSpacing/>
              <w:jc w:val="left"/>
              <w:rPr>
                <w:sz w:val="20"/>
                <w:szCs w:val="20"/>
              </w:rPr>
            </w:pPr>
            <w:r w:rsidRPr="004D7C43">
              <w:rPr>
                <w:sz w:val="20"/>
                <w:szCs w:val="20"/>
              </w:rPr>
              <w:t>EQ-</w:t>
            </w:r>
            <w:r>
              <w:rPr>
                <w:sz w:val="20"/>
                <w:szCs w:val="20"/>
              </w:rPr>
              <w:t>5D</w:t>
            </w:r>
            <w:r w:rsidRPr="00BD3469">
              <w:rPr>
                <w:sz w:val="20"/>
                <w:szCs w:val="20"/>
                <w:vertAlign w:val="superscript"/>
              </w:rPr>
              <w:t>5</w:t>
            </w:r>
          </w:p>
        </w:tc>
        <w:tc>
          <w:tcPr>
            <w:tcW w:w="1332" w:type="dxa"/>
            <w:vAlign w:val="center"/>
          </w:tcPr>
          <w:p w14:paraId="512BBACB" w14:textId="0EF3B831" w:rsidR="006E4504" w:rsidRPr="004D7C43" w:rsidRDefault="006E4504" w:rsidP="006E4504">
            <w:pPr>
              <w:spacing w:after="0" w:line="276" w:lineRule="auto"/>
              <w:jc w:val="center"/>
              <w:rPr>
                <w:sz w:val="20"/>
                <w:szCs w:val="20"/>
              </w:rPr>
            </w:pPr>
            <w:r>
              <w:rPr>
                <w:rFonts w:ascii="Aptos Narrow" w:hAnsi="Aptos Narrow"/>
                <w:color w:val="000000"/>
              </w:rPr>
              <w:t>0.89</w:t>
            </w:r>
          </w:p>
        </w:tc>
        <w:tc>
          <w:tcPr>
            <w:tcW w:w="1332" w:type="dxa"/>
            <w:vAlign w:val="center"/>
          </w:tcPr>
          <w:p w14:paraId="15A9F050" w14:textId="5F5A4AC8" w:rsidR="006E4504" w:rsidRPr="004D7C43" w:rsidRDefault="006E4504" w:rsidP="006E4504">
            <w:pPr>
              <w:spacing w:after="0" w:line="276" w:lineRule="auto"/>
              <w:jc w:val="center"/>
              <w:rPr>
                <w:sz w:val="20"/>
                <w:szCs w:val="20"/>
              </w:rPr>
            </w:pPr>
            <w:r>
              <w:rPr>
                <w:rFonts w:ascii="Aptos Narrow" w:hAnsi="Aptos Narrow"/>
                <w:color w:val="000000"/>
              </w:rPr>
              <w:t>0.85</w:t>
            </w:r>
          </w:p>
        </w:tc>
        <w:tc>
          <w:tcPr>
            <w:tcW w:w="1332" w:type="dxa"/>
            <w:vAlign w:val="center"/>
          </w:tcPr>
          <w:p w14:paraId="3374FC7D" w14:textId="601EBB2B" w:rsidR="006E4504" w:rsidRPr="004D7C43" w:rsidRDefault="006E4504" w:rsidP="006E4504">
            <w:pPr>
              <w:spacing w:after="0" w:line="276" w:lineRule="auto"/>
              <w:jc w:val="center"/>
              <w:rPr>
                <w:sz w:val="20"/>
                <w:szCs w:val="20"/>
              </w:rPr>
            </w:pPr>
            <w:r>
              <w:rPr>
                <w:rFonts w:ascii="Aptos Narrow" w:hAnsi="Aptos Narrow"/>
                <w:color w:val="000000"/>
              </w:rPr>
              <w:t>0.81</w:t>
            </w:r>
          </w:p>
        </w:tc>
        <w:tc>
          <w:tcPr>
            <w:tcW w:w="1332" w:type="dxa"/>
            <w:vAlign w:val="center"/>
          </w:tcPr>
          <w:p w14:paraId="2A070F91" w14:textId="18F2E786" w:rsidR="006E4504" w:rsidRPr="004D7C43" w:rsidRDefault="006E4504" w:rsidP="006E4504">
            <w:pPr>
              <w:spacing w:after="0" w:line="276" w:lineRule="auto"/>
              <w:jc w:val="center"/>
              <w:rPr>
                <w:sz w:val="20"/>
                <w:szCs w:val="20"/>
              </w:rPr>
            </w:pPr>
            <w:r>
              <w:rPr>
                <w:rFonts w:ascii="Aptos Narrow" w:hAnsi="Aptos Narrow"/>
                <w:color w:val="000000"/>
              </w:rPr>
              <w:t>0.77</w:t>
            </w:r>
          </w:p>
        </w:tc>
        <w:tc>
          <w:tcPr>
            <w:tcW w:w="1332" w:type="dxa"/>
            <w:vAlign w:val="center"/>
          </w:tcPr>
          <w:p w14:paraId="3B1EDDFB" w14:textId="3F08C4AA" w:rsidR="006E4504" w:rsidRPr="006E4504" w:rsidRDefault="006E4504" w:rsidP="006E4504">
            <w:pPr>
              <w:spacing w:after="0" w:line="276" w:lineRule="auto"/>
              <w:jc w:val="center"/>
              <w:rPr>
                <w:sz w:val="20"/>
                <w:szCs w:val="20"/>
              </w:rPr>
            </w:pPr>
            <w:r w:rsidRPr="006E4504">
              <w:rPr>
                <w:sz w:val="20"/>
                <w:szCs w:val="20"/>
              </w:rPr>
              <w:t>0.00</w:t>
            </w:r>
            <w:r>
              <w:rPr>
                <w:sz w:val="20"/>
                <w:szCs w:val="20"/>
              </w:rPr>
              <w:t>1</w:t>
            </w:r>
          </w:p>
        </w:tc>
      </w:tr>
      <w:tr w:rsidR="006E4504" w:rsidRPr="004D7C43" w14:paraId="4536C95C" w14:textId="77777777" w:rsidTr="0053602A">
        <w:trPr>
          <w:trHeight w:val="300"/>
        </w:trPr>
        <w:tc>
          <w:tcPr>
            <w:tcW w:w="1984" w:type="dxa"/>
            <w:vAlign w:val="center"/>
          </w:tcPr>
          <w:p w14:paraId="04B7A615" w14:textId="77777777" w:rsidR="006E4504" w:rsidRPr="004D7C43" w:rsidRDefault="006E4504" w:rsidP="0053602A">
            <w:pPr>
              <w:spacing w:after="0" w:line="276" w:lineRule="auto"/>
              <w:contextualSpacing/>
              <w:jc w:val="left"/>
              <w:rPr>
                <w:sz w:val="20"/>
                <w:szCs w:val="20"/>
              </w:rPr>
            </w:pPr>
            <w:r w:rsidRPr="004D7C43">
              <w:rPr>
                <w:sz w:val="20"/>
                <w:szCs w:val="20"/>
              </w:rPr>
              <w:t>EQ-</w:t>
            </w:r>
            <w:r>
              <w:rPr>
                <w:sz w:val="20"/>
                <w:szCs w:val="20"/>
              </w:rPr>
              <w:t>VAS</w:t>
            </w:r>
            <w:r w:rsidRPr="00BD3469">
              <w:rPr>
                <w:sz w:val="20"/>
                <w:szCs w:val="20"/>
                <w:vertAlign w:val="superscript"/>
              </w:rPr>
              <w:t>4</w:t>
            </w:r>
          </w:p>
        </w:tc>
        <w:tc>
          <w:tcPr>
            <w:tcW w:w="1332" w:type="dxa"/>
            <w:vAlign w:val="center"/>
          </w:tcPr>
          <w:p w14:paraId="146B338C" w14:textId="77777777" w:rsidR="006E4504" w:rsidRPr="004D7C43" w:rsidRDefault="006E4504" w:rsidP="0053602A">
            <w:pPr>
              <w:spacing w:after="0" w:line="276" w:lineRule="auto"/>
              <w:jc w:val="center"/>
              <w:rPr>
                <w:sz w:val="20"/>
                <w:szCs w:val="20"/>
              </w:rPr>
            </w:pPr>
            <w:r>
              <w:rPr>
                <w:rFonts w:ascii="Aptos Narrow" w:hAnsi="Aptos Narrow"/>
                <w:color w:val="000000"/>
              </w:rPr>
              <w:t>80.94</w:t>
            </w:r>
          </w:p>
        </w:tc>
        <w:tc>
          <w:tcPr>
            <w:tcW w:w="1332" w:type="dxa"/>
            <w:vAlign w:val="center"/>
          </w:tcPr>
          <w:p w14:paraId="6FA53302" w14:textId="77777777" w:rsidR="006E4504" w:rsidRPr="004D7C43" w:rsidRDefault="006E4504" w:rsidP="0053602A">
            <w:pPr>
              <w:spacing w:after="0" w:line="276" w:lineRule="auto"/>
              <w:jc w:val="center"/>
              <w:rPr>
                <w:sz w:val="20"/>
                <w:szCs w:val="20"/>
              </w:rPr>
            </w:pPr>
            <w:r>
              <w:rPr>
                <w:rFonts w:ascii="Aptos Narrow" w:hAnsi="Aptos Narrow"/>
                <w:color w:val="000000"/>
              </w:rPr>
              <w:t>80.39</w:t>
            </w:r>
          </w:p>
        </w:tc>
        <w:tc>
          <w:tcPr>
            <w:tcW w:w="1332" w:type="dxa"/>
            <w:vAlign w:val="center"/>
          </w:tcPr>
          <w:p w14:paraId="2FA2D9ED" w14:textId="4935EDFD" w:rsidR="006E4504" w:rsidRPr="004D7C43" w:rsidRDefault="006E4504" w:rsidP="0053602A">
            <w:pPr>
              <w:spacing w:after="0" w:line="276" w:lineRule="auto"/>
              <w:jc w:val="center"/>
              <w:rPr>
                <w:sz w:val="20"/>
                <w:szCs w:val="20"/>
              </w:rPr>
            </w:pPr>
            <w:r>
              <w:rPr>
                <w:rFonts w:ascii="Aptos Narrow" w:hAnsi="Aptos Narrow"/>
                <w:color w:val="000000"/>
              </w:rPr>
              <w:t>80.</w:t>
            </w:r>
            <w:r>
              <w:rPr>
                <w:rFonts w:ascii="Aptos Narrow" w:hAnsi="Aptos Narrow"/>
                <w:color w:val="000000"/>
              </w:rPr>
              <w:t>44</w:t>
            </w:r>
          </w:p>
        </w:tc>
        <w:tc>
          <w:tcPr>
            <w:tcW w:w="1332" w:type="dxa"/>
            <w:vAlign w:val="center"/>
          </w:tcPr>
          <w:p w14:paraId="158F18DD" w14:textId="77777777" w:rsidR="006E4504" w:rsidRPr="004D7C43" w:rsidRDefault="006E4504" w:rsidP="0053602A">
            <w:pPr>
              <w:spacing w:after="0" w:line="276" w:lineRule="auto"/>
              <w:jc w:val="center"/>
              <w:rPr>
                <w:sz w:val="20"/>
                <w:szCs w:val="20"/>
              </w:rPr>
            </w:pPr>
            <w:r>
              <w:rPr>
                <w:rFonts w:ascii="Aptos Narrow" w:hAnsi="Aptos Narrow"/>
                <w:color w:val="000000"/>
              </w:rPr>
              <w:t>79.79</w:t>
            </w:r>
          </w:p>
        </w:tc>
        <w:tc>
          <w:tcPr>
            <w:tcW w:w="1332" w:type="dxa"/>
            <w:vAlign w:val="center"/>
          </w:tcPr>
          <w:p w14:paraId="2DB99FDE" w14:textId="5D05D296" w:rsidR="006E4504" w:rsidRPr="006E4504" w:rsidRDefault="006E4504" w:rsidP="0053602A">
            <w:pPr>
              <w:spacing w:after="0" w:line="276" w:lineRule="auto"/>
              <w:jc w:val="center"/>
              <w:rPr>
                <w:sz w:val="20"/>
                <w:szCs w:val="20"/>
              </w:rPr>
            </w:pPr>
            <w:r w:rsidRPr="006E4504">
              <w:rPr>
                <w:sz w:val="20"/>
                <w:szCs w:val="20"/>
              </w:rPr>
              <w:t>0.99</w:t>
            </w:r>
            <w:r>
              <w:rPr>
                <w:sz w:val="20"/>
                <w:szCs w:val="20"/>
              </w:rPr>
              <w:t>9</w:t>
            </w:r>
          </w:p>
        </w:tc>
      </w:tr>
      <w:tr w:rsidR="006E4504" w:rsidRPr="004D7C43" w14:paraId="445A8637" w14:textId="77777777" w:rsidTr="006E4504">
        <w:trPr>
          <w:trHeight w:val="300"/>
        </w:trPr>
        <w:tc>
          <w:tcPr>
            <w:tcW w:w="1984" w:type="dxa"/>
            <w:vAlign w:val="center"/>
          </w:tcPr>
          <w:p w14:paraId="21F4F392" w14:textId="77777777" w:rsidR="006E4504" w:rsidRDefault="006E4504" w:rsidP="006E4504">
            <w:pPr>
              <w:spacing w:after="0" w:line="276" w:lineRule="auto"/>
              <w:contextualSpacing/>
              <w:jc w:val="left"/>
              <w:rPr>
                <w:i/>
                <w:iCs/>
                <w:sz w:val="20"/>
                <w:szCs w:val="20"/>
              </w:rPr>
            </w:pPr>
          </w:p>
        </w:tc>
        <w:tc>
          <w:tcPr>
            <w:tcW w:w="1332" w:type="dxa"/>
            <w:vAlign w:val="center"/>
          </w:tcPr>
          <w:p w14:paraId="4D30F1F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69C081D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194172B7"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7EDAA201"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2486042A" w14:textId="77777777" w:rsidR="006E4504" w:rsidRPr="006E4504" w:rsidRDefault="006E4504" w:rsidP="006E4504">
            <w:pPr>
              <w:spacing w:after="0" w:line="276" w:lineRule="auto"/>
              <w:jc w:val="center"/>
              <w:rPr>
                <w:sz w:val="20"/>
                <w:szCs w:val="20"/>
              </w:rPr>
            </w:pPr>
          </w:p>
        </w:tc>
      </w:tr>
      <w:tr w:rsidR="006E4504" w:rsidRPr="004D7C43" w14:paraId="675A6F11" w14:textId="2A36ABF2" w:rsidTr="006E4504">
        <w:trPr>
          <w:trHeight w:val="300"/>
        </w:trPr>
        <w:tc>
          <w:tcPr>
            <w:tcW w:w="1984" w:type="dxa"/>
            <w:vAlign w:val="center"/>
          </w:tcPr>
          <w:p w14:paraId="29938642" w14:textId="684D9DE8" w:rsidR="006E4504" w:rsidRPr="00415D49" w:rsidRDefault="006E4504" w:rsidP="006E4504">
            <w:pPr>
              <w:spacing w:after="0" w:line="276" w:lineRule="auto"/>
              <w:contextualSpacing/>
              <w:jc w:val="left"/>
              <w:rPr>
                <w:i/>
                <w:iCs/>
                <w:sz w:val="20"/>
                <w:szCs w:val="20"/>
              </w:rPr>
            </w:pPr>
            <w:r>
              <w:rPr>
                <w:i/>
                <w:iCs/>
                <w:sz w:val="20"/>
                <w:szCs w:val="20"/>
              </w:rPr>
              <w:t>EQ-5D domains</w:t>
            </w:r>
            <w:r w:rsidRPr="00BD3469">
              <w:rPr>
                <w:i/>
                <w:iCs/>
                <w:sz w:val="20"/>
                <w:szCs w:val="20"/>
                <w:vertAlign w:val="superscript"/>
              </w:rPr>
              <w:t>6</w:t>
            </w:r>
          </w:p>
        </w:tc>
        <w:tc>
          <w:tcPr>
            <w:tcW w:w="1332" w:type="dxa"/>
            <w:vAlign w:val="center"/>
          </w:tcPr>
          <w:p w14:paraId="1B9265AD"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A534D33"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48C595F0"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5F15EE0E" w14:textId="77777777" w:rsidR="006E4504" w:rsidRDefault="006E4504" w:rsidP="006E4504">
            <w:pPr>
              <w:spacing w:after="0" w:line="276" w:lineRule="auto"/>
              <w:jc w:val="center"/>
              <w:rPr>
                <w:rFonts w:ascii="Aptos Narrow" w:hAnsi="Aptos Narrow"/>
                <w:color w:val="000000"/>
              </w:rPr>
            </w:pPr>
          </w:p>
        </w:tc>
        <w:tc>
          <w:tcPr>
            <w:tcW w:w="1332" w:type="dxa"/>
            <w:vAlign w:val="center"/>
          </w:tcPr>
          <w:p w14:paraId="0E6F1A84" w14:textId="7BD1DD1F" w:rsidR="006E4504" w:rsidRPr="006E4504" w:rsidRDefault="006E4504" w:rsidP="006E4504">
            <w:pPr>
              <w:spacing w:after="0" w:line="276" w:lineRule="auto"/>
              <w:jc w:val="center"/>
              <w:rPr>
                <w:sz w:val="20"/>
                <w:szCs w:val="20"/>
              </w:rPr>
            </w:pPr>
          </w:p>
        </w:tc>
      </w:tr>
      <w:tr w:rsidR="006E4504" w:rsidRPr="004D7C43" w14:paraId="37426560" w14:textId="5758E4E3" w:rsidTr="006E4504">
        <w:trPr>
          <w:trHeight w:val="300"/>
        </w:trPr>
        <w:tc>
          <w:tcPr>
            <w:tcW w:w="1984" w:type="dxa"/>
            <w:vAlign w:val="center"/>
          </w:tcPr>
          <w:p w14:paraId="7ED049EC" w14:textId="77777777" w:rsidR="006E4504" w:rsidRPr="004D7C43" w:rsidRDefault="006E4504" w:rsidP="006E4504">
            <w:pPr>
              <w:spacing w:after="0" w:line="276" w:lineRule="auto"/>
              <w:contextualSpacing/>
              <w:jc w:val="left"/>
              <w:rPr>
                <w:sz w:val="20"/>
                <w:szCs w:val="20"/>
              </w:rPr>
            </w:pPr>
            <w:r w:rsidRPr="004D7C43">
              <w:rPr>
                <w:sz w:val="20"/>
                <w:szCs w:val="20"/>
              </w:rPr>
              <w:t>Mobility</w:t>
            </w:r>
          </w:p>
        </w:tc>
        <w:tc>
          <w:tcPr>
            <w:tcW w:w="1332" w:type="dxa"/>
            <w:vAlign w:val="center"/>
          </w:tcPr>
          <w:p w14:paraId="17B0F213" w14:textId="16E2833C" w:rsidR="006E4504" w:rsidRPr="004D7C43" w:rsidRDefault="006E4504" w:rsidP="006E4504">
            <w:pPr>
              <w:spacing w:after="0" w:line="276" w:lineRule="auto"/>
              <w:jc w:val="center"/>
              <w:rPr>
                <w:sz w:val="20"/>
                <w:szCs w:val="20"/>
              </w:rPr>
            </w:pPr>
            <w:r>
              <w:rPr>
                <w:rFonts w:ascii="Aptos Narrow" w:hAnsi="Aptos Narrow"/>
                <w:color w:val="000000"/>
              </w:rPr>
              <w:t>1.17</w:t>
            </w:r>
          </w:p>
        </w:tc>
        <w:tc>
          <w:tcPr>
            <w:tcW w:w="1332" w:type="dxa"/>
            <w:vAlign w:val="center"/>
          </w:tcPr>
          <w:p w14:paraId="7A4388CF" w14:textId="19AED887" w:rsidR="006E4504" w:rsidRPr="004D7C43" w:rsidRDefault="006E4504" w:rsidP="006E4504">
            <w:pPr>
              <w:spacing w:after="0" w:line="276" w:lineRule="auto"/>
              <w:jc w:val="center"/>
              <w:rPr>
                <w:sz w:val="20"/>
                <w:szCs w:val="20"/>
              </w:rPr>
            </w:pPr>
            <w:r>
              <w:rPr>
                <w:rFonts w:ascii="Aptos Narrow" w:hAnsi="Aptos Narrow"/>
                <w:color w:val="000000"/>
              </w:rPr>
              <w:t>1.19</w:t>
            </w:r>
          </w:p>
        </w:tc>
        <w:tc>
          <w:tcPr>
            <w:tcW w:w="1332" w:type="dxa"/>
            <w:vAlign w:val="center"/>
          </w:tcPr>
          <w:p w14:paraId="0BE45919" w14:textId="050B2544"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523ADD23" w14:textId="5B5E65D6"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0851B561" w14:textId="2C6EAD88" w:rsidR="006E4504" w:rsidRPr="006E4504" w:rsidRDefault="006E4504" w:rsidP="006E4504">
            <w:pPr>
              <w:spacing w:after="0" w:line="276" w:lineRule="auto"/>
              <w:jc w:val="center"/>
              <w:rPr>
                <w:sz w:val="20"/>
                <w:szCs w:val="20"/>
              </w:rPr>
            </w:pPr>
            <w:r w:rsidRPr="006E4504">
              <w:rPr>
                <w:sz w:val="20"/>
                <w:szCs w:val="20"/>
              </w:rPr>
              <w:t>0.4</w:t>
            </w:r>
            <w:r>
              <w:rPr>
                <w:sz w:val="20"/>
                <w:szCs w:val="20"/>
              </w:rPr>
              <w:t>94</w:t>
            </w:r>
          </w:p>
        </w:tc>
      </w:tr>
      <w:tr w:rsidR="006E4504" w:rsidRPr="004D7C43" w14:paraId="5C7A36FD" w14:textId="41A806B5" w:rsidTr="006E4504">
        <w:trPr>
          <w:trHeight w:val="300"/>
        </w:trPr>
        <w:tc>
          <w:tcPr>
            <w:tcW w:w="1984" w:type="dxa"/>
            <w:vAlign w:val="center"/>
          </w:tcPr>
          <w:p w14:paraId="0937EFAA" w14:textId="77777777" w:rsidR="006E4504" w:rsidRPr="004D7C43" w:rsidRDefault="006E4504" w:rsidP="006E4504">
            <w:pPr>
              <w:spacing w:after="0" w:line="276" w:lineRule="auto"/>
              <w:contextualSpacing/>
              <w:jc w:val="left"/>
              <w:rPr>
                <w:sz w:val="20"/>
                <w:szCs w:val="20"/>
              </w:rPr>
            </w:pPr>
            <w:r w:rsidRPr="004D7C43">
              <w:rPr>
                <w:sz w:val="20"/>
                <w:szCs w:val="20"/>
              </w:rPr>
              <w:t>Self-care</w:t>
            </w:r>
          </w:p>
        </w:tc>
        <w:tc>
          <w:tcPr>
            <w:tcW w:w="1332" w:type="dxa"/>
            <w:vAlign w:val="center"/>
          </w:tcPr>
          <w:p w14:paraId="41F213CA" w14:textId="71BC46FE" w:rsidR="006E4504" w:rsidRPr="004D7C43" w:rsidRDefault="006E4504" w:rsidP="006E4504">
            <w:pPr>
              <w:spacing w:after="0" w:line="276" w:lineRule="auto"/>
              <w:jc w:val="center"/>
              <w:rPr>
                <w:sz w:val="20"/>
                <w:szCs w:val="20"/>
              </w:rPr>
            </w:pPr>
            <w:r>
              <w:rPr>
                <w:rFonts w:ascii="Aptos Narrow" w:hAnsi="Aptos Narrow"/>
                <w:color w:val="000000"/>
              </w:rPr>
              <w:t>1.03</w:t>
            </w:r>
          </w:p>
        </w:tc>
        <w:tc>
          <w:tcPr>
            <w:tcW w:w="1332" w:type="dxa"/>
            <w:vAlign w:val="center"/>
          </w:tcPr>
          <w:p w14:paraId="7EEE0DB6" w14:textId="144865A1" w:rsidR="006E4504" w:rsidRPr="004D7C43" w:rsidRDefault="006E4504" w:rsidP="006E4504">
            <w:pPr>
              <w:spacing w:after="0" w:line="276" w:lineRule="auto"/>
              <w:jc w:val="center"/>
              <w:rPr>
                <w:sz w:val="20"/>
                <w:szCs w:val="20"/>
              </w:rPr>
            </w:pPr>
            <w:r>
              <w:rPr>
                <w:rFonts w:ascii="Aptos Narrow" w:hAnsi="Aptos Narrow"/>
                <w:color w:val="000000"/>
              </w:rPr>
              <w:t>1.00</w:t>
            </w:r>
          </w:p>
        </w:tc>
        <w:tc>
          <w:tcPr>
            <w:tcW w:w="1332" w:type="dxa"/>
            <w:vAlign w:val="center"/>
          </w:tcPr>
          <w:p w14:paraId="0D90FD73" w14:textId="6337CA98" w:rsidR="006E4504" w:rsidRPr="004D7C43" w:rsidRDefault="006E4504" w:rsidP="006E4504">
            <w:pPr>
              <w:spacing w:after="0" w:line="276" w:lineRule="auto"/>
              <w:jc w:val="center"/>
              <w:rPr>
                <w:sz w:val="20"/>
                <w:szCs w:val="20"/>
              </w:rPr>
            </w:pPr>
            <w:r>
              <w:rPr>
                <w:rFonts w:ascii="Aptos Narrow" w:hAnsi="Aptos Narrow"/>
                <w:color w:val="000000"/>
              </w:rPr>
              <w:t>1.02</w:t>
            </w:r>
          </w:p>
        </w:tc>
        <w:tc>
          <w:tcPr>
            <w:tcW w:w="1332" w:type="dxa"/>
            <w:vAlign w:val="center"/>
          </w:tcPr>
          <w:p w14:paraId="0E57E1B3" w14:textId="5EAC962D" w:rsidR="006E4504" w:rsidRPr="004D7C43" w:rsidRDefault="006E4504" w:rsidP="006E4504">
            <w:pPr>
              <w:spacing w:after="0" w:line="276" w:lineRule="auto"/>
              <w:jc w:val="center"/>
              <w:rPr>
                <w:sz w:val="20"/>
                <w:szCs w:val="20"/>
              </w:rPr>
            </w:pPr>
            <w:r>
              <w:rPr>
                <w:rFonts w:ascii="Aptos Narrow" w:hAnsi="Aptos Narrow"/>
                <w:color w:val="000000"/>
              </w:rPr>
              <w:t>1.09</w:t>
            </w:r>
          </w:p>
        </w:tc>
        <w:tc>
          <w:tcPr>
            <w:tcW w:w="1332" w:type="dxa"/>
            <w:vAlign w:val="center"/>
          </w:tcPr>
          <w:p w14:paraId="661617A2" w14:textId="3EAB1886" w:rsidR="006E4504" w:rsidRPr="006E4504" w:rsidRDefault="006E4504" w:rsidP="006E4504">
            <w:pPr>
              <w:spacing w:after="0" w:line="276" w:lineRule="auto"/>
              <w:jc w:val="center"/>
              <w:rPr>
                <w:sz w:val="20"/>
                <w:szCs w:val="20"/>
              </w:rPr>
            </w:pPr>
            <w:r w:rsidRPr="006E4504">
              <w:rPr>
                <w:sz w:val="20"/>
                <w:szCs w:val="20"/>
              </w:rPr>
              <w:t>0.</w:t>
            </w:r>
            <w:r>
              <w:rPr>
                <w:sz w:val="20"/>
                <w:szCs w:val="20"/>
              </w:rPr>
              <w:t>304</w:t>
            </w:r>
          </w:p>
        </w:tc>
      </w:tr>
      <w:tr w:rsidR="006E4504" w:rsidRPr="004D7C43" w14:paraId="1E18160D" w14:textId="78957F6F" w:rsidTr="006E4504">
        <w:trPr>
          <w:trHeight w:val="300"/>
        </w:trPr>
        <w:tc>
          <w:tcPr>
            <w:tcW w:w="1984" w:type="dxa"/>
            <w:vAlign w:val="center"/>
          </w:tcPr>
          <w:p w14:paraId="579C7322" w14:textId="77777777" w:rsidR="006E4504" w:rsidRPr="004D7C43" w:rsidRDefault="006E4504" w:rsidP="006E4504">
            <w:pPr>
              <w:spacing w:after="0" w:line="276" w:lineRule="auto"/>
              <w:contextualSpacing/>
              <w:jc w:val="left"/>
              <w:rPr>
                <w:sz w:val="20"/>
                <w:szCs w:val="20"/>
              </w:rPr>
            </w:pPr>
            <w:r w:rsidRPr="004D7C43">
              <w:rPr>
                <w:sz w:val="20"/>
                <w:szCs w:val="20"/>
              </w:rPr>
              <w:t>Usual activity</w:t>
            </w:r>
          </w:p>
        </w:tc>
        <w:tc>
          <w:tcPr>
            <w:tcW w:w="1332" w:type="dxa"/>
            <w:vAlign w:val="center"/>
          </w:tcPr>
          <w:p w14:paraId="27F9B66C" w14:textId="03DCA2CB" w:rsidR="006E4504" w:rsidRPr="004D7C43" w:rsidRDefault="006E4504" w:rsidP="006E4504">
            <w:pPr>
              <w:spacing w:after="0" w:line="276" w:lineRule="auto"/>
              <w:jc w:val="center"/>
              <w:rPr>
                <w:sz w:val="20"/>
                <w:szCs w:val="20"/>
              </w:rPr>
            </w:pPr>
            <w:r>
              <w:rPr>
                <w:rFonts w:ascii="Aptos Narrow" w:hAnsi="Aptos Narrow"/>
                <w:color w:val="000000"/>
              </w:rPr>
              <w:t>1.14</w:t>
            </w:r>
          </w:p>
        </w:tc>
        <w:tc>
          <w:tcPr>
            <w:tcW w:w="1332" w:type="dxa"/>
            <w:vAlign w:val="center"/>
          </w:tcPr>
          <w:p w14:paraId="31D80342" w14:textId="2C6517E7" w:rsidR="006E4504" w:rsidRPr="004D7C43" w:rsidRDefault="006E4504" w:rsidP="006E4504">
            <w:pPr>
              <w:spacing w:after="0" w:line="276" w:lineRule="auto"/>
              <w:jc w:val="center"/>
              <w:rPr>
                <w:sz w:val="20"/>
                <w:szCs w:val="20"/>
              </w:rPr>
            </w:pPr>
            <w:r>
              <w:rPr>
                <w:rFonts w:ascii="Aptos Narrow" w:hAnsi="Aptos Narrow"/>
                <w:color w:val="000000"/>
              </w:rPr>
              <w:t>1.28</w:t>
            </w:r>
          </w:p>
        </w:tc>
        <w:tc>
          <w:tcPr>
            <w:tcW w:w="1332" w:type="dxa"/>
            <w:vAlign w:val="center"/>
          </w:tcPr>
          <w:p w14:paraId="4701D364" w14:textId="000A1CDA" w:rsidR="006E4504" w:rsidRPr="004D7C43" w:rsidRDefault="006E4504" w:rsidP="006E4504">
            <w:pPr>
              <w:spacing w:after="0" w:line="276" w:lineRule="auto"/>
              <w:jc w:val="center"/>
              <w:rPr>
                <w:sz w:val="20"/>
                <w:szCs w:val="20"/>
              </w:rPr>
            </w:pPr>
            <w:r>
              <w:rPr>
                <w:rFonts w:ascii="Aptos Narrow" w:hAnsi="Aptos Narrow"/>
                <w:color w:val="000000"/>
              </w:rPr>
              <w:t>1.36</w:t>
            </w:r>
          </w:p>
        </w:tc>
        <w:tc>
          <w:tcPr>
            <w:tcW w:w="1332" w:type="dxa"/>
            <w:vAlign w:val="center"/>
          </w:tcPr>
          <w:p w14:paraId="2C178A0E" w14:textId="65D10757" w:rsidR="006E4504" w:rsidRPr="004D7C43" w:rsidRDefault="006E4504" w:rsidP="006E4504">
            <w:pPr>
              <w:spacing w:after="0" w:line="276" w:lineRule="auto"/>
              <w:jc w:val="center"/>
              <w:rPr>
                <w:sz w:val="20"/>
                <w:szCs w:val="20"/>
              </w:rPr>
            </w:pPr>
            <w:r>
              <w:rPr>
                <w:rFonts w:ascii="Aptos Narrow" w:hAnsi="Aptos Narrow"/>
                <w:color w:val="000000"/>
              </w:rPr>
              <w:t>1.55</w:t>
            </w:r>
          </w:p>
        </w:tc>
        <w:tc>
          <w:tcPr>
            <w:tcW w:w="1332" w:type="dxa"/>
            <w:vAlign w:val="center"/>
          </w:tcPr>
          <w:p w14:paraId="1A46C082" w14:textId="4767A341" w:rsidR="006E4504" w:rsidRPr="006E4504" w:rsidRDefault="006E4504" w:rsidP="006E4504">
            <w:pPr>
              <w:spacing w:after="0" w:line="276" w:lineRule="auto"/>
              <w:jc w:val="center"/>
              <w:rPr>
                <w:sz w:val="20"/>
                <w:szCs w:val="20"/>
              </w:rPr>
            </w:pPr>
            <w:r w:rsidRPr="006E4504">
              <w:rPr>
                <w:sz w:val="20"/>
                <w:szCs w:val="20"/>
              </w:rPr>
              <w:t>0.01</w:t>
            </w:r>
            <w:r>
              <w:rPr>
                <w:sz w:val="20"/>
                <w:szCs w:val="20"/>
              </w:rPr>
              <w:t>1</w:t>
            </w:r>
          </w:p>
        </w:tc>
      </w:tr>
      <w:tr w:rsidR="006E4504" w:rsidRPr="004D7C43" w14:paraId="0CCC4F9A" w14:textId="27540662" w:rsidTr="006E4504">
        <w:trPr>
          <w:trHeight w:val="300"/>
        </w:trPr>
        <w:tc>
          <w:tcPr>
            <w:tcW w:w="1984" w:type="dxa"/>
            <w:vAlign w:val="center"/>
          </w:tcPr>
          <w:p w14:paraId="1D12B7D5" w14:textId="77777777" w:rsidR="006E4504" w:rsidRPr="004D7C43" w:rsidRDefault="006E4504" w:rsidP="006E4504">
            <w:pPr>
              <w:spacing w:after="0" w:line="276" w:lineRule="auto"/>
              <w:contextualSpacing/>
              <w:jc w:val="left"/>
              <w:rPr>
                <w:sz w:val="20"/>
                <w:szCs w:val="20"/>
              </w:rPr>
            </w:pPr>
            <w:r w:rsidRPr="004D7C43">
              <w:rPr>
                <w:sz w:val="20"/>
                <w:szCs w:val="20"/>
              </w:rPr>
              <w:t>Pain/Discomfort</w:t>
            </w:r>
          </w:p>
        </w:tc>
        <w:tc>
          <w:tcPr>
            <w:tcW w:w="1332" w:type="dxa"/>
            <w:vAlign w:val="center"/>
          </w:tcPr>
          <w:p w14:paraId="72232850" w14:textId="4C1E47EF" w:rsidR="006E4504" w:rsidRPr="004D7C43" w:rsidRDefault="006E4504" w:rsidP="006E4504">
            <w:pPr>
              <w:spacing w:after="0" w:line="276" w:lineRule="auto"/>
              <w:jc w:val="center"/>
              <w:rPr>
                <w:sz w:val="20"/>
                <w:szCs w:val="20"/>
              </w:rPr>
            </w:pPr>
            <w:r>
              <w:rPr>
                <w:rFonts w:ascii="Aptos Narrow" w:hAnsi="Aptos Narrow"/>
                <w:color w:val="000000"/>
              </w:rPr>
              <w:t>1.34</w:t>
            </w:r>
          </w:p>
        </w:tc>
        <w:tc>
          <w:tcPr>
            <w:tcW w:w="1332" w:type="dxa"/>
            <w:vAlign w:val="center"/>
          </w:tcPr>
          <w:p w14:paraId="49CE7F45" w14:textId="4B52372A" w:rsidR="006E4504" w:rsidRPr="004D7C43" w:rsidRDefault="006E4504" w:rsidP="006E4504">
            <w:pPr>
              <w:spacing w:after="0" w:line="276" w:lineRule="auto"/>
              <w:jc w:val="center"/>
              <w:rPr>
                <w:sz w:val="20"/>
                <w:szCs w:val="20"/>
              </w:rPr>
            </w:pPr>
            <w:r>
              <w:rPr>
                <w:rFonts w:ascii="Aptos Narrow" w:hAnsi="Aptos Narrow"/>
                <w:color w:val="000000"/>
              </w:rPr>
              <w:t>1.44</w:t>
            </w:r>
          </w:p>
        </w:tc>
        <w:tc>
          <w:tcPr>
            <w:tcW w:w="1332" w:type="dxa"/>
            <w:vAlign w:val="center"/>
          </w:tcPr>
          <w:p w14:paraId="11F55DCD" w14:textId="188541EB" w:rsidR="006E4504" w:rsidRPr="004D7C43" w:rsidRDefault="006E4504" w:rsidP="006E4504">
            <w:pPr>
              <w:spacing w:after="0" w:line="276" w:lineRule="auto"/>
              <w:jc w:val="center"/>
              <w:rPr>
                <w:sz w:val="20"/>
                <w:szCs w:val="20"/>
              </w:rPr>
            </w:pPr>
            <w:r>
              <w:rPr>
                <w:rFonts w:ascii="Aptos Narrow" w:hAnsi="Aptos Narrow"/>
                <w:color w:val="000000"/>
              </w:rPr>
              <w:t>1.63</w:t>
            </w:r>
          </w:p>
        </w:tc>
        <w:tc>
          <w:tcPr>
            <w:tcW w:w="1332" w:type="dxa"/>
            <w:vAlign w:val="center"/>
          </w:tcPr>
          <w:p w14:paraId="0D1C2BE3" w14:textId="62C80A27" w:rsidR="006E4504" w:rsidRPr="004D7C43" w:rsidRDefault="006E4504" w:rsidP="006E4504">
            <w:pPr>
              <w:spacing w:after="0" w:line="276" w:lineRule="auto"/>
              <w:jc w:val="center"/>
              <w:rPr>
                <w:sz w:val="20"/>
                <w:szCs w:val="20"/>
              </w:rPr>
            </w:pPr>
            <w:r>
              <w:rPr>
                <w:rFonts w:ascii="Aptos Narrow" w:hAnsi="Aptos Narrow"/>
                <w:color w:val="000000"/>
              </w:rPr>
              <w:t>1.97</w:t>
            </w:r>
          </w:p>
        </w:tc>
        <w:tc>
          <w:tcPr>
            <w:tcW w:w="1332" w:type="dxa"/>
            <w:vAlign w:val="center"/>
          </w:tcPr>
          <w:p w14:paraId="5D859832" w14:textId="7DDD6506" w:rsidR="006E4504" w:rsidRPr="006E4504" w:rsidRDefault="006E4504" w:rsidP="006E4504">
            <w:pPr>
              <w:spacing w:after="0" w:line="276" w:lineRule="auto"/>
              <w:jc w:val="center"/>
              <w:rPr>
                <w:sz w:val="20"/>
                <w:szCs w:val="20"/>
              </w:rPr>
            </w:pPr>
            <w:r w:rsidRPr="006E4504">
              <w:rPr>
                <w:sz w:val="20"/>
                <w:szCs w:val="20"/>
              </w:rPr>
              <w:t>0.00</w:t>
            </w:r>
            <w:r>
              <w:rPr>
                <w:sz w:val="20"/>
                <w:szCs w:val="20"/>
              </w:rPr>
              <w:t>3</w:t>
            </w:r>
          </w:p>
        </w:tc>
      </w:tr>
      <w:tr w:rsidR="006E4504" w:rsidRPr="004D7C43" w14:paraId="0BB1A685" w14:textId="692C91A6" w:rsidTr="006E4504">
        <w:trPr>
          <w:trHeight w:val="300"/>
        </w:trPr>
        <w:tc>
          <w:tcPr>
            <w:tcW w:w="1984" w:type="dxa"/>
            <w:vAlign w:val="center"/>
          </w:tcPr>
          <w:p w14:paraId="151679E6" w14:textId="77777777" w:rsidR="006E4504" w:rsidRPr="004D7C43" w:rsidRDefault="006E4504" w:rsidP="006E4504">
            <w:pPr>
              <w:spacing w:after="0" w:line="276" w:lineRule="auto"/>
              <w:contextualSpacing/>
              <w:jc w:val="left"/>
              <w:rPr>
                <w:sz w:val="20"/>
                <w:szCs w:val="20"/>
              </w:rPr>
            </w:pPr>
            <w:r w:rsidRPr="004D7C43">
              <w:rPr>
                <w:sz w:val="20"/>
                <w:szCs w:val="20"/>
              </w:rPr>
              <w:t>Anxiety/Depression</w:t>
            </w:r>
          </w:p>
        </w:tc>
        <w:tc>
          <w:tcPr>
            <w:tcW w:w="1332" w:type="dxa"/>
            <w:vAlign w:val="center"/>
          </w:tcPr>
          <w:p w14:paraId="1A4F33D0" w14:textId="6C7639BB" w:rsidR="006E4504" w:rsidRPr="004D7C43" w:rsidRDefault="006E4504" w:rsidP="006E4504">
            <w:pPr>
              <w:spacing w:after="0" w:line="276" w:lineRule="auto"/>
              <w:jc w:val="center"/>
              <w:rPr>
                <w:sz w:val="20"/>
                <w:szCs w:val="20"/>
              </w:rPr>
            </w:pPr>
            <w:r>
              <w:rPr>
                <w:rFonts w:ascii="Aptos Narrow" w:hAnsi="Aptos Narrow"/>
                <w:color w:val="000000"/>
              </w:rPr>
              <w:t>1.31</w:t>
            </w:r>
          </w:p>
        </w:tc>
        <w:tc>
          <w:tcPr>
            <w:tcW w:w="1332" w:type="dxa"/>
            <w:vAlign w:val="center"/>
          </w:tcPr>
          <w:p w14:paraId="6B83826F" w14:textId="06916D3A" w:rsidR="006E4504" w:rsidRPr="004D7C43" w:rsidRDefault="006E4504" w:rsidP="006E4504">
            <w:pPr>
              <w:spacing w:after="0" w:line="276" w:lineRule="auto"/>
              <w:jc w:val="center"/>
              <w:rPr>
                <w:sz w:val="20"/>
                <w:szCs w:val="20"/>
              </w:rPr>
            </w:pPr>
            <w:r>
              <w:rPr>
                <w:rFonts w:ascii="Aptos Narrow" w:hAnsi="Aptos Narrow"/>
                <w:color w:val="000000"/>
              </w:rPr>
              <w:t>1.61</w:t>
            </w:r>
          </w:p>
        </w:tc>
        <w:tc>
          <w:tcPr>
            <w:tcW w:w="1332" w:type="dxa"/>
            <w:vAlign w:val="center"/>
          </w:tcPr>
          <w:p w14:paraId="2F2FCE4B" w14:textId="7A2CB596" w:rsidR="006E4504" w:rsidRPr="004D7C43" w:rsidRDefault="006E4504" w:rsidP="006E4504">
            <w:pPr>
              <w:spacing w:after="0" w:line="276" w:lineRule="auto"/>
              <w:jc w:val="center"/>
              <w:rPr>
                <w:sz w:val="20"/>
                <w:szCs w:val="20"/>
              </w:rPr>
            </w:pPr>
            <w:r>
              <w:rPr>
                <w:rFonts w:ascii="Aptos Narrow" w:hAnsi="Aptos Narrow"/>
                <w:color w:val="000000"/>
              </w:rPr>
              <w:t>1.83</w:t>
            </w:r>
          </w:p>
        </w:tc>
        <w:tc>
          <w:tcPr>
            <w:tcW w:w="1332" w:type="dxa"/>
            <w:vAlign w:val="center"/>
          </w:tcPr>
          <w:p w14:paraId="5809D15C" w14:textId="31BFF16B" w:rsidR="006E4504" w:rsidRPr="004D7C43" w:rsidRDefault="006E4504" w:rsidP="006E4504">
            <w:pPr>
              <w:spacing w:after="0" w:line="276" w:lineRule="auto"/>
              <w:jc w:val="center"/>
              <w:rPr>
                <w:sz w:val="20"/>
                <w:szCs w:val="20"/>
              </w:rPr>
            </w:pPr>
            <w:r>
              <w:rPr>
                <w:rFonts w:ascii="Aptos Narrow" w:hAnsi="Aptos Narrow"/>
                <w:color w:val="000000"/>
              </w:rPr>
              <w:t>1.73</w:t>
            </w:r>
          </w:p>
        </w:tc>
        <w:tc>
          <w:tcPr>
            <w:tcW w:w="1332" w:type="dxa"/>
            <w:vAlign w:val="center"/>
          </w:tcPr>
          <w:p w14:paraId="6DDC8530" w14:textId="1C6A0DE6" w:rsidR="006E4504" w:rsidRPr="006E4504" w:rsidRDefault="006E4504" w:rsidP="006E4504">
            <w:pPr>
              <w:spacing w:after="0" w:line="276" w:lineRule="auto"/>
              <w:jc w:val="center"/>
              <w:rPr>
                <w:sz w:val="20"/>
                <w:szCs w:val="20"/>
              </w:rPr>
            </w:pPr>
            <w:r w:rsidRPr="006E4504">
              <w:rPr>
                <w:sz w:val="20"/>
                <w:szCs w:val="20"/>
              </w:rPr>
              <w:t>0.0</w:t>
            </w:r>
            <w:r>
              <w:rPr>
                <w:sz w:val="20"/>
                <w:szCs w:val="20"/>
              </w:rPr>
              <w:t>10</w:t>
            </w:r>
          </w:p>
        </w:tc>
      </w:tr>
    </w:tbl>
    <w:p w14:paraId="3A139DDF" w14:textId="77777777" w:rsidR="00415D49" w:rsidRDefault="00415D49" w:rsidP="00415D49">
      <w:pPr>
        <w:pStyle w:val="BodyText"/>
      </w:pPr>
      <w:r>
        <w:rPr>
          <w:vertAlign w:val="superscript"/>
        </w:rPr>
        <w:t>1</w:t>
      </w:r>
      <w:r w:rsidR="009A636F" w:rsidRPr="00997188">
        <w:t xml:space="preserve"> Data from all </w:t>
      </w:r>
      <w:r>
        <w:t>caregivers</w:t>
      </w:r>
      <w:r w:rsidR="009A636F" w:rsidRPr="00997188">
        <w:t xml:space="preserve"> at </w:t>
      </w:r>
      <w:r w:rsidRPr="00997188">
        <w:t>all</w:t>
      </w:r>
      <w:r w:rsidR="009A636F" w:rsidRPr="00997188">
        <w:t xml:space="preserve"> timepoints </w:t>
      </w:r>
      <w:r>
        <w:t xml:space="preserve">(baseline, 6 months, and 9 months) </w:t>
      </w:r>
      <w:r w:rsidR="009A636F" w:rsidRPr="00997188">
        <w:t xml:space="preserve">have been </w:t>
      </w:r>
      <w:r w:rsidRPr="00997188">
        <w:t>pooled.</w:t>
      </w:r>
      <w:r w:rsidR="009A636F" w:rsidRPr="00997188">
        <w:t xml:space="preserve"> </w:t>
      </w:r>
    </w:p>
    <w:p w14:paraId="6610A96A" w14:textId="5AE381B3" w:rsidR="00415D49" w:rsidRDefault="00415D49" w:rsidP="00415D49">
      <w:pPr>
        <w:pStyle w:val="BodyText"/>
      </w:pPr>
      <w:r w:rsidRPr="00415D49">
        <w:rPr>
          <w:vertAlign w:val="superscript"/>
        </w:rPr>
        <w:t>2</w:t>
      </w:r>
      <w:r>
        <w:t xml:space="preserve"> Comparisons of </w:t>
      </w:r>
      <w:r w:rsidR="00BD3469">
        <w:t xml:space="preserve">outcomes </w:t>
      </w:r>
      <w:r>
        <w:t>between King’s stages using analysis of variance (ANOVA)</w:t>
      </w:r>
    </w:p>
    <w:p w14:paraId="394DE59A" w14:textId="57D0CF34" w:rsidR="009A636F" w:rsidRDefault="00BD3469" w:rsidP="00415D49">
      <w:pPr>
        <w:pStyle w:val="BodyText"/>
      </w:pPr>
      <w:r w:rsidRPr="00BD3469">
        <w:rPr>
          <w:vertAlign w:val="superscript"/>
        </w:rPr>
        <w:t>3</w:t>
      </w:r>
      <w:r>
        <w:t xml:space="preserve"> </w:t>
      </w:r>
      <w:r w:rsidR="00415D49">
        <w:t>ZBI total score range = 0–88, higher scores indicate greater burden</w:t>
      </w:r>
      <w:r w:rsidR="009A636F" w:rsidRPr="00997188">
        <w:t xml:space="preserve"> </w:t>
      </w:r>
    </w:p>
    <w:p w14:paraId="6095653D" w14:textId="331F7337" w:rsidR="006E4504" w:rsidRPr="006E4504" w:rsidRDefault="006E4504" w:rsidP="006E4504">
      <w:pPr>
        <w:pStyle w:val="BodyText"/>
      </w:pPr>
      <w:r>
        <w:rPr>
          <w:vertAlign w:val="superscript"/>
        </w:rPr>
        <w:t>4</w:t>
      </w:r>
      <w:r>
        <w:t xml:space="preserve"> EQ-5D score range = 0 to 1.0, higher scores indicate better health-related quality of life.</w:t>
      </w:r>
    </w:p>
    <w:p w14:paraId="0354D283" w14:textId="446E343E" w:rsidR="00BD3469" w:rsidRDefault="006E4504" w:rsidP="00BD3469">
      <w:pPr>
        <w:pStyle w:val="BodyText"/>
      </w:pPr>
      <w:r>
        <w:rPr>
          <w:vertAlign w:val="superscript"/>
        </w:rPr>
        <w:t>5</w:t>
      </w:r>
      <w:r w:rsidR="00BD3469">
        <w:t xml:space="preserve"> EQ-VAS score range = 0–100, higher scores indicate better health-related quality of life.</w:t>
      </w:r>
    </w:p>
    <w:p w14:paraId="41A3AC71" w14:textId="379BBB00" w:rsidR="00BD3469" w:rsidRPr="00BD3469" w:rsidRDefault="00BD3469" w:rsidP="00BD3469">
      <w:pPr>
        <w:pStyle w:val="BodyText"/>
      </w:pPr>
      <w:r w:rsidRPr="00BD3469">
        <w:rPr>
          <w:vertAlign w:val="superscript"/>
        </w:rPr>
        <w:t xml:space="preserve">6 </w:t>
      </w:r>
      <w:r w:rsidRPr="00BD3469">
        <w:t>EQ-5D domain</w:t>
      </w:r>
      <w:r>
        <w:t xml:space="preserve"> scores range = 0-3, higher scores indicate greater restriction by domain</w:t>
      </w:r>
    </w:p>
    <w:p w14:paraId="77E757AC" w14:textId="7291EDC7" w:rsidR="00A12EBB" w:rsidRPr="006E4504" w:rsidRDefault="00A12EBB" w:rsidP="00A12EBB">
      <w:pPr>
        <w:pStyle w:val="Caption"/>
        <w:rPr>
          <w:color w:val="808080" w:themeColor="background1" w:themeShade="80"/>
        </w:rPr>
      </w:pPr>
      <w:r w:rsidRPr="006E4504">
        <w:rPr>
          <w:color w:val="808080" w:themeColor="background1" w:themeShade="80"/>
        </w:rPr>
        <w:lastRenderedPageBreak/>
        <w:t xml:space="preserve">Table </w:t>
      </w:r>
      <w:r w:rsidRPr="006E4504">
        <w:rPr>
          <w:color w:val="808080" w:themeColor="background1" w:themeShade="80"/>
        </w:rPr>
        <w:fldChar w:fldCharType="begin"/>
      </w:r>
      <w:r w:rsidRPr="006E4504">
        <w:rPr>
          <w:color w:val="808080" w:themeColor="background1" w:themeShade="80"/>
        </w:rPr>
        <w:instrText xml:space="preserve"> SEQ Table \* ARABIC </w:instrText>
      </w:r>
      <w:r w:rsidRPr="006E4504">
        <w:rPr>
          <w:color w:val="808080" w:themeColor="background1" w:themeShade="80"/>
        </w:rPr>
        <w:fldChar w:fldCharType="separate"/>
      </w:r>
      <w:r w:rsidR="00415D49" w:rsidRPr="006E4504">
        <w:rPr>
          <w:noProof/>
          <w:color w:val="808080" w:themeColor="background1" w:themeShade="80"/>
        </w:rPr>
        <w:t>3</w:t>
      </w:r>
      <w:r w:rsidRPr="006E4504">
        <w:rPr>
          <w:color w:val="808080" w:themeColor="background1" w:themeShade="80"/>
        </w:rPr>
        <w:fldChar w:fldCharType="end"/>
      </w:r>
      <w:r w:rsidRPr="006E4504">
        <w:rPr>
          <w:color w:val="808080" w:themeColor="background1" w:themeShade="80"/>
        </w:rPr>
        <w:t xml:space="preserve">. </w:t>
      </w:r>
      <w:r w:rsidR="00207011" w:rsidRPr="006E4504">
        <w:rPr>
          <w:color w:val="808080" w:themeColor="background1" w:themeShade="80"/>
        </w:rPr>
        <w:t xml:space="preserve">Means (standard deviation) </w:t>
      </w:r>
      <w:r w:rsidR="00655104" w:rsidRPr="006E4504">
        <w:rPr>
          <w:color w:val="808080" w:themeColor="background1" w:themeShade="80"/>
        </w:rPr>
        <w:t xml:space="preserve">of caregiver ZBI, EQ-VAS, and EQ-5D </w:t>
      </w:r>
      <w:r w:rsidR="00415D49" w:rsidRPr="006E4504">
        <w:rPr>
          <w:color w:val="808080" w:themeColor="background1" w:themeShade="80"/>
        </w:rPr>
        <w:t xml:space="preserve">scores </w:t>
      </w:r>
      <w:r w:rsidR="00655104" w:rsidRPr="006E4504">
        <w:rPr>
          <w:color w:val="808080" w:themeColor="background1" w:themeShade="80"/>
        </w:rPr>
        <w:t xml:space="preserve">and </w:t>
      </w:r>
      <w:r w:rsidR="00207011" w:rsidRPr="006E4504">
        <w:rPr>
          <w:color w:val="808080" w:themeColor="background1" w:themeShade="80"/>
        </w:rPr>
        <w:t>results of t-tests comparing</w:t>
      </w:r>
      <w:r w:rsidR="00655104" w:rsidRPr="006E4504">
        <w:rPr>
          <w:color w:val="808080" w:themeColor="background1" w:themeShade="80"/>
        </w:rPr>
        <w:t xml:space="preserve"> change</w:t>
      </w:r>
      <w:r w:rsidR="00207011" w:rsidRPr="006E4504">
        <w:rPr>
          <w:color w:val="808080" w:themeColor="background1" w:themeShade="80"/>
        </w:rPr>
        <w:t>s</w:t>
      </w:r>
      <w:r w:rsidR="00655104" w:rsidRPr="006E4504">
        <w:rPr>
          <w:color w:val="808080" w:themeColor="background1" w:themeShade="80"/>
        </w:rPr>
        <w:t xml:space="preserve"> over time</w:t>
      </w:r>
      <w:r w:rsidR="00415D49" w:rsidRPr="006E4504">
        <w:rPr>
          <w:color w:val="808080" w:themeColor="background1" w:themeShade="80"/>
        </w:rPr>
        <w:t>.</w:t>
      </w:r>
    </w:p>
    <w:tbl>
      <w:tblPr>
        <w:tblStyle w:val="TableGrid1"/>
        <w:tblW w:w="8788" w:type="dxa"/>
        <w:tblLook w:val="04A0" w:firstRow="1" w:lastRow="0" w:firstColumn="1" w:lastColumn="0" w:noHBand="0" w:noVBand="1"/>
      </w:tblPr>
      <w:tblGrid>
        <w:gridCol w:w="1984"/>
        <w:gridCol w:w="1134"/>
        <w:gridCol w:w="1134"/>
        <w:gridCol w:w="1134"/>
        <w:gridCol w:w="1134"/>
        <w:gridCol w:w="1134"/>
        <w:gridCol w:w="1134"/>
      </w:tblGrid>
      <w:tr w:rsidR="006E4504" w:rsidRPr="006E4504" w14:paraId="18F7EDE1" w14:textId="77777777" w:rsidTr="009A636F">
        <w:trPr>
          <w:trHeight w:val="255"/>
        </w:trPr>
        <w:tc>
          <w:tcPr>
            <w:tcW w:w="1984" w:type="dxa"/>
            <w:noWrap/>
            <w:hideMark/>
          </w:tcPr>
          <w:p w14:paraId="02D1F6B0" w14:textId="18EB6369" w:rsidR="00A12EBB" w:rsidRPr="006E4504" w:rsidRDefault="00655104"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Component</w:t>
            </w:r>
          </w:p>
        </w:tc>
        <w:tc>
          <w:tcPr>
            <w:tcW w:w="1134" w:type="dxa"/>
            <w:noWrap/>
            <w:vAlign w:val="center"/>
            <w:hideMark/>
          </w:tcPr>
          <w:p w14:paraId="4BF167AC" w14:textId="1531D1E3"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Baseline</w:t>
            </w:r>
            <w:r w:rsidR="00D03633" w:rsidRPr="006E4504">
              <w:rPr>
                <w:color w:val="808080" w:themeColor="background1" w:themeShade="80"/>
                <w:sz w:val="20"/>
                <w:szCs w:val="20"/>
                <w:lang w:val="en-GB"/>
              </w:rPr>
              <w:t>, N=85</w:t>
            </w:r>
          </w:p>
        </w:tc>
        <w:tc>
          <w:tcPr>
            <w:tcW w:w="1134" w:type="dxa"/>
            <w:noWrap/>
            <w:vAlign w:val="center"/>
            <w:hideMark/>
          </w:tcPr>
          <w:p w14:paraId="07231200" w14:textId="3360CFC6"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D03633" w:rsidRPr="006E4504">
              <w:rPr>
                <w:color w:val="808080" w:themeColor="background1" w:themeShade="80"/>
                <w:sz w:val="20"/>
                <w:szCs w:val="20"/>
                <w:lang w:val="en-GB"/>
              </w:rPr>
              <w:t>, N=68</w:t>
            </w:r>
          </w:p>
        </w:tc>
        <w:tc>
          <w:tcPr>
            <w:tcW w:w="1134" w:type="dxa"/>
            <w:noWrap/>
            <w:vAlign w:val="center"/>
            <w:hideMark/>
          </w:tcPr>
          <w:p w14:paraId="67762C51" w14:textId="7E2583F5"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D03633" w:rsidRPr="006E4504">
              <w:rPr>
                <w:color w:val="808080" w:themeColor="background1" w:themeShade="80"/>
                <w:sz w:val="20"/>
                <w:szCs w:val="20"/>
                <w:lang w:val="en-GB"/>
              </w:rPr>
              <w:t>, N=66</w:t>
            </w:r>
          </w:p>
        </w:tc>
        <w:tc>
          <w:tcPr>
            <w:tcW w:w="1134" w:type="dxa"/>
            <w:noWrap/>
            <w:vAlign w:val="center"/>
            <w:hideMark/>
          </w:tcPr>
          <w:p w14:paraId="6ABA2B68" w14:textId="2FAEF8AE"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3B8F009C" w14:textId="0D9C8F70"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0DDFD7B4" w14:textId="0C6A3B5D"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6 months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78172AB3" w14:textId="7D56E367" w:rsidR="00A12EBB"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c>
          <w:tcPr>
            <w:tcW w:w="1134" w:type="dxa"/>
            <w:noWrap/>
            <w:vAlign w:val="center"/>
            <w:hideMark/>
          </w:tcPr>
          <w:p w14:paraId="5AB06E4B" w14:textId="165A9CD6" w:rsidR="009A636F" w:rsidRPr="006E4504" w:rsidRDefault="009A636F"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 xml:space="preserve">Baseline </w:t>
            </w:r>
            <w:r w:rsidR="00F62789" w:rsidRPr="006E4504">
              <w:rPr>
                <w:color w:val="808080" w:themeColor="background1" w:themeShade="80"/>
                <w:sz w:val="20"/>
                <w:szCs w:val="20"/>
                <w:lang w:val="en-GB"/>
              </w:rPr>
              <w:t>vs</w:t>
            </w:r>
            <w:r w:rsidRPr="006E4504">
              <w:rPr>
                <w:color w:val="808080" w:themeColor="background1" w:themeShade="80"/>
                <w:sz w:val="20"/>
                <w:szCs w:val="20"/>
                <w:lang w:val="en-GB"/>
              </w:rPr>
              <w:t xml:space="preserve"> </w:t>
            </w:r>
          </w:p>
          <w:p w14:paraId="2BCE008D" w14:textId="095EE43A" w:rsidR="00A12EBB" w:rsidRPr="006E4504" w:rsidRDefault="009A636F" w:rsidP="00F01FC9">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9 months</w:t>
            </w:r>
            <w:r w:rsidR="00655104" w:rsidRPr="006E4504">
              <w:rPr>
                <w:color w:val="808080" w:themeColor="background1" w:themeShade="80"/>
                <w:sz w:val="20"/>
                <w:szCs w:val="20"/>
                <w:vertAlign w:val="superscript"/>
                <w:lang w:val="en-GB"/>
              </w:rPr>
              <w:t>1</w:t>
            </w:r>
          </w:p>
        </w:tc>
      </w:tr>
      <w:tr w:rsidR="006E4504" w:rsidRPr="006E4504" w14:paraId="1EED6FFA" w14:textId="77777777" w:rsidTr="009A636F">
        <w:trPr>
          <w:trHeight w:val="255"/>
        </w:trPr>
        <w:tc>
          <w:tcPr>
            <w:tcW w:w="1984" w:type="dxa"/>
            <w:noWrap/>
            <w:hideMark/>
          </w:tcPr>
          <w:p w14:paraId="7A6D7D3E" w14:textId="15804494" w:rsidR="00A12EBB" w:rsidRPr="006E4504" w:rsidRDefault="009A636F" w:rsidP="00F01FC9">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ZBI score</w:t>
            </w:r>
          </w:p>
        </w:tc>
        <w:tc>
          <w:tcPr>
            <w:tcW w:w="1134" w:type="dxa"/>
            <w:noWrap/>
            <w:vAlign w:val="center"/>
          </w:tcPr>
          <w:p w14:paraId="556AAFAE" w14:textId="20EBBF72"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21.</w:t>
            </w:r>
            <w:r w:rsidR="00207011" w:rsidRPr="006E4504">
              <w:rPr>
                <w:color w:val="808080" w:themeColor="background1" w:themeShade="80"/>
                <w:sz w:val="20"/>
                <w:szCs w:val="20"/>
                <w:lang w:val="en-GB"/>
              </w:rPr>
              <w:t>1 (12.2)</w:t>
            </w:r>
          </w:p>
        </w:tc>
        <w:tc>
          <w:tcPr>
            <w:tcW w:w="1134" w:type="dxa"/>
            <w:noWrap/>
            <w:vAlign w:val="center"/>
          </w:tcPr>
          <w:p w14:paraId="78E27F4C" w14:textId="4C06C9FB" w:rsidR="00A12EBB" w:rsidRPr="006E4504" w:rsidRDefault="006C165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.8 (14.4)</w:t>
            </w:r>
          </w:p>
        </w:tc>
        <w:tc>
          <w:tcPr>
            <w:tcW w:w="1134" w:type="dxa"/>
            <w:noWrap/>
            <w:vAlign w:val="center"/>
          </w:tcPr>
          <w:p w14:paraId="243A85B1" w14:textId="1C00B08D" w:rsidR="00A12EBB" w:rsidRPr="006E4504" w:rsidRDefault="00743EA6"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25.</w:t>
            </w:r>
            <w:r w:rsidR="00207011" w:rsidRPr="006E4504">
              <w:rPr>
                <w:color w:val="808080" w:themeColor="background1" w:themeShade="80"/>
                <w:sz w:val="20"/>
                <w:szCs w:val="20"/>
                <w:lang w:val="en-GB"/>
              </w:rPr>
              <w:t>9 (15.8)</w:t>
            </w:r>
          </w:p>
        </w:tc>
        <w:tc>
          <w:tcPr>
            <w:tcW w:w="1134" w:type="dxa"/>
            <w:noWrap/>
            <w:vAlign w:val="center"/>
          </w:tcPr>
          <w:p w14:paraId="364F13E0" w14:textId="676EB4B5" w:rsidR="006C1656"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w:t>
            </w:r>
            <w:r w:rsidR="00CD7C36" w:rsidRPr="006E4504">
              <w:rPr>
                <w:color w:val="808080" w:themeColor="background1" w:themeShade="80"/>
                <w:sz w:val="20"/>
                <w:szCs w:val="20"/>
                <w:lang w:val="en-GB"/>
              </w:rPr>
              <w:t>18</w:t>
            </w:r>
          </w:p>
          <w:p w14:paraId="74278D2C" w14:textId="1EAB8D0E" w:rsidR="00A12EBB" w:rsidRPr="006E4504" w:rsidRDefault="006C1656" w:rsidP="006C1656">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c>
          <w:tcPr>
            <w:tcW w:w="1134" w:type="dxa"/>
            <w:noWrap/>
            <w:vAlign w:val="center"/>
          </w:tcPr>
          <w:p w14:paraId="383544D3" w14:textId="77777777" w:rsidR="00A12EBB"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-1.01</w:t>
            </w:r>
          </w:p>
          <w:p w14:paraId="2C5FC1D4" w14:textId="2AD33D32" w:rsidR="00D03633" w:rsidRPr="006E4504" w:rsidRDefault="00D03633" w:rsidP="00F01FC9">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p=0.363</w:t>
            </w:r>
          </w:p>
        </w:tc>
        <w:tc>
          <w:tcPr>
            <w:tcW w:w="1134" w:type="dxa"/>
            <w:noWrap/>
            <w:vAlign w:val="center"/>
          </w:tcPr>
          <w:p w14:paraId="5EB31AA8" w14:textId="1EA9D669" w:rsidR="00D03633"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-6.39</w:t>
            </w:r>
          </w:p>
          <w:p w14:paraId="709BAA9E" w14:textId="18127BA5" w:rsidR="00A12EBB" w:rsidRPr="006E4504" w:rsidRDefault="00D03633" w:rsidP="00D03633">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p&lt;0.001</w:t>
            </w:r>
          </w:p>
        </w:tc>
      </w:tr>
      <w:tr w:rsidR="006E4504" w:rsidRPr="006E4504" w14:paraId="23E26144" w14:textId="77777777" w:rsidTr="009A636F">
        <w:trPr>
          <w:trHeight w:val="255"/>
        </w:trPr>
        <w:tc>
          <w:tcPr>
            <w:tcW w:w="1984" w:type="dxa"/>
            <w:noWrap/>
            <w:hideMark/>
          </w:tcPr>
          <w:p w14:paraId="15ED97F9" w14:textId="09915908"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EQ-VAS score</w:t>
            </w:r>
          </w:p>
        </w:tc>
        <w:tc>
          <w:tcPr>
            <w:tcW w:w="1134" w:type="dxa"/>
            <w:noWrap/>
            <w:vAlign w:val="center"/>
          </w:tcPr>
          <w:p w14:paraId="56EBF03D" w14:textId="58FEF03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80.0</w:t>
            </w:r>
            <w:r w:rsidR="00207011" w:rsidRPr="006E4504">
              <w:rPr>
                <w:color w:val="808080" w:themeColor="background1" w:themeShade="80"/>
                <w:sz w:val="20"/>
                <w:szCs w:val="20"/>
                <w:lang w:val="en-GB"/>
              </w:rPr>
              <w:t xml:space="preserve"> (18.0)</w:t>
            </w:r>
          </w:p>
        </w:tc>
        <w:tc>
          <w:tcPr>
            <w:tcW w:w="1134" w:type="dxa"/>
            <w:noWrap/>
            <w:vAlign w:val="center"/>
          </w:tcPr>
          <w:p w14:paraId="346C4A9F" w14:textId="7F6D9871"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81.6</w:t>
            </w:r>
            <w:r w:rsidR="00207011" w:rsidRPr="006E4504">
              <w:rPr>
                <w:color w:val="808080" w:themeColor="background1" w:themeShade="80"/>
                <w:sz w:val="20"/>
                <w:szCs w:val="20"/>
                <w:lang w:val="en-GB"/>
              </w:rPr>
              <w:t xml:space="preserve"> (10.5)</w:t>
            </w:r>
          </w:p>
        </w:tc>
        <w:tc>
          <w:tcPr>
            <w:tcW w:w="1134" w:type="dxa"/>
            <w:noWrap/>
            <w:vAlign w:val="center"/>
          </w:tcPr>
          <w:p w14:paraId="39779645" w14:textId="7D0A871F"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80.1</w:t>
            </w:r>
            <w:r w:rsidR="00207011" w:rsidRPr="006E4504">
              <w:rPr>
                <w:color w:val="808080" w:themeColor="background1" w:themeShade="80"/>
                <w:sz w:val="20"/>
                <w:szCs w:val="20"/>
                <w:lang w:val="en-GB"/>
              </w:rPr>
              <w:t xml:space="preserve"> (16.5)</w:t>
            </w:r>
          </w:p>
        </w:tc>
        <w:tc>
          <w:tcPr>
            <w:tcW w:w="1134" w:type="dxa"/>
            <w:noWrap/>
            <w:vAlign w:val="center"/>
          </w:tcPr>
          <w:p w14:paraId="738589EF" w14:textId="528424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-1.77</w:t>
            </w:r>
          </w:p>
          <w:p w14:paraId="3BCCAD1C" w14:textId="2228B3B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p=0.355</w:t>
            </w:r>
          </w:p>
        </w:tc>
        <w:tc>
          <w:tcPr>
            <w:tcW w:w="1134" w:type="dxa"/>
            <w:noWrap/>
            <w:vAlign w:val="center"/>
          </w:tcPr>
          <w:p w14:paraId="381BA6C4" w14:textId="65AB14F5"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0.56</w:t>
            </w:r>
          </w:p>
          <w:p w14:paraId="3619CF0F" w14:textId="55CCEDDC"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p=0.769</w:t>
            </w:r>
          </w:p>
        </w:tc>
        <w:tc>
          <w:tcPr>
            <w:tcW w:w="1134" w:type="dxa"/>
            <w:noWrap/>
            <w:vAlign w:val="center"/>
          </w:tcPr>
          <w:p w14:paraId="0B448F08" w14:textId="04DB86C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p>
          <w:p w14:paraId="17293BA8" w14:textId="02D785E9"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p=0.743</w:t>
            </w:r>
          </w:p>
        </w:tc>
      </w:tr>
      <w:tr w:rsidR="006E4504" w:rsidRPr="006E4504" w14:paraId="50ED9D28" w14:textId="77777777" w:rsidTr="009A636F">
        <w:trPr>
          <w:trHeight w:val="255"/>
        </w:trPr>
        <w:tc>
          <w:tcPr>
            <w:tcW w:w="1984" w:type="dxa"/>
            <w:hideMark/>
          </w:tcPr>
          <w:p w14:paraId="3EBA4140" w14:textId="1E01038A" w:rsidR="00655104" w:rsidRPr="006E4504" w:rsidRDefault="00655104" w:rsidP="00655104">
            <w:pPr>
              <w:spacing w:after="0" w:line="276" w:lineRule="auto"/>
              <w:rPr>
                <w:color w:val="808080" w:themeColor="background1" w:themeShade="80"/>
                <w:sz w:val="20"/>
                <w:szCs w:val="20"/>
                <w:lang w:val="en-GB"/>
              </w:rPr>
            </w:pPr>
            <w:r w:rsidRPr="006E4504">
              <w:rPr>
                <w:color w:val="808080" w:themeColor="background1" w:themeShade="80"/>
                <w:sz w:val="20"/>
                <w:szCs w:val="20"/>
                <w:lang w:val="en-GB"/>
              </w:rPr>
              <w:t>EQ-5D score</w:t>
            </w:r>
          </w:p>
        </w:tc>
        <w:tc>
          <w:tcPr>
            <w:tcW w:w="1134" w:type="dxa"/>
            <w:noWrap/>
            <w:vAlign w:val="center"/>
          </w:tcPr>
          <w:p w14:paraId="0A65FC09" w14:textId="17EF241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(0.19)</w:t>
            </w:r>
          </w:p>
        </w:tc>
        <w:tc>
          <w:tcPr>
            <w:tcW w:w="1134" w:type="dxa"/>
            <w:noWrap/>
            <w:vAlign w:val="center"/>
          </w:tcPr>
          <w:p w14:paraId="05829933" w14:textId="3A37514D"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0.84</w:t>
            </w:r>
            <w:r w:rsidR="00207011" w:rsidRPr="006E4504">
              <w:rPr>
                <w:color w:val="808080" w:themeColor="background1" w:themeShade="80"/>
                <w:sz w:val="20"/>
                <w:szCs w:val="20"/>
                <w:lang w:val="en-GB"/>
              </w:rPr>
              <w:t xml:space="preserve"> (0.14)</w:t>
            </w:r>
          </w:p>
        </w:tc>
        <w:tc>
          <w:tcPr>
            <w:tcW w:w="1134" w:type="dxa"/>
            <w:noWrap/>
            <w:vAlign w:val="center"/>
          </w:tcPr>
          <w:p w14:paraId="7E3BE847" w14:textId="4FDA428C"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0.81</w:t>
            </w:r>
            <w:r w:rsidR="00207011" w:rsidRPr="006E4504">
              <w:rPr>
                <w:color w:val="808080" w:themeColor="background1" w:themeShade="80"/>
                <w:sz w:val="20"/>
                <w:szCs w:val="20"/>
                <w:lang w:val="en-GB"/>
              </w:rPr>
              <w:t xml:space="preserve"> (0.14)</w:t>
            </w:r>
          </w:p>
        </w:tc>
        <w:tc>
          <w:tcPr>
            <w:tcW w:w="1134" w:type="dxa"/>
            <w:noWrap/>
            <w:vAlign w:val="center"/>
          </w:tcPr>
          <w:p w14:paraId="25BF0145" w14:textId="56106712"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&lt;-0.01</w:t>
            </w:r>
          </w:p>
          <w:p w14:paraId="5B4AF92E" w14:textId="45F791D4"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p=0.703</w:t>
            </w:r>
          </w:p>
        </w:tc>
        <w:tc>
          <w:tcPr>
            <w:tcW w:w="1134" w:type="dxa"/>
            <w:noWrap/>
            <w:vAlign w:val="center"/>
          </w:tcPr>
          <w:p w14:paraId="44606947" w14:textId="32FAA776"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6646509F" w14:textId="076D6F45"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p=0.068</w:t>
            </w:r>
          </w:p>
        </w:tc>
        <w:tc>
          <w:tcPr>
            <w:tcW w:w="1134" w:type="dxa"/>
            <w:noWrap/>
            <w:vAlign w:val="center"/>
          </w:tcPr>
          <w:p w14:paraId="25F3F5B0" w14:textId="1FFA07F8" w:rsidR="00655104" w:rsidRPr="006E4504" w:rsidRDefault="00655104" w:rsidP="00655104">
            <w:pPr>
              <w:spacing w:after="0" w:line="276" w:lineRule="auto"/>
              <w:jc w:val="center"/>
              <w:rPr>
                <w:color w:val="808080" w:themeColor="background1" w:themeShade="80"/>
                <w:sz w:val="20"/>
                <w:szCs w:val="20"/>
                <w:lang w:val="en-GB"/>
              </w:rPr>
            </w:pPr>
            <w:r w:rsidRPr="006E4504">
              <w:rPr>
                <w:color w:val="808080" w:themeColor="background1" w:themeShade="80"/>
                <w:sz w:val="20"/>
                <w:szCs w:val="20"/>
                <w:lang w:val="en-GB"/>
              </w:rPr>
              <w:t>0.02</w:t>
            </w:r>
          </w:p>
          <w:p w14:paraId="328FC7B8" w14:textId="41484C1B" w:rsidR="00655104" w:rsidRPr="006E4504" w:rsidRDefault="00655104" w:rsidP="00655104">
            <w:pPr>
              <w:spacing w:after="0" w:line="276" w:lineRule="auto"/>
              <w:jc w:val="center"/>
              <w:rPr>
                <w:color w:val="808080" w:themeColor="background1" w:themeShade="80"/>
                <w:sz w:val="20"/>
                <w:szCs w:val="20"/>
              </w:rPr>
            </w:pPr>
            <w:r w:rsidRPr="006E4504">
              <w:rPr>
                <w:color w:val="808080" w:themeColor="background1" w:themeShade="80"/>
                <w:sz w:val="20"/>
                <w:szCs w:val="20"/>
                <w:lang w:val="en-GB"/>
              </w:rPr>
              <w:t>p=0.17</w:t>
            </w:r>
          </w:p>
        </w:tc>
      </w:tr>
    </w:tbl>
    <w:p w14:paraId="46B2F407" w14:textId="77777777" w:rsidR="00A12EBB" w:rsidRPr="006E4504" w:rsidRDefault="00A12EBB" w:rsidP="00A12EBB">
      <w:pPr>
        <w:pStyle w:val="BodyText"/>
        <w:rPr>
          <w:color w:val="808080" w:themeColor="background1" w:themeShade="80"/>
        </w:rPr>
      </w:pPr>
      <w:r w:rsidRPr="006E4504">
        <w:rPr>
          <w:color w:val="808080" w:themeColor="background1" w:themeShade="80"/>
        </w:rPr>
        <w:t>EQ-5D, EuroQol 5-dimension questionnaire; VAS, visual analog scale; ZBI, Zarit Burden Interview</w:t>
      </w:r>
    </w:p>
    <w:p w14:paraId="5A488AFB" w14:textId="7E1530FC" w:rsidR="00A12EBB" w:rsidRPr="006E4504" w:rsidRDefault="00A12EBB" w:rsidP="00655104">
      <w:pPr>
        <w:pStyle w:val="BodyText"/>
        <w:rPr>
          <w:color w:val="808080" w:themeColor="background1" w:themeShade="80"/>
        </w:rPr>
      </w:pPr>
      <w:r w:rsidRPr="006E4504">
        <w:rPr>
          <w:color w:val="808080" w:themeColor="background1" w:themeShade="80"/>
          <w:vertAlign w:val="superscript"/>
        </w:rPr>
        <w:t>1</w:t>
      </w:r>
      <w:r w:rsidRPr="006E4504">
        <w:rPr>
          <w:color w:val="808080" w:themeColor="background1" w:themeShade="80"/>
        </w:rPr>
        <w:t xml:space="preserve"> </w:t>
      </w:r>
      <w:r w:rsidR="00655104" w:rsidRPr="006E4504">
        <w:rPr>
          <w:color w:val="808080" w:themeColor="background1" w:themeShade="80"/>
        </w:rPr>
        <w:t>t-tests using complete data (N=68 for baseline vs 6 months, 62 for 6 months vs 9 months (61 for ZBI), and 66 for baseline vs 9 months (65 for ZBI))</w:t>
      </w:r>
    </w:p>
    <w:p w14:paraId="300EB653" w14:textId="63A97A9F" w:rsidR="00A12EBB" w:rsidRDefault="00A12EBB" w:rsidP="00A12EBB">
      <w:pPr>
        <w:pStyle w:val="Caption"/>
        <w:rPr>
          <w:szCs w:val="20"/>
        </w:rPr>
      </w:pPr>
      <w:r>
        <w:t xml:space="preserve">Table </w:t>
      </w:r>
      <w:r>
        <w:fldChar w:fldCharType="begin"/>
      </w:r>
      <w:r>
        <w:instrText xml:space="preserve"> SEQ Table \* ARABIC </w:instrText>
      </w:r>
      <w:r>
        <w:fldChar w:fldCharType="separate"/>
      </w:r>
      <w:r w:rsidR="00415D49">
        <w:rPr>
          <w:noProof/>
        </w:rPr>
        <w:t>4</w:t>
      </w:r>
      <w:r>
        <w:fldChar w:fldCharType="end"/>
      </w:r>
      <w:r>
        <w:t xml:space="preserve">. </w:t>
      </w:r>
      <w:r w:rsidR="006E4504" w:rsidRPr="006E4504">
        <w:t>Spearman correlation coefficients</w:t>
      </w:r>
      <w:r w:rsidR="006E4504" w:rsidRPr="006E4504">
        <w:t xml:space="preserve"> </w:t>
      </w:r>
      <w:r>
        <w:t xml:space="preserve">between caregiver </w:t>
      </w:r>
      <w:r w:rsidR="006E4504">
        <w:t>burden and quality of life</w:t>
      </w:r>
      <w:r>
        <w:rPr>
          <w:szCs w:val="20"/>
        </w:rPr>
        <w:t xml:space="preserve"> scores at baseline</w:t>
      </w:r>
      <w:r w:rsidR="006E4504">
        <w:rPr>
          <w:szCs w:val="20"/>
        </w:rPr>
        <w:t>,</w:t>
      </w:r>
      <w:r>
        <w:rPr>
          <w:szCs w:val="20"/>
        </w:rPr>
        <w:t xml:space="preserve"> </w:t>
      </w:r>
      <w:r w:rsidR="006E4504">
        <w:rPr>
          <w:szCs w:val="20"/>
        </w:rPr>
        <w:t>at</w:t>
      </w:r>
      <w:r>
        <w:rPr>
          <w:szCs w:val="20"/>
        </w:rPr>
        <w:t xml:space="preserve"> 9 months</w:t>
      </w:r>
      <w:r w:rsidR="006E4504">
        <w:rPr>
          <w:szCs w:val="20"/>
        </w:rPr>
        <w:t xml:space="preserve">, and </w:t>
      </w:r>
      <w:r w:rsidR="006E4504">
        <w:t>c</w:t>
      </w:r>
      <w:r w:rsidR="006E4504">
        <w:t>hange in score</w:t>
      </w:r>
      <w:r w:rsidR="006E4504">
        <w:t>s</w:t>
      </w:r>
      <w:r w:rsidR="006E4504">
        <w:t xml:space="preserve"> </w:t>
      </w:r>
      <w:r w:rsidR="006E4504">
        <w:t>between</w:t>
      </w:r>
      <w:r w:rsidR="006E4504">
        <w:t xml:space="preserve"> baseline </w:t>
      </w:r>
      <w:r w:rsidR="006E4504">
        <w:t>and</w:t>
      </w:r>
      <w:r w:rsidR="006E4504">
        <w:t xml:space="preserve"> 9 months</w:t>
      </w:r>
      <w:r>
        <w:rPr>
          <w:szCs w:val="20"/>
        </w:rPr>
        <w:t>.</w:t>
      </w:r>
    </w:p>
    <w:tbl>
      <w:tblPr>
        <w:tblStyle w:val="TableGrid"/>
        <w:tblW w:w="0" w:type="auto"/>
        <w:tblLook w:val="04A0" w:firstRow="1" w:lastRow="0" w:firstColumn="1" w:lastColumn="0" w:noHBand="0" w:noVBand="1"/>
      </w:tblPr>
      <w:tblGrid>
        <w:gridCol w:w="1984"/>
        <w:gridCol w:w="1158"/>
        <w:gridCol w:w="1134"/>
        <w:gridCol w:w="1158"/>
        <w:gridCol w:w="1134"/>
        <w:gridCol w:w="1158"/>
        <w:gridCol w:w="1134"/>
      </w:tblGrid>
      <w:tr w:rsidR="006E4504" w:rsidRPr="006E4504" w14:paraId="3589ED59" w14:textId="77777777" w:rsidTr="006E4504">
        <w:trPr>
          <w:trHeight w:val="283"/>
        </w:trPr>
        <w:tc>
          <w:tcPr>
            <w:tcW w:w="1984" w:type="dxa"/>
            <w:noWrap/>
            <w:vAlign w:val="center"/>
            <w:hideMark/>
          </w:tcPr>
          <w:p w14:paraId="0361F7DE" w14:textId="77777777" w:rsidR="006E4504" w:rsidRPr="006E4504" w:rsidRDefault="006E4504" w:rsidP="006E4504">
            <w:pPr>
              <w:spacing w:after="0" w:line="276" w:lineRule="auto"/>
              <w:jc w:val="left"/>
              <w:rPr>
                <w:sz w:val="20"/>
                <w:szCs w:val="20"/>
              </w:rPr>
            </w:pPr>
          </w:p>
        </w:tc>
        <w:tc>
          <w:tcPr>
            <w:tcW w:w="2292" w:type="dxa"/>
            <w:gridSpan w:val="2"/>
            <w:noWrap/>
            <w:vAlign w:val="center"/>
            <w:hideMark/>
          </w:tcPr>
          <w:p w14:paraId="125EDE5A" w14:textId="343815B6" w:rsidR="006E4504" w:rsidRPr="006E4504" w:rsidRDefault="006E4504" w:rsidP="006E4504">
            <w:pPr>
              <w:spacing w:after="0" w:line="276" w:lineRule="auto"/>
              <w:jc w:val="center"/>
              <w:rPr>
                <w:sz w:val="20"/>
                <w:szCs w:val="20"/>
              </w:rPr>
            </w:pPr>
            <w:r w:rsidRPr="006E4504">
              <w:rPr>
                <w:sz w:val="20"/>
                <w:szCs w:val="20"/>
              </w:rPr>
              <w:t>ZBI vs EQ-</w:t>
            </w:r>
            <w:r>
              <w:rPr>
                <w:sz w:val="20"/>
                <w:szCs w:val="20"/>
              </w:rPr>
              <w:t>5D</w:t>
            </w:r>
          </w:p>
        </w:tc>
        <w:tc>
          <w:tcPr>
            <w:tcW w:w="2292" w:type="dxa"/>
            <w:gridSpan w:val="2"/>
            <w:noWrap/>
            <w:vAlign w:val="center"/>
            <w:hideMark/>
          </w:tcPr>
          <w:p w14:paraId="6F5E248D" w14:textId="5FBB29EA" w:rsidR="006E4504" w:rsidRPr="006E4504" w:rsidRDefault="006E4504" w:rsidP="006E4504">
            <w:pPr>
              <w:spacing w:after="0" w:line="276" w:lineRule="auto"/>
              <w:jc w:val="center"/>
              <w:rPr>
                <w:sz w:val="20"/>
                <w:szCs w:val="20"/>
              </w:rPr>
            </w:pPr>
            <w:r w:rsidRPr="006E4504">
              <w:rPr>
                <w:sz w:val="20"/>
                <w:szCs w:val="20"/>
              </w:rPr>
              <w:t>ZBI vs EQ-</w:t>
            </w:r>
            <w:r>
              <w:rPr>
                <w:sz w:val="20"/>
                <w:szCs w:val="20"/>
              </w:rPr>
              <w:t>VAS</w:t>
            </w:r>
          </w:p>
        </w:tc>
        <w:tc>
          <w:tcPr>
            <w:tcW w:w="2292" w:type="dxa"/>
            <w:gridSpan w:val="2"/>
            <w:noWrap/>
            <w:vAlign w:val="center"/>
            <w:hideMark/>
          </w:tcPr>
          <w:p w14:paraId="51834F66" w14:textId="2C19E7FB" w:rsidR="006E4504" w:rsidRPr="006E4504" w:rsidRDefault="006E4504" w:rsidP="006E4504">
            <w:pPr>
              <w:spacing w:after="0" w:line="276" w:lineRule="auto"/>
              <w:jc w:val="center"/>
              <w:rPr>
                <w:sz w:val="20"/>
                <w:szCs w:val="20"/>
              </w:rPr>
            </w:pPr>
            <w:r w:rsidRPr="006E4504">
              <w:rPr>
                <w:sz w:val="20"/>
                <w:szCs w:val="20"/>
              </w:rPr>
              <w:t>EQ-</w:t>
            </w:r>
            <w:r>
              <w:rPr>
                <w:sz w:val="20"/>
                <w:szCs w:val="20"/>
              </w:rPr>
              <w:t>5D</w:t>
            </w:r>
            <w:r w:rsidRPr="006E4504">
              <w:rPr>
                <w:sz w:val="20"/>
                <w:szCs w:val="20"/>
              </w:rPr>
              <w:t xml:space="preserve"> vs EQ-</w:t>
            </w:r>
            <w:r>
              <w:rPr>
                <w:sz w:val="20"/>
                <w:szCs w:val="20"/>
              </w:rPr>
              <w:t>VAS</w:t>
            </w:r>
          </w:p>
        </w:tc>
      </w:tr>
      <w:tr w:rsidR="006E4504" w:rsidRPr="006E4504" w14:paraId="4765783D" w14:textId="77777777" w:rsidTr="006E4504">
        <w:trPr>
          <w:trHeight w:val="283"/>
        </w:trPr>
        <w:tc>
          <w:tcPr>
            <w:tcW w:w="1984" w:type="dxa"/>
            <w:noWrap/>
            <w:vAlign w:val="center"/>
            <w:hideMark/>
          </w:tcPr>
          <w:p w14:paraId="07633B63" w14:textId="1186AD5F" w:rsidR="006E4504" w:rsidRPr="006E4504" w:rsidRDefault="006E4504" w:rsidP="006E4504">
            <w:pPr>
              <w:spacing w:after="0" w:line="276" w:lineRule="auto"/>
              <w:jc w:val="left"/>
              <w:rPr>
                <w:sz w:val="20"/>
                <w:szCs w:val="20"/>
              </w:rPr>
            </w:pPr>
          </w:p>
        </w:tc>
        <w:tc>
          <w:tcPr>
            <w:tcW w:w="1158" w:type="dxa"/>
            <w:noWrap/>
            <w:vAlign w:val="center"/>
            <w:hideMark/>
          </w:tcPr>
          <w:p w14:paraId="04EA0675"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106608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0CB26427"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32B8F3BA" w14:textId="77777777" w:rsidR="006E4504" w:rsidRPr="006E4504" w:rsidRDefault="006E4504" w:rsidP="006E4504">
            <w:pPr>
              <w:spacing w:after="0" w:line="276" w:lineRule="auto"/>
              <w:jc w:val="center"/>
              <w:rPr>
                <w:sz w:val="20"/>
                <w:szCs w:val="20"/>
              </w:rPr>
            </w:pPr>
            <w:r w:rsidRPr="006E4504">
              <w:rPr>
                <w:sz w:val="20"/>
                <w:szCs w:val="20"/>
              </w:rPr>
              <w:t>P-value</w:t>
            </w:r>
          </w:p>
        </w:tc>
        <w:tc>
          <w:tcPr>
            <w:tcW w:w="1158" w:type="dxa"/>
            <w:noWrap/>
            <w:vAlign w:val="center"/>
            <w:hideMark/>
          </w:tcPr>
          <w:p w14:paraId="7C6AEBF3" w14:textId="77777777" w:rsidR="006E4504" w:rsidRPr="006E4504" w:rsidRDefault="006E4504" w:rsidP="006E4504">
            <w:pPr>
              <w:spacing w:after="0" w:line="276" w:lineRule="auto"/>
              <w:jc w:val="center"/>
              <w:rPr>
                <w:sz w:val="20"/>
                <w:szCs w:val="20"/>
              </w:rPr>
            </w:pPr>
            <w:r w:rsidRPr="006E4504">
              <w:rPr>
                <w:sz w:val="20"/>
                <w:szCs w:val="20"/>
              </w:rPr>
              <w:t>Coefficient</w:t>
            </w:r>
          </w:p>
        </w:tc>
        <w:tc>
          <w:tcPr>
            <w:tcW w:w="1134" w:type="dxa"/>
            <w:noWrap/>
            <w:vAlign w:val="center"/>
            <w:hideMark/>
          </w:tcPr>
          <w:p w14:paraId="2CEAD120" w14:textId="77777777" w:rsidR="006E4504" w:rsidRPr="006E4504" w:rsidRDefault="006E4504" w:rsidP="006E4504">
            <w:pPr>
              <w:spacing w:after="0" w:line="276" w:lineRule="auto"/>
              <w:jc w:val="center"/>
              <w:rPr>
                <w:sz w:val="20"/>
                <w:szCs w:val="20"/>
              </w:rPr>
            </w:pPr>
            <w:r w:rsidRPr="006E4504">
              <w:rPr>
                <w:sz w:val="20"/>
                <w:szCs w:val="20"/>
              </w:rPr>
              <w:t>P-value</w:t>
            </w:r>
          </w:p>
        </w:tc>
      </w:tr>
      <w:tr w:rsidR="006E4504" w:rsidRPr="006E4504" w14:paraId="0DDD1C07" w14:textId="77777777" w:rsidTr="006E4504">
        <w:trPr>
          <w:trHeight w:val="283"/>
        </w:trPr>
        <w:tc>
          <w:tcPr>
            <w:tcW w:w="1984" w:type="dxa"/>
            <w:noWrap/>
            <w:vAlign w:val="center"/>
            <w:hideMark/>
          </w:tcPr>
          <w:p w14:paraId="1AC29E2B" w14:textId="188808D5" w:rsidR="006E4504" w:rsidRPr="006E4504" w:rsidRDefault="006E4504" w:rsidP="006E4504">
            <w:pPr>
              <w:spacing w:after="0" w:line="276" w:lineRule="auto"/>
              <w:jc w:val="left"/>
              <w:rPr>
                <w:sz w:val="20"/>
                <w:szCs w:val="20"/>
              </w:rPr>
            </w:pPr>
            <w:r w:rsidRPr="006E4504">
              <w:rPr>
                <w:sz w:val="20"/>
                <w:szCs w:val="20"/>
              </w:rPr>
              <w:t>Baseline score</w:t>
            </w:r>
            <w:r>
              <w:rPr>
                <w:sz w:val="20"/>
                <w:szCs w:val="20"/>
              </w:rPr>
              <w:t xml:space="preserve"> vs baseline score</w:t>
            </w:r>
          </w:p>
        </w:tc>
        <w:tc>
          <w:tcPr>
            <w:tcW w:w="1158" w:type="dxa"/>
            <w:noWrap/>
            <w:vAlign w:val="center"/>
            <w:hideMark/>
          </w:tcPr>
          <w:p w14:paraId="373AA194" w14:textId="77777777" w:rsidR="006E4504" w:rsidRPr="006E4504" w:rsidRDefault="006E4504" w:rsidP="006E4504">
            <w:pPr>
              <w:spacing w:after="0" w:line="276" w:lineRule="auto"/>
              <w:jc w:val="center"/>
              <w:rPr>
                <w:sz w:val="20"/>
                <w:szCs w:val="20"/>
              </w:rPr>
            </w:pPr>
            <w:r w:rsidRPr="006E4504">
              <w:rPr>
                <w:sz w:val="20"/>
                <w:szCs w:val="20"/>
              </w:rPr>
              <w:t>-0.198</w:t>
            </w:r>
          </w:p>
        </w:tc>
        <w:tc>
          <w:tcPr>
            <w:tcW w:w="1134" w:type="dxa"/>
            <w:noWrap/>
            <w:vAlign w:val="center"/>
            <w:hideMark/>
          </w:tcPr>
          <w:p w14:paraId="5F5568F4" w14:textId="77777777" w:rsidR="006E4504" w:rsidRPr="006E4504" w:rsidRDefault="006E4504" w:rsidP="006E4504">
            <w:pPr>
              <w:spacing w:after="0" w:line="276" w:lineRule="auto"/>
              <w:jc w:val="center"/>
              <w:rPr>
                <w:sz w:val="20"/>
                <w:szCs w:val="20"/>
              </w:rPr>
            </w:pPr>
            <w:r w:rsidRPr="006E4504">
              <w:rPr>
                <w:sz w:val="20"/>
                <w:szCs w:val="20"/>
              </w:rPr>
              <w:t>0.069</w:t>
            </w:r>
          </w:p>
        </w:tc>
        <w:tc>
          <w:tcPr>
            <w:tcW w:w="1158" w:type="dxa"/>
            <w:noWrap/>
            <w:vAlign w:val="center"/>
            <w:hideMark/>
          </w:tcPr>
          <w:p w14:paraId="6AA84FB3" w14:textId="77777777" w:rsidR="006E4504" w:rsidRPr="006E4504" w:rsidRDefault="006E4504" w:rsidP="006E4504">
            <w:pPr>
              <w:spacing w:after="0" w:line="276" w:lineRule="auto"/>
              <w:jc w:val="center"/>
              <w:rPr>
                <w:sz w:val="20"/>
                <w:szCs w:val="20"/>
              </w:rPr>
            </w:pPr>
            <w:r w:rsidRPr="006E4504">
              <w:rPr>
                <w:sz w:val="20"/>
                <w:szCs w:val="20"/>
              </w:rPr>
              <w:t>-0.210</w:t>
            </w:r>
          </w:p>
        </w:tc>
        <w:tc>
          <w:tcPr>
            <w:tcW w:w="1134" w:type="dxa"/>
            <w:noWrap/>
            <w:vAlign w:val="center"/>
            <w:hideMark/>
          </w:tcPr>
          <w:p w14:paraId="560677EB" w14:textId="77777777" w:rsidR="006E4504" w:rsidRPr="006E4504" w:rsidRDefault="006E4504" w:rsidP="006E4504">
            <w:pPr>
              <w:spacing w:after="0" w:line="276" w:lineRule="auto"/>
              <w:jc w:val="center"/>
              <w:rPr>
                <w:sz w:val="20"/>
                <w:szCs w:val="20"/>
              </w:rPr>
            </w:pPr>
            <w:r w:rsidRPr="006E4504">
              <w:rPr>
                <w:sz w:val="20"/>
                <w:szCs w:val="20"/>
              </w:rPr>
              <w:t>0.054</w:t>
            </w:r>
          </w:p>
        </w:tc>
        <w:tc>
          <w:tcPr>
            <w:tcW w:w="1158" w:type="dxa"/>
            <w:noWrap/>
            <w:vAlign w:val="center"/>
            <w:hideMark/>
          </w:tcPr>
          <w:p w14:paraId="51334FCE" w14:textId="77777777" w:rsidR="006E4504" w:rsidRPr="006E4504" w:rsidRDefault="006E4504" w:rsidP="006E4504">
            <w:pPr>
              <w:spacing w:after="0" w:line="276" w:lineRule="auto"/>
              <w:jc w:val="center"/>
              <w:rPr>
                <w:sz w:val="20"/>
                <w:szCs w:val="20"/>
              </w:rPr>
            </w:pPr>
            <w:r w:rsidRPr="006E4504">
              <w:rPr>
                <w:sz w:val="20"/>
                <w:szCs w:val="20"/>
              </w:rPr>
              <w:t>0.191</w:t>
            </w:r>
          </w:p>
        </w:tc>
        <w:tc>
          <w:tcPr>
            <w:tcW w:w="1134" w:type="dxa"/>
            <w:noWrap/>
            <w:vAlign w:val="center"/>
            <w:hideMark/>
          </w:tcPr>
          <w:p w14:paraId="38897F15" w14:textId="77777777" w:rsidR="006E4504" w:rsidRPr="006E4504" w:rsidRDefault="006E4504" w:rsidP="006E4504">
            <w:pPr>
              <w:spacing w:after="0" w:line="276" w:lineRule="auto"/>
              <w:jc w:val="center"/>
              <w:rPr>
                <w:sz w:val="20"/>
                <w:szCs w:val="20"/>
              </w:rPr>
            </w:pPr>
            <w:r w:rsidRPr="006E4504">
              <w:rPr>
                <w:sz w:val="20"/>
                <w:szCs w:val="20"/>
              </w:rPr>
              <w:t>0.080</w:t>
            </w:r>
          </w:p>
        </w:tc>
      </w:tr>
      <w:tr w:rsidR="006E4504" w:rsidRPr="006E4504" w14:paraId="5EBC998E" w14:textId="77777777" w:rsidTr="006E4504">
        <w:trPr>
          <w:trHeight w:val="283"/>
        </w:trPr>
        <w:tc>
          <w:tcPr>
            <w:tcW w:w="1984" w:type="dxa"/>
            <w:noWrap/>
            <w:vAlign w:val="center"/>
            <w:hideMark/>
          </w:tcPr>
          <w:p w14:paraId="7688F262" w14:textId="6223DD71" w:rsidR="006E4504" w:rsidRPr="006E4504" w:rsidRDefault="006E4504" w:rsidP="006E4504">
            <w:pPr>
              <w:spacing w:after="0" w:line="276" w:lineRule="auto"/>
              <w:jc w:val="left"/>
              <w:rPr>
                <w:sz w:val="20"/>
                <w:szCs w:val="20"/>
              </w:rPr>
            </w:pPr>
            <w:r w:rsidRPr="006E4504">
              <w:rPr>
                <w:sz w:val="20"/>
                <w:szCs w:val="20"/>
              </w:rPr>
              <w:t>9 months score</w:t>
            </w:r>
            <w:r>
              <w:rPr>
                <w:sz w:val="20"/>
                <w:szCs w:val="20"/>
              </w:rPr>
              <w:t xml:space="preserve"> vs 9 months score</w:t>
            </w:r>
          </w:p>
        </w:tc>
        <w:tc>
          <w:tcPr>
            <w:tcW w:w="1158" w:type="dxa"/>
            <w:noWrap/>
            <w:vAlign w:val="center"/>
            <w:hideMark/>
          </w:tcPr>
          <w:p w14:paraId="7EC7A27E" w14:textId="77777777" w:rsidR="006E4504" w:rsidRPr="006E4504" w:rsidRDefault="006E4504" w:rsidP="006E4504">
            <w:pPr>
              <w:spacing w:after="0" w:line="276" w:lineRule="auto"/>
              <w:jc w:val="center"/>
              <w:rPr>
                <w:sz w:val="20"/>
                <w:szCs w:val="20"/>
              </w:rPr>
            </w:pPr>
            <w:r w:rsidRPr="006E4504">
              <w:rPr>
                <w:sz w:val="20"/>
                <w:szCs w:val="20"/>
              </w:rPr>
              <w:t>-0.382</w:t>
            </w:r>
          </w:p>
        </w:tc>
        <w:tc>
          <w:tcPr>
            <w:tcW w:w="1134" w:type="dxa"/>
            <w:noWrap/>
            <w:vAlign w:val="center"/>
            <w:hideMark/>
          </w:tcPr>
          <w:p w14:paraId="4BB1B695" w14:textId="77777777" w:rsidR="006E4504" w:rsidRPr="006E4504" w:rsidRDefault="006E4504" w:rsidP="006E4504">
            <w:pPr>
              <w:spacing w:after="0" w:line="276" w:lineRule="auto"/>
              <w:jc w:val="center"/>
              <w:rPr>
                <w:sz w:val="20"/>
                <w:szCs w:val="20"/>
              </w:rPr>
            </w:pPr>
            <w:r w:rsidRPr="006E4504">
              <w:rPr>
                <w:sz w:val="20"/>
                <w:szCs w:val="20"/>
              </w:rPr>
              <w:t>0.002</w:t>
            </w:r>
          </w:p>
        </w:tc>
        <w:tc>
          <w:tcPr>
            <w:tcW w:w="1158" w:type="dxa"/>
            <w:noWrap/>
            <w:vAlign w:val="center"/>
            <w:hideMark/>
          </w:tcPr>
          <w:p w14:paraId="7BB640E0" w14:textId="77777777" w:rsidR="006E4504" w:rsidRPr="006E4504" w:rsidRDefault="006E4504" w:rsidP="006E4504">
            <w:pPr>
              <w:spacing w:after="0" w:line="276" w:lineRule="auto"/>
              <w:jc w:val="center"/>
              <w:rPr>
                <w:sz w:val="20"/>
                <w:szCs w:val="20"/>
              </w:rPr>
            </w:pPr>
            <w:r w:rsidRPr="006E4504">
              <w:rPr>
                <w:sz w:val="20"/>
                <w:szCs w:val="20"/>
              </w:rPr>
              <w:t>-0.273</w:t>
            </w:r>
          </w:p>
        </w:tc>
        <w:tc>
          <w:tcPr>
            <w:tcW w:w="1134" w:type="dxa"/>
            <w:noWrap/>
            <w:vAlign w:val="center"/>
            <w:hideMark/>
          </w:tcPr>
          <w:p w14:paraId="19E3CDE9" w14:textId="77777777" w:rsidR="006E4504" w:rsidRPr="006E4504" w:rsidRDefault="006E4504" w:rsidP="006E4504">
            <w:pPr>
              <w:spacing w:after="0" w:line="276" w:lineRule="auto"/>
              <w:jc w:val="center"/>
              <w:rPr>
                <w:sz w:val="20"/>
                <w:szCs w:val="20"/>
              </w:rPr>
            </w:pPr>
            <w:r w:rsidRPr="006E4504">
              <w:rPr>
                <w:sz w:val="20"/>
                <w:szCs w:val="20"/>
              </w:rPr>
              <w:t>0.028</w:t>
            </w:r>
          </w:p>
        </w:tc>
        <w:tc>
          <w:tcPr>
            <w:tcW w:w="1158" w:type="dxa"/>
            <w:noWrap/>
            <w:vAlign w:val="center"/>
            <w:hideMark/>
          </w:tcPr>
          <w:p w14:paraId="535F12C6" w14:textId="77777777" w:rsidR="006E4504" w:rsidRPr="006E4504" w:rsidRDefault="006E4504" w:rsidP="006E4504">
            <w:pPr>
              <w:spacing w:after="0" w:line="276" w:lineRule="auto"/>
              <w:jc w:val="center"/>
              <w:rPr>
                <w:sz w:val="20"/>
                <w:szCs w:val="20"/>
              </w:rPr>
            </w:pPr>
            <w:r w:rsidRPr="006E4504">
              <w:rPr>
                <w:sz w:val="20"/>
                <w:szCs w:val="20"/>
              </w:rPr>
              <w:t>0.527</w:t>
            </w:r>
          </w:p>
        </w:tc>
        <w:tc>
          <w:tcPr>
            <w:tcW w:w="1134" w:type="dxa"/>
            <w:noWrap/>
            <w:vAlign w:val="center"/>
            <w:hideMark/>
          </w:tcPr>
          <w:p w14:paraId="01601970" w14:textId="77777777" w:rsidR="006E4504" w:rsidRPr="006E4504" w:rsidRDefault="006E4504" w:rsidP="006E4504">
            <w:pPr>
              <w:spacing w:after="0" w:line="276" w:lineRule="auto"/>
              <w:jc w:val="center"/>
              <w:rPr>
                <w:sz w:val="20"/>
                <w:szCs w:val="20"/>
              </w:rPr>
            </w:pPr>
            <w:r w:rsidRPr="006E4504">
              <w:rPr>
                <w:sz w:val="20"/>
                <w:szCs w:val="20"/>
              </w:rPr>
              <w:t>0.000</w:t>
            </w:r>
          </w:p>
        </w:tc>
      </w:tr>
      <w:tr w:rsidR="006E4504" w:rsidRPr="006E4504" w14:paraId="62C2E0D3" w14:textId="77777777" w:rsidTr="006E4504">
        <w:trPr>
          <w:trHeight w:val="283"/>
        </w:trPr>
        <w:tc>
          <w:tcPr>
            <w:tcW w:w="1984" w:type="dxa"/>
            <w:noWrap/>
            <w:vAlign w:val="center"/>
            <w:hideMark/>
          </w:tcPr>
          <w:p w14:paraId="045BBB73" w14:textId="3A817204" w:rsidR="006E4504" w:rsidRPr="006E4504" w:rsidRDefault="006E4504" w:rsidP="006E4504">
            <w:pPr>
              <w:spacing w:after="0" w:line="276" w:lineRule="auto"/>
              <w:jc w:val="left"/>
              <w:rPr>
                <w:sz w:val="20"/>
                <w:szCs w:val="20"/>
              </w:rPr>
            </w:pPr>
            <w:r w:rsidRPr="006E4504">
              <w:rPr>
                <w:sz w:val="20"/>
                <w:szCs w:val="20"/>
              </w:rPr>
              <w:t>Change in score</w:t>
            </w:r>
            <w:r>
              <w:rPr>
                <w:sz w:val="20"/>
                <w:szCs w:val="20"/>
              </w:rPr>
              <w:t xml:space="preserve"> vs change in score</w:t>
            </w:r>
          </w:p>
        </w:tc>
        <w:tc>
          <w:tcPr>
            <w:tcW w:w="1158" w:type="dxa"/>
            <w:noWrap/>
            <w:vAlign w:val="center"/>
            <w:hideMark/>
          </w:tcPr>
          <w:p w14:paraId="4E32E811" w14:textId="77777777" w:rsidR="006E4504" w:rsidRPr="006E4504" w:rsidRDefault="006E4504" w:rsidP="006E4504">
            <w:pPr>
              <w:spacing w:after="0" w:line="276" w:lineRule="auto"/>
              <w:jc w:val="center"/>
              <w:rPr>
                <w:sz w:val="20"/>
                <w:szCs w:val="20"/>
              </w:rPr>
            </w:pPr>
            <w:r w:rsidRPr="006E4504">
              <w:rPr>
                <w:sz w:val="20"/>
                <w:szCs w:val="20"/>
              </w:rPr>
              <w:t>-0.296</w:t>
            </w:r>
          </w:p>
        </w:tc>
        <w:tc>
          <w:tcPr>
            <w:tcW w:w="1134" w:type="dxa"/>
            <w:noWrap/>
            <w:vAlign w:val="center"/>
            <w:hideMark/>
          </w:tcPr>
          <w:p w14:paraId="11FDC459" w14:textId="77777777" w:rsidR="006E4504" w:rsidRPr="006E4504" w:rsidRDefault="006E4504" w:rsidP="006E4504">
            <w:pPr>
              <w:spacing w:after="0" w:line="276" w:lineRule="auto"/>
              <w:jc w:val="center"/>
              <w:rPr>
                <w:sz w:val="20"/>
                <w:szCs w:val="20"/>
              </w:rPr>
            </w:pPr>
            <w:r w:rsidRPr="006E4504">
              <w:rPr>
                <w:sz w:val="20"/>
                <w:szCs w:val="20"/>
              </w:rPr>
              <w:t>0.017</w:t>
            </w:r>
          </w:p>
        </w:tc>
        <w:tc>
          <w:tcPr>
            <w:tcW w:w="1158" w:type="dxa"/>
            <w:noWrap/>
            <w:vAlign w:val="center"/>
            <w:hideMark/>
          </w:tcPr>
          <w:p w14:paraId="4F623A96" w14:textId="77777777" w:rsidR="006E4504" w:rsidRPr="006E4504" w:rsidRDefault="006E4504" w:rsidP="006E4504">
            <w:pPr>
              <w:spacing w:after="0" w:line="276" w:lineRule="auto"/>
              <w:jc w:val="center"/>
              <w:rPr>
                <w:sz w:val="20"/>
                <w:szCs w:val="20"/>
              </w:rPr>
            </w:pPr>
            <w:r w:rsidRPr="006E4504">
              <w:rPr>
                <w:sz w:val="20"/>
                <w:szCs w:val="20"/>
              </w:rPr>
              <w:t>-0.082</w:t>
            </w:r>
          </w:p>
        </w:tc>
        <w:tc>
          <w:tcPr>
            <w:tcW w:w="1134" w:type="dxa"/>
            <w:noWrap/>
            <w:vAlign w:val="center"/>
            <w:hideMark/>
          </w:tcPr>
          <w:p w14:paraId="066E6570" w14:textId="77777777" w:rsidR="006E4504" w:rsidRPr="006E4504" w:rsidRDefault="006E4504" w:rsidP="006E4504">
            <w:pPr>
              <w:spacing w:after="0" w:line="276" w:lineRule="auto"/>
              <w:jc w:val="center"/>
              <w:rPr>
                <w:sz w:val="20"/>
                <w:szCs w:val="20"/>
              </w:rPr>
            </w:pPr>
            <w:r w:rsidRPr="006E4504">
              <w:rPr>
                <w:sz w:val="20"/>
                <w:szCs w:val="20"/>
              </w:rPr>
              <w:t>0.519</w:t>
            </w:r>
          </w:p>
        </w:tc>
        <w:tc>
          <w:tcPr>
            <w:tcW w:w="1158" w:type="dxa"/>
            <w:noWrap/>
            <w:vAlign w:val="center"/>
            <w:hideMark/>
          </w:tcPr>
          <w:p w14:paraId="54361E1A" w14:textId="77777777" w:rsidR="006E4504" w:rsidRPr="006E4504" w:rsidRDefault="006E4504" w:rsidP="006E4504">
            <w:pPr>
              <w:spacing w:after="0" w:line="276" w:lineRule="auto"/>
              <w:jc w:val="center"/>
              <w:rPr>
                <w:sz w:val="20"/>
                <w:szCs w:val="20"/>
              </w:rPr>
            </w:pPr>
            <w:r w:rsidRPr="006E4504">
              <w:rPr>
                <w:sz w:val="20"/>
                <w:szCs w:val="20"/>
              </w:rPr>
              <w:t>0.386</w:t>
            </w:r>
          </w:p>
        </w:tc>
        <w:tc>
          <w:tcPr>
            <w:tcW w:w="1134" w:type="dxa"/>
            <w:noWrap/>
            <w:vAlign w:val="center"/>
            <w:hideMark/>
          </w:tcPr>
          <w:p w14:paraId="3B2DAFED" w14:textId="77777777" w:rsidR="006E4504" w:rsidRPr="006E4504" w:rsidRDefault="006E4504" w:rsidP="006E4504">
            <w:pPr>
              <w:spacing w:after="0" w:line="276" w:lineRule="auto"/>
              <w:jc w:val="center"/>
              <w:rPr>
                <w:sz w:val="20"/>
                <w:szCs w:val="20"/>
              </w:rPr>
            </w:pPr>
            <w:r w:rsidRPr="006E4504">
              <w:rPr>
                <w:sz w:val="20"/>
                <w:szCs w:val="20"/>
              </w:rPr>
              <w:t>0.001</w:t>
            </w:r>
          </w:p>
        </w:tc>
      </w:tr>
    </w:tbl>
    <w:p w14:paraId="5EBAE34A" w14:textId="77D21CE5" w:rsidR="006E4504" w:rsidRPr="006E4504" w:rsidRDefault="00A12EBB" w:rsidP="006E4504">
      <w:pPr>
        <w:pStyle w:val="BodyText"/>
      </w:pPr>
      <w:r>
        <w:t xml:space="preserve">EQ-5D, EuroQol 5-dimension; </w:t>
      </w:r>
      <w:r w:rsidR="006E4504">
        <w:t>EQ-</w:t>
      </w:r>
      <w:r w:rsidR="006E4504">
        <w:t xml:space="preserve">VAS, EuroQol </w:t>
      </w:r>
      <w:r w:rsidR="006E4504">
        <w:t xml:space="preserve">visual </w:t>
      </w:r>
      <w:r>
        <w:t>analog scale; ZBI, Zarit Burden Interview</w:t>
      </w:r>
      <w:r w:rsidR="006E4504">
        <w:t>.</w:t>
      </w:r>
    </w:p>
    <w:sectPr w:rsidR="006E4504" w:rsidRPr="006E4504" w:rsidSect="007D5C7D">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55A66" w14:textId="77777777" w:rsidR="00E10CA8" w:rsidRDefault="00E10CA8" w:rsidP="006A7555">
      <w:pPr>
        <w:spacing w:after="0" w:line="240" w:lineRule="auto"/>
      </w:pPr>
      <w:r>
        <w:separator/>
      </w:r>
    </w:p>
  </w:endnote>
  <w:endnote w:type="continuationSeparator" w:id="0">
    <w:p w14:paraId="638CFF7D" w14:textId="77777777" w:rsidR="00E10CA8" w:rsidRDefault="00E10CA8" w:rsidP="006A7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A71A3" w14:textId="77777777" w:rsidR="00E10CA8" w:rsidRDefault="00E10CA8" w:rsidP="006A7555">
      <w:pPr>
        <w:spacing w:after="0" w:line="240" w:lineRule="auto"/>
      </w:pPr>
      <w:r>
        <w:separator/>
      </w:r>
    </w:p>
  </w:footnote>
  <w:footnote w:type="continuationSeparator" w:id="0">
    <w:p w14:paraId="5565D240" w14:textId="77777777" w:rsidR="00E10CA8" w:rsidRDefault="00E10CA8" w:rsidP="006A7555">
      <w:pPr>
        <w:spacing w:after="0" w:line="240" w:lineRule="auto"/>
      </w:pPr>
      <w:r>
        <w:continuationSeparator/>
      </w:r>
    </w:p>
  </w:footnote>
  <w:footnote w:id="1">
    <w:p w14:paraId="55B20C15" w14:textId="77777777" w:rsidR="00334CEE" w:rsidRDefault="00334CEE" w:rsidP="000A6889">
      <w:pPr>
        <w:pStyle w:val="FootnoteText"/>
      </w:pPr>
      <w:r>
        <w:rPr>
          <w:rStyle w:val="FootnoteReference"/>
        </w:rPr>
        <w:footnoteRef/>
      </w:r>
      <w:r>
        <w:t xml:space="preserve"> </w:t>
      </w:r>
      <w:r w:rsidRPr="006A7555">
        <w:t xml:space="preserve">Ponzio, M., </w:t>
      </w:r>
      <w:proofErr w:type="spellStart"/>
      <w:r w:rsidRPr="006A7555">
        <w:t>Tacchino</w:t>
      </w:r>
      <w:proofErr w:type="spellEnd"/>
      <w:r w:rsidRPr="006A7555">
        <w:t xml:space="preserve">, A., </w:t>
      </w:r>
      <w:proofErr w:type="spellStart"/>
      <w:r w:rsidRPr="006A7555">
        <w:t>Verri</w:t>
      </w:r>
      <w:proofErr w:type="spellEnd"/>
      <w:r w:rsidRPr="006A7555">
        <w:t xml:space="preserve">, A. et al. Profile and burden of the family caregiver: the caring experience in multiple sclerosis. An observational study. BMC </w:t>
      </w:r>
      <w:proofErr w:type="spellStart"/>
      <w:r w:rsidRPr="006A7555">
        <w:t>Psychol</w:t>
      </w:r>
      <w:proofErr w:type="spellEnd"/>
      <w:r w:rsidRPr="006A7555">
        <w:t xml:space="preserve"> 12, 173 (2024). https://doi.org/10.1186/s40359-024-01678-w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7CA3"/>
    <w:multiLevelType w:val="hybridMultilevel"/>
    <w:tmpl w:val="B9DA8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B46D1A"/>
    <w:multiLevelType w:val="hybridMultilevel"/>
    <w:tmpl w:val="B4001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CC2B6B"/>
    <w:multiLevelType w:val="hybridMultilevel"/>
    <w:tmpl w:val="D7F8D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6D4471"/>
    <w:multiLevelType w:val="hybridMultilevel"/>
    <w:tmpl w:val="B9684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D1470F"/>
    <w:multiLevelType w:val="hybridMultilevel"/>
    <w:tmpl w:val="BD76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501407">
    <w:abstractNumId w:val="2"/>
  </w:num>
  <w:num w:numId="2" w16cid:durableId="71004150">
    <w:abstractNumId w:val="3"/>
  </w:num>
  <w:num w:numId="3" w16cid:durableId="1598126461">
    <w:abstractNumId w:val="0"/>
  </w:num>
  <w:num w:numId="4" w16cid:durableId="1531531890">
    <w:abstractNumId w:val="1"/>
  </w:num>
  <w:num w:numId="5" w16cid:durableId="755904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s>
  <w:rsids>
    <w:rsidRoot w:val="00562CC6"/>
    <w:rsid w:val="00015EC3"/>
    <w:rsid w:val="0002410F"/>
    <w:rsid w:val="0003739A"/>
    <w:rsid w:val="00075A92"/>
    <w:rsid w:val="00084B42"/>
    <w:rsid w:val="00087E2F"/>
    <w:rsid w:val="00095974"/>
    <w:rsid w:val="000A6889"/>
    <w:rsid w:val="000E507C"/>
    <w:rsid w:val="000F287D"/>
    <w:rsid w:val="000F636B"/>
    <w:rsid w:val="00107BB8"/>
    <w:rsid w:val="00121B5F"/>
    <w:rsid w:val="001437C7"/>
    <w:rsid w:val="00155B22"/>
    <w:rsid w:val="00157171"/>
    <w:rsid w:val="001639ED"/>
    <w:rsid w:val="00171F61"/>
    <w:rsid w:val="00193FE7"/>
    <w:rsid w:val="001A30BB"/>
    <w:rsid w:val="001A6395"/>
    <w:rsid w:val="001B6FCC"/>
    <w:rsid w:val="001E29DC"/>
    <w:rsid w:val="00207011"/>
    <w:rsid w:val="002236B9"/>
    <w:rsid w:val="002309AD"/>
    <w:rsid w:val="00253941"/>
    <w:rsid w:val="00261EF6"/>
    <w:rsid w:val="00262BD8"/>
    <w:rsid w:val="00272450"/>
    <w:rsid w:val="002B08A1"/>
    <w:rsid w:val="002B1C42"/>
    <w:rsid w:val="002C4C18"/>
    <w:rsid w:val="002D5604"/>
    <w:rsid w:val="002E6EEE"/>
    <w:rsid w:val="002F7AD5"/>
    <w:rsid w:val="00317686"/>
    <w:rsid w:val="0032576E"/>
    <w:rsid w:val="0033108F"/>
    <w:rsid w:val="00334CEE"/>
    <w:rsid w:val="00337411"/>
    <w:rsid w:val="00342C1E"/>
    <w:rsid w:val="00347030"/>
    <w:rsid w:val="00375A3B"/>
    <w:rsid w:val="003805AF"/>
    <w:rsid w:val="003A2FE1"/>
    <w:rsid w:val="003B3C3E"/>
    <w:rsid w:val="0040284D"/>
    <w:rsid w:val="00407BED"/>
    <w:rsid w:val="00415D49"/>
    <w:rsid w:val="0042601B"/>
    <w:rsid w:val="0046550A"/>
    <w:rsid w:val="004678FA"/>
    <w:rsid w:val="00483803"/>
    <w:rsid w:val="004872AF"/>
    <w:rsid w:val="00493B95"/>
    <w:rsid w:val="004A4BF6"/>
    <w:rsid w:val="004B1253"/>
    <w:rsid w:val="004B6705"/>
    <w:rsid w:val="004D6FD8"/>
    <w:rsid w:val="004D7C43"/>
    <w:rsid w:val="004E297B"/>
    <w:rsid w:val="004F0E2B"/>
    <w:rsid w:val="00500864"/>
    <w:rsid w:val="005021F1"/>
    <w:rsid w:val="0051063C"/>
    <w:rsid w:val="00561C47"/>
    <w:rsid w:val="00562CC6"/>
    <w:rsid w:val="00572940"/>
    <w:rsid w:val="005929CC"/>
    <w:rsid w:val="005D0E42"/>
    <w:rsid w:val="005D513F"/>
    <w:rsid w:val="00606E6F"/>
    <w:rsid w:val="0061661B"/>
    <w:rsid w:val="006261B7"/>
    <w:rsid w:val="00641C88"/>
    <w:rsid w:val="00655104"/>
    <w:rsid w:val="00674A75"/>
    <w:rsid w:val="006773E9"/>
    <w:rsid w:val="006A3960"/>
    <w:rsid w:val="006A7555"/>
    <w:rsid w:val="006A76F1"/>
    <w:rsid w:val="006C0488"/>
    <w:rsid w:val="006C1656"/>
    <w:rsid w:val="006C32C9"/>
    <w:rsid w:val="006D4476"/>
    <w:rsid w:val="006D450F"/>
    <w:rsid w:val="006D7E6B"/>
    <w:rsid w:val="006E160B"/>
    <w:rsid w:val="006E4504"/>
    <w:rsid w:val="0070685B"/>
    <w:rsid w:val="007206C9"/>
    <w:rsid w:val="007357C0"/>
    <w:rsid w:val="00737318"/>
    <w:rsid w:val="00737BE7"/>
    <w:rsid w:val="00743EA6"/>
    <w:rsid w:val="0074595D"/>
    <w:rsid w:val="00766667"/>
    <w:rsid w:val="00771193"/>
    <w:rsid w:val="00776D3A"/>
    <w:rsid w:val="007868AF"/>
    <w:rsid w:val="00790E5F"/>
    <w:rsid w:val="007952C3"/>
    <w:rsid w:val="007A1495"/>
    <w:rsid w:val="007A225A"/>
    <w:rsid w:val="007A3C92"/>
    <w:rsid w:val="007A5FDA"/>
    <w:rsid w:val="007C59F0"/>
    <w:rsid w:val="007D387D"/>
    <w:rsid w:val="007D5C7D"/>
    <w:rsid w:val="007E5193"/>
    <w:rsid w:val="007F4949"/>
    <w:rsid w:val="00815BAB"/>
    <w:rsid w:val="008331E7"/>
    <w:rsid w:val="008445C9"/>
    <w:rsid w:val="0085009C"/>
    <w:rsid w:val="008511DC"/>
    <w:rsid w:val="0085747F"/>
    <w:rsid w:val="00880CFB"/>
    <w:rsid w:val="008A613B"/>
    <w:rsid w:val="008E2753"/>
    <w:rsid w:val="008E5F33"/>
    <w:rsid w:val="009211F5"/>
    <w:rsid w:val="0093329F"/>
    <w:rsid w:val="00967918"/>
    <w:rsid w:val="00974686"/>
    <w:rsid w:val="009A5523"/>
    <w:rsid w:val="009A636F"/>
    <w:rsid w:val="009B07D4"/>
    <w:rsid w:val="009C549A"/>
    <w:rsid w:val="009E0C8E"/>
    <w:rsid w:val="009F04E7"/>
    <w:rsid w:val="009F05BF"/>
    <w:rsid w:val="00A12EBB"/>
    <w:rsid w:val="00A16B43"/>
    <w:rsid w:val="00A270E0"/>
    <w:rsid w:val="00A31EB1"/>
    <w:rsid w:val="00A329FE"/>
    <w:rsid w:val="00A35818"/>
    <w:rsid w:val="00A36B18"/>
    <w:rsid w:val="00A57868"/>
    <w:rsid w:val="00AA1F0E"/>
    <w:rsid w:val="00AF1224"/>
    <w:rsid w:val="00B00193"/>
    <w:rsid w:val="00B01935"/>
    <w:rsid w:val="00B11589"/>
    <w:rsid w:val="00B155E4"/>
    <w:rsid w:val="00B230F0"/>
    <w:rsid w:val="00B24C9D"/>
    <w:rsid w:val="00B319FD"/>
    <w:rsid w:val="00B328CB"/>
    <w:rsid w:val="00B32E76"/>
    <w:rsid w:val="00B43BA5"/>
    <w:rsid w:val="00B5345F"/>
    <w:rsid w:val="00B57FC0"/>
    <w:rsid w:val="00B72B5A"/>
    <w:rsid w:val="00BB30C1"/>
    <w:rsid w:val="00BD3469"/>
    <w:rsid w:val="00BE1FBD"/>
    <w:rsid w:val="00BF147E"/>
    <w:rsid w:val="00BF475A"/>
    <w:rsid w:val="00C00EE2"/>
    <w:rsid w:val="00C12CC9"/>
    <w:rsid w:val="00C53F8E"/>
    <w:rsid w:val="00C667E2"/>
    <w:rsid w:val="00C70B75"/>
    <w:rsid w:val="00C733B5"/>
    <w:rsid w:val="00C810D8"/>
    <w:rsid w:val="00C920C3"/>
    <w:rsid w:val="00CA43B1"/>
    <w:rsid w:val="00CB4402"/>
    <w:rsid w:val="00CC0E19"/>
    <w:rsid w:val="00CC36F7"/>
    <w:rsid w:val="00CD7C36"/>
    <w:rsid w:val="00D03633"/>
    <w:rsid w:val="00D21E26"/>
    <w:rsid w:val="00D459BA"/>
    <w:rsid w:val="00D61F29"/>
    <w:rsid w:val="00D83F31"/>
    <w:rsid w:val="00D93AD0"/>
    <w:rsid w:val="00DB1DB3"/>
    <w:rsid w:val="00DC2DE3"/>
    <w:rsid w:val="00DE03B8"/>
    <w:rsid w:val="00DE5B3B"/>
    <w:rsid w:val="00DF19A1"/>
    <w:rsid w:val="00DF79E6"/>
    <w:rsid w:val="00E10CA8"/>
    <w:rsid w:val="00E116A7"/>
    <w:rsid w:val="00E134DA"/>
    <w:rsid w:val="00E253E0"/>
    <w:rsid w:val="00E61C70"/>
    <w:rsid w:val="00E7476A"/>
    <w:rsid w:val="00E75C6A"/>
    <w:rsid w:val="00E91DEA"/>
    <w:rsid w:val="00E92055"/>
    <w:rsid w:val="00EA741F"/>
    <w:rsid w:val="00EB1252"/>
    <w:rsid w:val="00EC18CF"/>
    <w:rsid w:val="00EC41FF"/>
    <w:rsid w:val="00EC6574"/>
    <w:rsid w:val="00EC7448"/>
    <w:rsid w:val="00ED58A0"/>
    <w:rsid w:val="00EE3AD6"/>
    <w:rsid w:val="00F05F29"/>
    <w:rsid w:val="00F34E57"/>
    <w:rsid w:val="00F36914"/>
    <w:rsid w:val="00F45F86"/>
    <w:rsid w:val="00F56401"/>
    <w:rsid w:val="00F62789"/>
    <w:rsid w:val="00F63788"/>
    <w:rsid w:val="00F72FA0"/>
    <w:rsid w:val="00F7539A"/>
    <w:rsid w:val="00F859B1"/>
    <w:rsid w:val="00F8663F"/>
    <w:rsid w:val="00FC2013"/>
    <w:rsid w:val="00FE4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7F69C1"/>
  <w15:chartTrackingRefBased/>
  <w15:docId w15:val="{1699B2FA-8A8E-A342-8173-D564B9F3A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E6B"/>
    <w:pPr>
      <w:spacing w:after="120" w:line="360" w:lineRule="auto"/>
      <w:jc w:val="both"/>
    </w:pPr>
    <w:rPr>
      <w:rFonts w:ascii="Arial" w:hAnsi="Arial"/>
      <w:sz w:val="22"/>
    </w:rPr>
  </w:style>
  <w:style w:type="paragraph" w:styleId="Heading1">
    <w:name w:val="heading 1"/>
    <w:basedOn w:val="Normal"/>
    <w:next w:val="Normal"/>
    <w:link w:val="Heading1Char"/>
    <w:autoRedefine/>
    <w:uiPriority w:val="9"/>
    <w:qFormat/>
    <w:rsid w:val="00F63788"/>
    <w:pPr>
      <w:keepNext/>
      <w:keepLines/>
      <w:spacing w:before="360" w:line="276" w:lineRule="auto"/>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967918"/>
    <w:pPr>
      <w:keepNext/>
      <w:keepLines/>
      <w:spacing w:before="160" w:after="0"/>
      <w:outlineLvl w:val="1"/>
    </w:pPr>
    <w:rPr>
      <w:rFonts w:eastAsiaTheme="majorEastAsia" w:cstheme="majorBidi"/>
      <w:sz w:val="26"/>
      <w:szCs w:val="32"/>
    </w:rPr>
  </w:style>
  <w:style w:type="paragraph" w:styleId="Heading3">
    <w:name w:val="heading 3"/>
    <w:basedOn w:val="Normal"/>
    <w:next w:val="Normal"/>
    <w:link w:val="Heading3Char"/>
    <w:autoRedefine/>
    <w:uiPriority w:val="9"/>
    <w:semiHidden/>
    <w:unhideWhenUsed/>
    <w:qFormat/>
    <w:rsid w:val="0085009C"/>
    <w:pPr>
      <w:keepNext/>
      <w:keepLines/>
      <w:spacing w:before="60" w:after="0"/>
      <w:outlineLvl w:val="2"/>
    </w:pPr>
    <w:rPr>
      <w:rFonts w:eastAsiaTheme="majorEastAsia" w:cstheme="majorBidi"/>
      <w:i/>
      <w:szCs w:val="28"/>
    </w:rPr>
  </w:style>
  <w:style w:type="paragraph" w:styleId="Heading4">
    <w:name w:val="heading 4"/>
    <w:basedOn w:val="Normal"/>
    <w:next w:val="Normal"/>
    <w:link w:val="Heading4Char"/>
    <w:uiPriority w:val="9"/>
    <w:semiHidden/>
    <w:unhideWhenUsed/>
    <w:qFormat/>
    <w:rsid w:val="00562C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C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C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C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C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C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63788"/>
    <w:pPr>
      <w:spacing w:after="240" w:line="276" w:lineRule="auto"/>
      <w:contextualSpacing/>
      <w:jc w:val="left"/>
    </w:pPr>
    <w:rPr>
      <w:rFonts w:eastAsiaTheme="majorEastAsia" w:cstheme="majorBidi"/>
      <w:spacing w:val="5"/>
      <w:kern w:val="28"/>
      <w:sz w:val="36"/>
      <w:szCs w:val="52"/>
    </w:rPr>
  </w:style>
  <w:style w:type="character" w:customStyle="1" w:styleId="TitleChar">
    <w:name w:val="Title Char"/>
    <w:basedOn w:val="DefaultParagraphFont"/>
    <w:link w:val="Title"/>
    <w:uiPriority w:val="10"/>
    <w:rsid w:val="00F63788"/>
    <w:rPr>
      <w:rFonts w:ascii="Arial" w:eastAsiaTheme="majorEastAsia" w:hAnsi="Arial" w:cstheme="majorBidi"/>
      <w:spacing w:val="5"/>
      <w:kern w:val="28"/>
      <w:sz w:val="36"/>
      <w:szCs w:val="52"/>
    </w:rPr>
  </w:style>
  <w:style w:type="paragraph" w:styleId="BodyText">
    <w:name w:val="Body Text"/>
    <w:next w:val="Normal"/>
    <w:link w:val="BodyTextChar"/>
    <w:autoRedefine/>
    <w:qFormat/>
    <w:rsid w:val="00880CFB"/>
    <w:pPr>
      <w:spacing w:before="60" w:after="360" w:line="276" w:lineRule="auto"/>
      <w:contextualSpacing/>
    </w:pPr>
    <w:rPr>
      <w:rFonts w:ascii="Arial" w:hAnsi="Arial"/>
      <w:sz w:val="18"/>
    </w:rPr>
  </w:style>
  <w:style w:type="character" w:customStyle="1" w:styleId="BodyTextChar">
    <w:name w:val="Body Text Char"/>
    <w:basedOn w:val="DefaultParagraphFont"/>
    <w:link w:val="BodyText"/>
    <w:rsid w:val="00880CFB"/>
    <w:rPr>
      <w:rFonts w:ascii="Arial" w:hAnsi="Arial"/>
      <w:sz w:val="18"/>
    </w:rPr>
  </w:style>
  <w:style w:type="character" w:customStyle="1" w:styleId="Heading1Char">
    <w:name w:val="Heading 1 Char"/>
    <w:basedOn w:val="DefaultParagraphFont"/>
    <w:link w:val="Heading1"/>
    <w:uiPriority w:val="9"/>
    <w:rsid w:val="00F63788"/>
    <w:rPr>
      <w:rFonts w:ascii="Arial" w:eastAsiaTheme="majorEastAsia" w:hAnsi="Arial" w:cstheme="majorBidi"/>
      <w:sz w:val="32"/>
      <w:szCs w:val="32"/>
    </w:rPr>
  </w:style>
  <w:style w:type="character" w:customStyle="1" w:styleId="Heading2Char">
    <w:name w:val="Heading 2 Char"/>
    <w:basedOn w:val="DefaultParagraphFont"/>
    <w:link w:val="Heading2"/>
    <w:uiPriority w:val="9"/>
    <w:rsid w:val="00967918"/>
    <w:rPr>
      <w:rFonts w:ascii="Arial" w:eastAsiaTheme="majorEastAsia" w:hAnsi="Arial" w:cstheme="majorBidi"/>
      <w:sz w:val="26"/>
      <w:szCs w:val="32"/>
    </w:rPr>
  </w:style>
  <w:style w:type="character" w:customStyle="1" w:styleId="Heading3Char">
    <w:name w:val="Heading 3 Char"/>
    <w:basedOn w:val="DefaultParagraphFont"/>
    <w:link w:val="Heading3"/>
    <w:uiPriority w:val="9"/>
    <w:semiHidden/>
    <w:rsid w:val="0085009C"/>
    <w:rPr>
      <w:rFonts w:ascii="Arial" w:eastAsiaTheme="majorEastAsia" w:hAnsi="Arial" w:cstheme="majorBidi"/>
      <w:i/>
      <w:sz w:val="22"/>
      <w:szCs w:val="28"/>
    </w:rPr>
  </w:style>
  <w:style w:type="character" w:customStyle="1" w:styleId="Heading4Char">
    <w:name w:val="Heading 4 Char"/>
    <w:basedOn w:val="DefaultParagraphFont"/>
    <w:link w:val="Heading4"/>
    <w:uiPriority w:val="9"/>
    <w:semiHidden/>
    <w:rsid w:val="00562C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C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C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C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C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CC6"/>
    <w:rPr>
      <w:rFonts w:eastAsiaTheme="majorEastAsia" w:cstheme="majorBidi"/>
      <w:color w:val="272727" w:themeColor="text1" w:themeTint="D8"/>
    </w:rPr>
  </w:style>
  <w:style w:type="paragraph" w:styleId="Subtitle">
    <w:name w:val="Subtitle"/>
    <w:basedOn w:val="Normal"/>
    <w:next w:val="Normal"/>
    <w:link w:val="SubtitleChar"/>
    <w:uiPriority w:val="11"/>
    <w:qFormat/>
    <w:rsid w:val="00562C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C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C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CC6"/>
    <w:rPr>
      <w:i/>
      <w:iCs/>
      <w:color w:val="404040" w:themeColor="text1" w:themeTint="BF"/>
    </w:rPr>
  </w:style>
  <w:style w:type="paragraph" w:styleId="ListParagraph">
    <w:name w:val="List Paragraph"/>
    <w:basedOn w:val="Normal"/>
    <w:uiPriority w:val="34"/>
    <w:qFormat/>
    <w:rsid w:val="00562CC6"/>
    <w:pPr>
      <w:ind w:left="720"/>
      <w:contextualSpacing/>
    </w:pPr>
  </w:style>
  <w:style w:type="character" w:styleId="IntenseEmphasis">
    <w:name w:val="Intense Emphasis"/>
    <w:basedOn w:val="DefaultParagraphFont"/>
    <w:uiPriority w:val="21"/>
    <w:qFormat/>
    <w:rsid w:val="00562CC6"/>
    <w:rPr>
      <w:i/>
      <w:iCs/>
      <w:color w:val="0F4761" w:themeColor="accent1" w:themeShade="BF"/>
    </w:rPr>
  </w:style>
  <w:style w:type="paragraph" w:styleId="IntenseQuote">
    <w:name w:val="Intense Quote"/>
    <w:basedOn w:val="Normal"/>
    <w:next w:val="Normal"/>
    <w:link w:val="IntenseQuoteChar"/>
    <w:uiPriority w:val="30"/>
    <w:qFormat/>
    <w:rsid w:val="00562C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CC6"/>
    <w:rPr>
      <w:i/>
      <w:iCs/>
      <w:color w:val="0F4761" w:themeColor="accent1" w:themeShade="BF"/>
    </w:rPr>
  </w:style>
  <w:style w:type="character" w:styleId="IntenseReference">
    <w:name w:val="Intense Reference"/>
    <w:basedOn w:val="DefaultParagraphFont"/>
    <w:uiPriority w:val="32"/>
    <w:qFormat/>
    <w:rsid w:val="00562CC6"/>
    <w:rPr>
      <w:b/>
      <w:bCs/>
      <w:smallCaps/>
      <w:color w:val="0F4761" w:themeColor="accent1" w:themeShade="BF"/>
      <w:spacing w:val="5"/>
    </w:rPr>
  </w:style>
  <w:style w:type="paragraph" w:styleId="FootnoteText">
    <w:name w:val="footnote text"/>
    <w:basedOn w:val="Normal"/>
    <w:link w:val="FootnoteTextChar"/>
    <w:autoRedefine/>
    <w:uiPriority w:val="99"/>
    <w:unhideWhenUsed/>
    <w:qFormat/>
    <w:rsid w:val="000A6889"/>
    <w:pPr>
      <w:spacing w:after="0" w:line="276" w:lineRule="auto"/>
    </w:pPr>
    <w:rPr>
      <w:sz w:val="18"/>
      <w:szCs w:val="20"/>
    </w:rPr>
  </w:style>
  <w:style w:type="character" w:customStyle="1" w:styleId="FootnoteTextChar">
    <w:name w:val="Footnote Text Char"/>
    <w:basedOn w:val="DefaultParagraphFont"/>
    <w:link w:val="FootnoteText"/>
    <w:uiPriority w:val="99"/>
    <w:rsid w:val="000A6889"/>
    <w:rPr>
      <w:rFonts w:ascii="Arial" w:hAnsi="Arial"/>
      <w:sz w:val="18"/>
      <w:szCs w:val="20"/>
    </w:rPr>
  </w:style>
  <w:style w:type="character" w:styleId="FootnoteReference">
    <w:name w:val="footnote reference"/>
    <w:basedOn w:val="DefaultParagraphFont"/>
    <w:uiPriority w:val="99"/>
    <w:semiHidden/>
    <w:unhideWhenUsed/>
    <w:rsid w:val="006A7555"/>
    <w:rPr>
      <w:vertAlign w:val="superscript"/>
    </w:rPr>
  </w:style>
  <w:style w:type="character" w:styleId="Emphasis">
    <w:name w:val="Emphasis"/>
    <w:basedOn w:val="DefaultParagraphFont"/>
    <w:uiPriority w:val="20"/>
    <w:qFormat/>
    <w:rsid w:val="00015EC3"/>
    <w:rPr>
      <w:i/>
      <w:iCs/>
    </w:rPr>
  </w:style>
  <w:style w:type="table" w:styleId="TableGrid">
    <w:name w:val="Table Grid"/>
    <w:basedOn w:val="TableNormal"/>
    <w:uiPriority w:val="39"/>
    <w:rsid w:val="001437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4D6FD8"/>
    <w:pPr>
      <w:keepNext/>
      <w:spacing w:before="40" w:after="40" w:line="276" w:lineRule="auto"/>
    </w:pPr>
    <w:rPr>
      <w:iCs/>
      <w:sz w:val="20"/>
      <w:szCs w:val="18"/>
    </w:rPr>
  </w:style>
  <w:style w:type="table" w:customStyle="1" w:styleId="TableGrid1">
    <w:name w:val="Table Grid1"/>
    <w:basedOn w:val="TableNormal"/>
    <w:next w:val="TableGrid"/>
    <w:uiPriority w:val="59"/>
    <w:rsid w:val="002F7AD5"/>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qFormat/>
    <w:rsid w:val="0002410F"/>
    <w:rPr>
      <w:color w:val="0000FF"/>
      <w:u w:val="single"/>
    </w:rPr>
  </w:style>
  <w:style w:type="character" w:styleId="UnresolvedMention">
    <w:name w:val="Unresolved Mention"/>
    <w:basedOn w:val="DefaultParagraphFont"/>
    <w:uiPriority w:val="99"/>
    <w:semiHidden/>
    <w:unhideWhenUsed/>
    <w:rsid w:val="0002410F"/>
    <w:rPr>
      <w:color w:val="605E5C"/>
      <w:shd w:val="clear" w:color="auto" w:fill="E1DFDD"/>
    </w:rPr>
  </w:style>
  <w:style w:type="table" w:customStyle="1" w:styleId="TableGrid2">
    <w:name w:val="Table Grid2"/>
    <w:basedOn w:val="TableNormal"/>
    <w:next w:val="TableGrid"/>
    <w:uiPriority w:val="59"/>
    <w:rsid w:val="00641C88"/>
    <w:rPr>
      <w:kern w:val="0"/>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4A4BF6"/>
    <w:pPr>
      <w:jc w:val="both"/>
    </w:pPr>
    <w:rPr>
      <w:rFonts w:ascii="Arial" w:hAnsi="Arial"/>
      <w:sz w:val="22"/>
    </w:rPr>
  </w:style>
  <w:style w:type="character" w:styleId="HTMLTypewriter">
    <w:name w:val="HTML Typewriter"/>
    <w:basedOn w:val="DefaultParagraphFont"/>
    <w:uiPriority w:val="99"/>
    <w:unhideWhenUsed/>
    <w:rsid w:val="00415D49"/>
    <w:rPr>
      <w:rFonts w:ascii="Consolas" w:hAnsi="Consolas" w:cs="Consolas"/>
      <w:sz w:val="20"/>
      <w:szCs w:val="20"/>
    </w:rPr>
  </w:style>
  <w:style w:type="paragraph" w:styleId="PlainText">
    <w:name w:val="Plain Text"/>
    <w:basedOn w:val="Normal"/>
    <w:link w:val="PlainTextChar"/>
    <w:uiPriority w:val="99"/>
    <w:unhideWhenUsed/>
    <w:rsid w:val="00415D4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15D49"/>
    <w:rPr>
      <w:rFonts w:ascii="Consolas" w:hAnsi="Consolas" w:cs="Consolas"/>
      <w:sz w:val="21"/>
      <w:szCs w:val="21"/>
    </w:rPr>
  </w:style>
  <w:style w:type="character" w:styleId="HTMLCode">
    <w:name w:val="HTML Code"/>
    <w:basedOn w:val="DefaultParagraphFont"/>
    <w:uiPriority w:val="99"/>
    <w:unhideWhenUsed/>
    <w:rsid w:val="006E4504"/>
    <w:rPr>
      <w:rFonts w:ascii="Consolas" w:hAnsi="Consolas" w:cs="Consolas"/>
      <w:sz w:val="20"/>
      <w:szCs w:val="20"/>
    </w:rPr>
  </w:style>
  <w:style w:type="character" w:styleId="HTMLCite">
    <w:name w:val="HTML Cite"/>
    <w:basedOn w:val="DefaultParagraphFont"/>
    <w:uiPriority w:val="99"/>
    <w:unhideWhenUsed/>
    <w:rsid w:val="006E4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558707382">
      <w:bodyDiv w:val="1"/>
      <w:marLeft w:val="0"/>
      <w:marRight w:val="0"/>
      <w:marTop w:val="0"/>
      <w:marBottom w:val="0"/>
      <w:divBdr>
        <w:top w:val="none" w:sz="0" w:space="0" w:color="auto"/>
        <w:left w:val="none" w:sz="0" w:space="0" w:color="auto"/>
        <w:bottom w:val="none" w:sz="0" w:space="0" w:color="auto"/>
        <w:right w:val="none" w:sz="0" w:space="0" w:color="auto"/>
      </w:divBdr>
    </w:div>
    <w:div w:id="1060130907">
      <w:bodyDiv w:val="1"/>
      <w:marLeft w:val="0"/>
      <w:marRight w:val="0"/>
      <w:marTop w:val="0"/>
      <w:marBottom w:val="0"/>
      <w:divBdr>
        <w:top w:val="none" w:sz="0" w:space="0" w:color="auto"/>
        <w:left w:val="none" w:sz="0" w:space="0" w:color="auto"/>
        <w:bottom w:val="none" w:sz="0" w:space="0" w:color="auto"/>
        <w:right w:val="none" w:sz="0" w:space="0" w:color="auto"/>
      </w:divBdr>
    </w:div>
    <w:div w:id="200069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804C6-94F1-EA42-8FD0-6E6ACABC4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7</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Edifofon Akpan</dc:creator>
  <cp:keywords/>
  <dc:description/>
  <cp:lastModifiedBy>Edifofon Akpan</cp:lastModifiedBy>
  <cp:revision>140</cp:revision>
  <dcterms:created xsi:type="dcterms:W3CDTF">2024-04-23T10:38:00Z</dcterms:created>
  <dcterms:modified xsi:type="dcterms:W3CDTF">2024-05-26T05:56:00Z</dcterms:modified>
</cp:coreProperties>
</file>