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6A26" w14:textId="4CFAF0FC" w:rsidR="00632AAC" w:rsidRPr="00421440" w:rsidRDefault="00421440">
      <w:pPr>
        <w:rPr>
          <w:rFonts w:ascii="Times New Roman" w:hAnsi="Times New Roman" w:cs="Times New Roman"/>
        </w:rPr>
      </w:pPr>
      <w:r w:rsidRPr="007A77AC">
        <w:rPr>
          <w:rFonts w:ascii="Times New Roman" w:hAnsi="Times New Roman" w:cs="Times New Roman"/>
          <w:b/>
          <w:bCs/>
          <w:sz w:val="28"/>
          <w:szCs w:val="28"/>
          <w:u w:val="single"/>
        </w:rPr>
        <w:t>Topic</w:t>
      </w:r>
      <w:r w:rsidRPr="00421440">
        <w:rPr>
          <w:rFonts w:ascii="Times New Roman" w:hAnsi="Times New Roman" w:cs="Times New Roman"/>
        </w:rPr>
        <w:t>:</w:t>
      </w:r>
      <w:r>
        <w:rPr>
          <w:rFonts w:ascii="Times New Roman" w:hAnsi="Times New Roman" w:cs="Times New Roman"/>
        </w:rPr>
        <w:t xml:space="preserve"> </w:t>
      </w:r>
      <w:r w:rsidR="00F17D2F">
        <w:rPr>
          <w:rFonts w:ascii="Times New Roman" w:hAnsi="Times New Roman" w:cs="Times New Roman"/>
        </w:rPr>
        <w:t xml:space="preserve">Effects of Access to Healthcare on the Health Status of DC residents. </w:t>
      </w:r>
    </w:p>
    <w:p w14:paraId="6290F8B4" w14:textId="6EA20E98" w:rsidR="00421440" w:rsidRDefault="00421440">
      <w:pPr>
        <w:rPr>
          <w:rFonts w:ascii="Times New Roman" w:hAnsi="Times New Roman" w:cs="Times New Roman"/>
        </w:rPr>
      </w:pPr>
    </w:p>
    <w:p w14:paraId="314F3F7B" w14:textId="51ECBC3E" w:rsidR="00AB68DE" w:rsidRDefault="00421440">
      <w:pPr>
        <w:rPr>
          <w:rFonts w:ascii="Times New Roman" w:hAnsi="Times New Roman" w:cs="Times New Roman"/>
          <w:b/>
          <w:bCs/>
          <w:sz w:val="28"/>
          <w:szCs w:val="28"/>
          <w:u w:val="single"/>
        </w:rPr>
      </w:pPr>
      <w:r w:rsidRPr="007A77AC">
        <w:rPr>
          <w:rFonts w:ascii="Times New Roman" w:hAnsi="Times New Roman" w:cs="Times New Roman"/>
          <w:b/>
          <w:bCs/>
          <w:sz w:val="28"/>
          <w:szCs w:val="28"/>
          <w:u w:val="single"/>
        </w:rPr>
        <w:t>Background</w:t>
      </w:r>
    </w:p>
    <w:p w14:paraId="01FE7071" w14:textId="77777777" w:rsidR="00AB68DE" w:rsidRPr="007A77AC" w:rsidRDefault="00AB68DE">
      <w:pPr>
        <w:rPr>
          <w:rFonts w:ascii="Times New Roman" w:hAnsi="Times New Roman" w:cs="Times New Roman"/>
          <w:b/>
          <w:bCs/>
          <w:sz w:val="28"/>
          <w:szCs w:val="28"/>
          <w:u w:val="single"/>
        </w:rPr>
      </w:pPr>
    </w:p>
    <w:p w14:paraId="28D43596" w14:textId="1B60A463" w:rsidR="00131AE3" w:rsidRDefault="009F4C56" w:rsidP="00AB68DE">
      <w:pPr>
        <w:spacing w:line="360" w:lineRule="auto"/>
        <w:jc w:val="both"/>
        <w:rPr>
          <w:rFonts w:ascii="Times New Roman" w:hAnsi="Times New Roman" w:cs="Times New Roman"/>
        </w:rPr>
      </w:pPr>
      <w:r>
        <w:rPr>
          <w:rFonts w:ascii="Times New Roman" w:hAnsi="Times New Roman" w:cs="Times New Roman"/>
        </w:rPr>
        <w:tab/>
        <w:t xml:space="preserve">Access to healthcare is one of the major factors that measure the quality of a healthcare system. Access is determined by three distinct factors: insurance coverage, geographic availability and </w:t>
      </w:r>
      <w:r w:rsidR="00C743F2">
        <w:rPr>
          <w:rFonts w:ascii="Times New Roman" w:hAnsi="Times New Roman" w:cs="Times New Roman"/>
        </w:rPr>
        <w:t>developing a trusting</w:t>
      </w:r>
      <w:r>
        <w:rPr>
          <w:rFonts w:ascii="Times New Roman" w:hAnsi="Times New Roman" w:cs="Times New Roman"/>
        </w:rPr>
        <w:t xml:space="preserve"> relationship with a healthcare provider</w:t>
      </w:r>
      <w:r w:rsidR="006C2802">
        <w:rPr>
          <w:rFonts w:ascii="Times New Roman" w:hAnsi="Times New Roman" w:cs="Times New Roman"/>
        </w:rPr>
        <w:t xml:space="preserve"> </w:t>
      </w:r>
      <w:r w:rsidR="00BF33FF">
        <w:rPr>
          <w:rFonts w:ascii="Times New Roman" w:hAnsi="Times New Roman" w:cs="Times New Roman"/>
        </w:rPr>
        <w:t>(N/A, 2020)</w:t>
      </w:r>
      <w:r>
        <w:rPr>
          <w:rFonts w:ascii="Times New Roman" w:hAnsi="Times New Roman" w:cs="Times New Roman"/>
        </w:rPr>
        <w:t>.</w:t>
      </w:r>
      <w:r w:rsidR="00972364">
        <w:rPr>
          <w:rFonts w:ascii="Times New Roman" w:hAnsi="Times New Roman" w:cs="Times New Roman"/>
        </w:rPr>
        <w:t xml:space="preserve"> </w:t>
      </w:r>
      <w:r w:rsidR="00D57F3C">
        <w:rPr>
          <w:rFonts w:ascii="Times New Roman" w:hAnsi="Times New Roman" w:cs="Times New Roman"/>
        </w:rPr>
        <w:t>While the effects of access to healthcare on the overall health of a population is hard to measure</w:t>
      </w:r>
      <w:r w:rsidR="00A31BC4">
        <w:rPr>
          <w:rFonts w:ascii="Times New Roman" w:hAnsi="Times New Roman" w:cs="Times New Roman"/>
        </w:rPr>
        <w:t>, studies have shown that having better access to healthcare improve</w:t>
      </w:r>
      <w:r w:rsidR="00497A44">
        <w:rPr>
          <w:rFonts w:ascii="Times New Roman" w:hAnsi="Times New Roman" w:cs="Times New Roman"/>
        </w:rPr>
        <w:t>s</w:t>
      </w:r>
      <w:r w:rsidR="00A31BC4">
        <w:rPr>
          <w:rFonts w:ascii="Times New Roman" w:hAnsi="Times New Roman" w:cs="Times New Roman"/>
        </w:rPr>
        <w:t xml:space="preserve"> health status trends in the long run </w:t>
      </w:r>
      <w:r w:rsidR="00972364" w:rsidRPr="00972364">
        <w:rPr>
          <w:rFonts w:ascii="Times New Roman" w:eastAsia="Times New Roman" w:hAnsi="Times New Roman" w:cs="Times New Roman"/>
        </w:rPr>
        <w:t>(Blumenthal &amp; Collins, 2013)</w:t>
      </w:r>
      <w:r w:rsidR="00A31BC4">
        <w:rPr>
          <w:rFonts w:ascii="Times New Roman" w:eastAsia="Times New Roman" w:hAnsi="Times New Roman" w:cs="Times New Roman"/>
        </w:rPr>
        <w:t>.</w:t>
      </w:r>
      <w:r w:rsidR="00A31BC4">
        <w:rPr>
          <w:rFonts w:ascii="Times New Roman" w:hAnsi="Times New Roman" w:cs="Times New Roman"/>
        </w:rPr>
        <w:t xml:space="preserve"> </w:t>
      </w:r>
      <w:r w:rsidR="00C743F2">
        <w:rPr>
          <w:rFonts w:ascii="Times New Roman" w:hAnsi="Times New Roman" w:cs="Times New Roman"/>
        </w:rPr>
        <w:t>In this study, the effect of access to healthcare on the health status of DC residents is examined. The major measure of access used for this purpose is health care insurance coverage indicated by the Health Plan variable. To compliment this variable, two other variables</w:t>
      </w:r>
      <w:r w:rsidR="00497A44">
        <w:rPr>
          <w:rFonts w:ascii="Times New Roman" w:hAnsi="Times New Roman" w:cs="Times New Roman"/>
        </w:rPr>
        <w:t xml:space="preserve">, </w:t>
      </w:r>
      <w:r w:rsidR="00C743F2">
        <w:rPr>
          <w:rFonts w:ascii="Times New Roman" w:hAnsi="Times New Roman" w:cs="Times New Roman"/>
        </w:rPr>
        <w:t xml:space="preserve">Checkup and Medical Cost have been utilized. These three variables will show the percentage of the population that has insurance coverage, does </w:t>
      </w:r>
      <w:r w:rsidR="000E36BA">
        <w:rPr>
          <w:rFonts w:ascii="Times New Roman" w:hAnsi="Times New Roman" w:cs="Times New Roman"/>
        </w:rPr>
        <w:t>routine</w:t>
      </w:r>
      <w:r w:rsidR="00C743F2">
        <w:rPr>
          <w:rFonts w:ascii="Times New Roman" w:hAnsi="Times New Roman" w:cs="Times New Roman"/>
        </w:rPr>
        <w:t xml:space="preserve"> checkups and, the portion of the population that forgoes medical treatment </w:t>
      </w:r>
      <w:r w:rsidR="00131AE3">
        <w:rPr>
          <w:rFonts w:ascii="Times New Roman" w:hAnsi="Times New Roman" w:cs="Times New Roman"/>
        </w:rPr>
        <w:t>because of</w:t>
      </w:r>
      <w:r w:rsidR="00C743F2">
        <w:rPr>
          <w:rFonts w:ascii="Times New Roman" w:hAnsi="Times New Roman" w:cs="Times New Roman"/>
        </w:rPr>
        <w:t xml:space="preserve"> cost. </w:t>
      </w:r>
      <w:r w:rsidR="00131AE3">
        <w:rPr>
          <w:rFonts w:ascii="Times New Roman" w:hAnsi="Times New Roman" w:cs="Times New Roman"/>
        </w:rPr>
        <w:t>The health of the population, on the other hand, will be measure</w:t>
      </w:r>
      <w:r w:rsidR="0037522E">
        <w:rPr>
          <w:rFonts w:ascii="Times New Roman" w:hAnsi="Times New Roman" w:cs="Times New Roman"/>
        </w:rPr>
        <w:t>d</w:t>
      </w:r>
      <w:r w:rsidR="00131AE3">
        <w:rPr>
          <w:rFonts w:ascii="Times New Roman" w:hAnsi="Times New Roman" w:cs="Times New Roman"/>
        </w:rPr>
        <w:t xml:space="preserve"> by the number of days participants had poor physical and/or mental health in</w:t>
      </w:r>
      <w:r w:rsidR="00AB68DE">
        <w:rPr>
          <w:rFonts w:ascii="Times New Roman" w:hAnsi="Times New Roman" w:cs="Times New Roman"/>
        </w:rPr>
        <w:t xml:space="preserve"> the past 30 days</w:t>
      </w:r>
      <w:r w:rsidR="00131AE3">
        <w:rPr>
          <w:rFonts w:ascii="Times New Roman" w:hAnsi="Times New Roman" w:cs="Times New Roman"/>
        </w:rPr>
        <w:t xml:space="preserve">. In addition, the number of days participants could not do their usual activities due to poor </w:t>
      </w:r>
      <w:r w:rsidR="00497A44">
        <w:rPr>
          <w:rFonts w:ascii="Times New Roman" w:hAnsi="Times New Roman" w:cs="Times New Roman"/>
        </w:rPr>
        <w:t xml:space="preserve">physical </w:t>
      </w:r>
      <w:r w:rsidR="00131AE3">
        <w:rPr>
          <w:rFonts w:ascii="Times New Roman" w:hAnsi="Times New Roman" w:cs="Times New Roman"/>
        </w:rPr>
        <w:t xml:space="preserve">and/or mental </w:t>
      </w:r>
      <w:r w:rsidR="00AB68DE">
        <w:rPr>
          <w:rFonts w:ascii="Times New Roman" w:hAnsi="Times New Roman" w:cs="Times New Roman"/>
        </w:rPr>
        <w:t xml:space="preserve">health in the past 30 days is examined to determine the health status of participants. One final variable used to measure health status is the </w:t>
      </w:r>
      <w:r w:rsidR="0037522E">
        <w:rPr>
          <w:rFonts w:ascii="Times New Roman" w:hAnsi="Times New Roman" w:cs="Times New Roman"/>
        </w:rPr>
        <w:t>G</w:t>
      </w:r>
      <w:r w:rsidR="00AB68DE">
        <w:rPr>
          <w:rFonts w:ascii="Times New Roman" w:hAnsi="Times New Roman" w:cs="Times New Roman"/>
        </w:rPr>
        <w:t xml:space="preserve">eneral </w:t>
      </w:r>
      <w:r w:rsidR="0037522E">
        <w:rPr>
          <w:rFonts w:ascii="Times New Roman" w:hAnsi="Times New Roman" w:cs="Times New Roman"/>
        </w:rPr>
        <w:t>H</w:t>
      </w:r>
      <w:r w:rsidR="00AB68DE">
        <w:rPr>
          <w:rFonts w:ascii="Times New Roman" w:hAnsi="Times New Roman" w:cs="Times New Roman"/>
        </w:rPr>
        <w:t xml:space="preserve">ealth variable which shows how participants describe their current health status on a scale of excellent to poor. </w:t>
      </w:r>
    </w:p>
    <w:p w14:paraId="24936B8D" w14:textId="221455C0" w:rsidR="00AB68DE" w:rsidRPr="00327808" w:rsidRDefault="00C743F2" w:rsidP="00327808">
      <w:pPr>
        <w:rPr>
          <w:rFonts w:ascii="Times New Roman" w:hAnsi="Times New Roman" w:cs="Times New Roman"/>
          <w:b/>
          <w:bCs/>
          <w:sz w:val="28"/>
          <w:szCs w:val="28"/>
          <w:u w:val="single"/>
        </w:rPr>
        <w:sectPr w:rsidR="00AB68DE" w:rsidRPr="00327808">
          <w:headerReference w:type="default" r:id="rId7"/>
          <w:pgSz w:w="12240" w:h="15840"/>
          <w:pgMar w:top="1440" w:right="1440" w:bottom="1440" w:left="1440" w:header="720" w:footer="720" w:gutter="0"/>
          <w:cols w:space="720"/>
          <w:docGrid w:linePitch="360"/>
        </w:sectPr>
      </w:pPr>
      <w:r w:rsidRPr="00C743F2">
        <w:rPr>
          <w:rFonts w:ascii="Times New Roman" w:hAnsi="Times New Roman" w:cs="Times New Roman"/>
          <w:b/>
          <w:bCs/>
          <w:sz w:val="28"/>
          <w:szCs w:val="28"/>
          <w:u w:val="single"/>
        </w:rPr>
        <w:t xml:space="preserve">Variables </w:t>
      </w:r>
      <w:r w:rsidR="00327808" w:rsidRPr="00327808">
        <w:rPr>
          <w:rFonts w:ascii="Times New Roman" w:hAnsi="Times New Roman" w:cs="Times New Roman"/>
          <w:sz w:val="28"/>
          <w:szCs w:val="28"/>
        </w:rPr>
        <w:t>(</w:t>
      </w:r>
      <w:r w:rsidR="00327808">
        <w:rPr>
          <w:rFonts w:ascii="Times New Roman" w:hAnsi="Times New Roman" w:cs="Times New Roman"/>
          <w:sz w:val="28"/>
          <w:szCs w:val="28"/>
        </w:rPr>
        <w:t>Blue – Continuous; Red – Nominal/Categorical</w:t>
      </w:r>
      <w:r w:rsidR="00327808" w:rsidRPr="00327808">
        <w:rPr>
          <w:rFonts w:ascii="Times New Roman" w:hAnsi="Times New Roman" w:cs="Times New Roman"/>
          <w:sz w:val="28"/>
          <w:szCs w:val="28"/>
        </w:rPr>
        <w:t>)</w:t>
      </w:r>
    </w:p>
    <w:p w14:paraId="70A4D545" w14:textId="30BEC5E5" w:rsidR="001B389D" w:rsidRPr="00327808" w:rsidRDefault="00327808" w:rsidP="007A77AC">
      <w:pPr>
        <w:pStyle w:val="ListParagraph"/>
        <w:numPr>
          <w:ilvl w:val="0"/>
          <w:numId w:val="1"/>
        </w:numPr>
        <w:spacing w:line="360" w:lineRule="auto"/>
        <w:rPr>
          <w:rFonts w:ascii="Times New Roman" w:hAnsi="Times New Roman" w:cs="Times New Roman"/>
          <w:b/>
          <w:bCs/>
          <w:color w:val="2E74B5" w:themeColor="accent5" w:themeShade="BF"/>
        </w:rPr>
      </w:pPr>
      <w:r w:rsidRPr="00327808">
        <w:rPr>
          <w:rFonts w:ascii="Times New Roman" w:hAnsi="Times New Roman" w:cs="Times New Roman"/>
          <w:b/>
          <w:bCs/>
          <w:color w:val="2E74B5" w:themeColor="accent5" w:themeShade="BF"/>
        </w:rPr>
        <w:t>Poor Health (POORHLTH)</w:t>
      </w:r>
    </w:p>
    <w:p w14:paraId="2D7247FB" w14:textId="08931BAE" w:rsidR="001B389D" w:rsidRPr="00327808" w:rsidRDefault="001B389D" w:rsidP="007A77AC">
      <w:pPr>
        <w:pStyle w:val="ListParagraph"/>
        <w:numPr>
          <w:ilvl w:val="0"/>
          <w:numId w:val="1"/>
        </w:numPr>
        <w:spacing w:line="360" w:lineRule="auto"/>
        <w:rPr>
          <w:rFonts w:ascii="Times New Roman" w:hAnsi="Times New Roman" w:cs="Times New Roman"/>
          <w:b/>
          <w:bCs/>
          <w:color w:val="2E74B5" w:themeColor="accent5" w:themeShade="BF"/>
        </w:rPr>
      </w:pPr>
      <w:r w:rsidRPr="00327808">
        <w:rPr>
          <w:rFonts w:ascii="Times New Roman" w:hAnsi="Times New Roman" w:cs="Times New Roman"/>
          <w:b/>
          <w:bCs/>
          <w:color w:val="2E74B5" w:themeColor="accent5" w:themeShade="BF"/>
        </w:rPr>
        <w:t>Physical Health (PHYSHLTH)</w:t>
      </w:r>
      <w:r w:rsidR="00CC20CE" w:rsidRPr="00327808">
        <w:rPr>
          <w:rFonts w:ascii="Times New Roman" w:hAnsi="Times New Roman" w:cs="Times New Roman"/>
          <w:b/>
          <w:bCs/>
          <w:color w:val="2E74B5" w:themeColor="accent5" w:themeShade="BF"/>
        </w:rPr>
        <w:t xml:space="preserve"> </w:t>
      </w:r>
    </w:p>
    <w:p w14:paraId="4A97CD98" w14:textId="46814F7B" w:rsidR="00CC20CE" w:rsidRPr="00327808" w:rsidRDefault="001B389D" w:rsidP="007A77AC">
      <w:pPr>
        <w:pStyle w:val="ListParagraph"/>
        <w:numPr>
          <w:ilvl w:val="0"/>
          <w:numId w:val="1"/>
        </w:numPr>
        <w:spacing w:line="360" w:lineRule="auto"/>
        <w:rPr>
          <w:rFonts w:ascii="Times New Roman" w:hAnsi="Times New Roman" w:cs="Times New Roman"/>
          <w:b/>
          <w:bCs/>
          <w:color w:val="2E74B5" w:themeColor="accent5" w:themeShade="BF"/>
        </w:rPr>
      </w:pPr>
      <w:r w:rsidRPr="00327808">
        <w:rPr>
          <w:rFonts w:ascii="Times New Roman" w:hAnsi="Times New Roman" w:cs="Times New Roman"/>
          <w:b/>
          <w:bCs/>
          <w:color w:val="2E74B5" w:themeColor="accent5" w:themeShade="BF"/>
        </w:rPr>
        <w:t>Mental Health (MENTHLTH)</w:t>
      </w:r>
      <w:r w:rsidR="00CC20CE" w:rsidRPr="00327808">
        <w:rPr>
          <w:rFonts w:ascii="Times New Roman" w:hAnsi="Times New Roman" w:cs="Times New Roman"/>
          <w:b/>
          <w:bCs/>
          <w:color w:val="2E74B5" w:themeColor="accent5" w:themeShade="BF"/>
        </w:rPr>
        <w:t xml:space="preserve"> </w:t>
      </w:r>
    </w:p>
    <w:p w14:paraId="58B0B980" w14:textId="012A6CF6" w:rsidR="001B389D" w:rsidRPr="00327808" w:rsidRDefault="00327808" w:rsidP="007A77AC">
      <w:pPr>
        <w:pStyle w:val="ListParagraph"/>
        <w:numPr>
          <w:ilvl w:val="0"/>
          <w:numId w:val="1"/>
        </w:numPr>
        <w:spacing w:line="360" w:lineRule="auto"/>
        <w:rPr>
          <w:rFonts w:ascii="Times New Roman" w:hAnsi="Times New Roman" w:cs="Times New Roman"/>
          <w:b/>
          <w:bCs/>
          <w:color w:val="FF0000"/>
        </w:rPr>
      </w:pPr>
      <w:r w:rsidRPr="00327808">
        <w:rPr>
          <w:rFonts w:ascii="Times New Roman" w:hAnsi="Times New Roman" w:cs="Times New Roman"/>
          <w:b/>
          <w:bCs/>
          <w:color w:val="FF0000"/>
        </w:rPr>
        <w:t>State (STATE)</w:t>
      </w:r>
    </w:p>
    <w:p w14:paraId="7184170B" w14:textId="567F95A8" w:rsidR="001B389D" w:rsidRPr="00327808" w:rsidRDefault="002745A2" w:rsidP="007A77AC">
      <w:pPr>
        <w:pStyle w:val="ListParagraph"/>
        <w:numPr>
          <w:ilvl w:val="0"/>
          <w:numId w:val="1"/>
        </w:numPr>
        <w:spacing w:line="360" w:lineRule="auto"/>
        <w:rPr>
          <w:rFonts w:ascii="Times New Roman" w:hAnsi="Times New Roman" w:cs="Times New Roman"/>
          <w:b/>
          <w:bCs/>
          <w:color w:val="FF0000"/>
        </w:rPr>
      </w:pPr>
      <w:r w:rsidRPr="00327808">
        <w:rPr>
          <w:rFonts w:ascii="Times New Roman" w:hAnsi="Times New Roman" w:cs="Times New Roman"/>
          <w:b/>
          <w:bCs/>
          <w:color w:val="FF0000"/>
        </w:rPr>
        <w:t>Checkup</w:t>
      </w:r>
      <w:r w:rsidR="001B389D" w:rsidRPr="00327808">
        <w:rPr>
          <w:rFonts w:ascii="Times New Roman" w:hAnsi="Times New Roman" w:cs="Times New Roman"/>
          <w:b/>
          <w:bCs/>
          <w:color w:val="FF0000"/>
        </w:rPr>
        <w:t xml:space="preserve"> (CHECKUP</w:t>
      </w:r>
      <w:r w:rsidR="000A5CA6" w:rsidRPr="00327808">
        <w:rPr>
          <w:rFonts w:ascii="Times New Roman" w:hAnsi="Times New Roman" w:cs="Times New Roman"/>
          <w:b/>
          <w:bCs/>
          <w:color w:val="FF0000"/>
        </w:rPr>
        <w:t>1</w:t>
      </w:r>
      <w:r w:rsidR="001B389D" w:rsidRPr="00327808">
        <w:rPr>
          <w:rFonts w:ascii="Times New Roman" w:hAnsi="Times New Roman" w:cs="Times New Roman"/>
          <w:b/>
          <w:bCs/>
          <w:color w:val="FF0000"/>
        </w:rPr>
        <w:t>)</w:t>
      </w:r>
      <w:r w:rsidRPr="00327808">
        <w:rPr>
          <w:rFonts w:ascii="Times New Roman" w:hAnsi="Times New Roman" w:cs="Times New Roman"/>
          <w:b/>
          <w:bCs/>
          <w:color w:val="FF0000"/>
        </w:rPr>
        <w:t xml:space="preserve"> </w:t>
      </w:r>
    </w:p>
    <w:p w14:paraId="60BD1B5F" w14:textId="779D2CD0" w:rsidR="001B389D" w:rsidRPr="00327808" w:rsidRDefault="001B389D" w:rsidP="007A77AC">
      <w:pPr>
        <w:pStyle w:val="ListParagraph"/>
        <w:numPr>
          <w:ilvl w:val="0"/>
          <w:numId w:val="1"/>
        </w:numPr>
        <w:spacing w:line="360" w:lineRule="auto"/>
        <w:rPr>
          <w:rFonts w:ascii="Times New Roman" w:hAnsi="Times New Roman" w:cs="Times New Roman"/>
          <w:b/>
          <w:bCs/>
          <w:color w:val="FF0000"/>
        </w:rPr>
      </w:pPr>
      <w:r w:rsidRPr="00327808">
        <w:rPr>
          <w:rFonts w:ascii="Times New Roman" w:hAnsi="Times New Roman" w:cs="Times New Roman"/>
          <w:b/>
          <w:bCs/>
          <w:color w:val="FF0000"/>
        </w:rPr>
        <w:t>Medical Cost (MEDCOST)</w:t>
      </w:r>
      <w:r w:rsidR="002745A2" w:rsidRPr="00327808">
        <w:rPr>
          <w:rFonts w:ascii="Times New Roman" w:hAnsi="Times New Roman" w:cs="Times New Roman"/>
          <w:b/>
          <w:bCs/>
          <w:color w:val="FF0000"/>
        </w:rPr>
        <w:t xml:space="preserve"> </w:t>
      </w:r>
    </w:p>
    <w:p w14:paraId="7162D8B8" w14:textId="6906EBF0" w:rsidR="001B389D" w:rsidRPr="00327808" w:rsidRDefault="001B389D" w:rsidP="007A77AC">
      <w:pPr>
        <w:pStyle w:val="ListParagraph"/>
        <w:numPr>
          <w:ilvl w:val="0"/>
          <w:numId w:val="1"/>
        </w:numPr>
        <w:spacing w:line="360" w:lineRule="auto"/>
        <w:rPr>
          <w:rFonts w:ascii="Times New Roman" w:hAnsi="Times New Roman" w:cs="Times New Roman"/>
          <w:b/>
          <w:bCs/>
          <w:color w:val="FF0000"/>
        </w:rPr>
      </w:pPr>
      <w:r w:rsidRPr="00327808">
        <w:rPr>
          <w:rFonts w:ascii="Times New Roman" w:hAnsi="Times New Roman" w:cs="Times New Roman"/>
          <w:b/>
          <w:bCs/>
          <w:color w:val="FF0000"/>
        </w:rPr>
        <w:t>Health Plan (HLTHPLN1)</w:t>
      </w:r>
      <w:r w:rsidR="002745A2" w:rsidRPr="00327808">
        <w:rPr>
          <w:rFonts w:ascii="Times New Roman" w:hAnsi="Times New Roman" w:cs="Times New Roman"/>
          <w:b/>
          <w:bCs/>
          <w:color w:val="FF0000"/>
        </w:rPr>
        <w:t xml:space="preserve"> </w:t>
      </w:r>
    </w:p>
    <w:p w14:paraId="476B3461" w14:textId="1A2874D0" w:rsidR="00421440" w:rsidRPr="00327808" w:rsidRDefault="001B389D" w:rsidP="00AB68DE">
      <w:pPr>
        <w:pStyle w:val="ListParagraph"/>
        <w:numPr>
          <w:ilvl w:val="0"/>
          <w:numId w:val="1"/>
        </w:numPr>
        <w:spacing w:line="360" w:lineRule="auto"/>
        <w:rPr>
          <w:rFonts w:ascii="Times New Roman" w:hAnsi="Times New Roman" w:cs="Times New Roman"/>
          <w:b/>
          <w:bCs/>
          <w:color w:val="FF0000"/>
        </w:rPr>
      </w:pPr>
      <w:r w:rsidRPr="00327808">
        <w:rPr>
          <w:rFonts w:ascii="Times New Roman" w:hAnsi="Times New Roman" w:cs="Times New Roman"/>
          <w:b/>
          <w:bCs/>
          <w:color w:val="FF0000"/>
        </w:rPr>
        <w:t>General Health (GENHLTH)</w:t>
      </w:r>
      <w:r w:rsidR="002745A2" w:rsidRPr="00327808">
        <w:rPr>
          <w:rFonts w:ascii="Times New Roman" w:hAnsi="Times New Roman" w:cs="Times New Roman"/>
          <w:b/>
          <w:bCs/>
          <w:color w:val="FF0000"/>
        </w:rPr>
        <w:t xml:space="preserve"> </w:t>
      </w:r>
    </w:p>
    <w:p w14:paraId="61D52719" w14:textId="77777777" w:rsidR="00AB68DE" w:rsidRDefault="00AB68DE">
      <w:pPr>
        <w:rPr>
          <w:rFonts w:ascii="Times New Roman" w:hAnsi="Times New Roman" w:cs="Times New Roman"/>
          <w:b/>
          <w:bCs/>
          <w:sz w:val="28"/>
          <w:szCs w:val="28"/>
          <w:u w:val="single"/>
        </w:rPr>
        <w:sectPr w:rsidR="00AB68DE" w:rsidSect="00AB68DE">
          <w:type w:val="continuous"/>
          <w:pgSz w:w="12240" w:h="15840"/>
          <w:pgMar w:top="1440" w:right="1440" w:bottom="1440" w:left="1440" w:header="720" w:footer="720" w:gutter="0"/>
          <w:cols w:num="2" w:space="720"/>
          <w:docGrid w:linePitch="360"/>
        </w:sectPr>
      </w:pPr>
    </w:p>
    <w:p w14:paraId="66D62B6F" w14:textId="4691C8E7" w:rsidR="00CD3B3F" w:rsidRPr="00DF37C3" w:rsidRDefault="00421440">
      <w:pPr>
        <w:rPr>
          <w:rFonts w:ascii="Times New Roman" w:hAnsi="Times New Roman" w:cs="Times New Roman"/>
          <w:b/>
          <w:bCs/>
          <w:sz w:val="28"/>
          <w:szCs w:val="28"/>
          <w:u w:val="single"/>
        </w:rPr>
      </w:pPr>
      <w:r w:rsidRPr="00DF37C3">
        <w:rPr>
          <w:rFonts w:ascii="Times New Roman" w:hAnsi="Times New Roman" w:cs="Times New Roman"/>
          <w:b/>
          <w:bCs/>
          <w:sz w:val="28"/>
          <w:szCs w:val="28"/>
          <w:u w:val="single"/>
        </w:rPr>
        <w:t>Descriptive Analysis</w:t>
      </w:r>
    </w:p>
    <w:p w14:paraId="59C9CCFD" w14:textId="499AC474" w:rsidR="00C743F2" w:rsidRDefault="00C743F2" w:rsidP="00DF37C3">
      <w:pPr>
        <w:rPr>
          <w:rFonts w:ascii="Times New Roman" w:hAnsi="Times New Roman" w:cs="Times New Roman"/>
        </w:rPr>
      </w:pPr>
    </w:p>
    <w:p w14:paraId="516F84CF" w14:textId="661850B1" w:rsidR="003417DE" w:rsidRDefault="003417DE" w:rsidP="00C80A51">
      <w:pPr>
        <w:spacing w:line="360" w:lineRule="auto"/>
        <w:ind w:firstLine="720"/>
        <w:jc w:val="both"/>
        <w:rPr>
          <w:rFonts w:ascii="Times New Roman" w:hAnsi="Times New Roman" w:cs="Times New Roman"/>
        </w:rPr>
      </w:pPr>
      <w:r>
        <w:rPr>
          <w:rFonts w:ascii="Times New Roman" w:hAnsi="Times New Roman" w:cs="Times New Roman"/>
        </w:rPr>
        <w:t>The descriptive analysis of the continuous variables reveals that a majority of the participants reported 0 days of poor physical, mental or poor health</w:t>
      </w:r>
      <w:r w:rsidR="002D3687">
        <w:rPr>
          <w:rFonts w:ascii="Times New Roman" w:hAnsi="Times New Roman" w:cs="Times New Roman"/>
        </w:rPr>
        <w:t xml:space="preserve"> in the past 30 days</w:t>
      </w:r>
      <w:r>
        <w:rPr>
          <w:rFonts w:ascii="Times New Roman" w:hAnsi="Times New Roman" w:cs="Times New Roman"/>
        </w:rPr>
        <w:t xml:space="preserve">. </w:t>
      </w:r>
      <w:r w:rsidR="00EC4FB1">
        <w:rPr>
          <w:rFonts w:ascii="Times New Roman" w:hAnsi="Times New Roman" w:cs="Times New Roman"/>
        </w:rPr>
        <w:t>This is shown by the median, which is 0. The means of physical and mental health are close together with 3.87 and 3.66 respectively</w:t>
      </w:r>
      <w:r w:rsidR="002D3687">
        <w:rPr>
          <w:rFonts w:ascii="Times New Roman" w:hAnsi="Times New Roman" w:cs="Times New Roman"/>
        </w:rPr>
        <w:t>;</w:t>
      </w:r>
      <w:r w:rsidR="00EC4FB1">
        <w:rPr>
          <w:rFonts w:ascii="Times New Roman" w:hAnsi="Times New Roman" w:cs="Times New Roman"/>
        </w:rPr>
        <w:t xml:space="preserve"> while the mean for poor health is 4.47 indicating more </w:t>
      </w:r>
      <w:r w:rsidR="00CB7683">
        <w:rPr>
          <w:rFonts w:ascii="Times New Roman" w:hAnsi="Times New Roman" w:cs="Times New Roman"/>
        </w:rPr>
        <w:t xml:space="preserve">spread in the </w:t>
      </w:r>
      <w:r w:rsidR="00CB7683">
        <w:rPr>
          <w:rFonts w:ascii="Times New Roman" w:hAnsi="Times New Roman" w:cs="Times New Roman"/>
        </w:rPr>
        <w:lastRenderedPageBreak/>
        <w:t xml:space="preserve">distribution. The relatively high standard deviations of all three variables also indicate a high spread in the distribution. </w:t>
      </w:r>
    </w:p>
    <w:p w14:paraId="07C52BAC" w14:textId="264511C0" w:rsidR="00C80A51" w:rsidRDefault="00A55AD3" w:rsidP="00C80A51">
      <w:pPr>
        <w:spacing w:line="360" w:lineRule="auto"/>
        <w:ind w:firstLine="720"/>
        <w:jc w:val="both"/>
        <w:rPr>
          <w:rFonts w:ascii="Times New Roman" w:hAnsi="Times New Roman" w:cs="Times New Roman"/>
        </w:rPr>
      </w:pPr>
      <w:r>
        <w:rPr>
          <w:rFonts w:ascii="Times New Roman" w:hAnsi="Times New Roman" w:cs="Times New Roman"/>
        </w:rPr>
        <w:t xml:space="preserve">The descriptive analysis of the nominal variables reveals that about 94% of the participants have some kind of insurance coverage. Also, </w:t>
      </w:r>
      <w:proofErr w:type="gramStart"/>
      <w:r>
        <w:rPr>
          <w:rFonts w:ascii="Times New Roman" w:hAnsi="Times New Roman" w:cs="Times New Roman"/>
        </w:rPr>
        <w:t>the majority of</w:t>
      </w:r>
      <w:proofErr w:type="gramEnd"/>
      <w:r>
        <w:rPr>
          <w:rFonts w:ascii="Times New Roman" w:hAnsi="Times New Roman" w:cs="Times New Roman"/>
        </w:rPr>
        <w:t xml:space="preserve"> the participants have had a checkup in the past 12 months; have not foregone medical treatment due to cost and rate their general health as good or above. </w:t>
      </w:r>
    </w:p>
    <w:p w14:paraId="1750840F" w14:textId="636C5A25" w:rsidR="00BD756D" w:rsidRDefault="00356DAE" w:rsidP="006F4396">
      <w:pPr>
        <w:keepNext/>
        <w:autoSpaceDE w:val="0"/>
        <w:autoSpaceDN w:val="0"/>
        <w:adjustRightInd w:val="0"/>
        <w:jc w:val="center"/>
        <w:rPr>
          <w:rFonts w:ascii="Helvetica Neue" w:hAnsi="Helvetica Neue" w:cs="Helvetica Neue"/>
          <w:b/>
          <w:bCs/>
          <w:color w:val="000000"/>
          <w:sz w:val="34"/>
          <w:szCs w:val="34"/>
        </w:rPr>
      </w:pPr>
      <w:r>
        <w:rPr>
          <w:rFonts w:ascii="Helvetica Neue" w:hAnsi="Helvetica Neue" w:cs="Helvetica Neue"/>
          <w:b/>
          <w:bCs/>
          <w:color w:val="000000"/>
          <w:sz w:val="34"/>
          <w:szCs w:val="34"/>
        </w:rPr>
        <w:t>Physical Health</w:t>
      </w:r>
    </w:p>
    <w:p w14:paraId="06E6EC06" w14:textId="62BFC18D" w:rsidR="00BD756D" w:rsidRDefault="00D8086C" w:rsidP="00BD756D">
      <w:pPr>
        <w:autoSpaceDE w:val="0"/>
        <w:autoSpaceDN w:val="0"/>
        <w:adjustRightInd w:val="0"/>
        <w:rPr>
          <w:rFonts w:ascii="Helvetica Neue" w:hAnsi="Helvetica Neue" w:cs="Helvetica Neue"/>
          <w:color w:val="000000"/>
        </w:rPr>
      </w:pPr>
      <w:r>
        <w:rPr>
          <w:rFonts w:ascii="Helvetica Neue" w:hAnsi="Helvetica Neue" w:cs="Helvetica Neue"/>
          <w:noProof/>
          <w:color w:val="000000"/>
        </w:rPr>
        <w:drawing>
          <wp:anchor distT="0" distB="0" distL="114300" distR="114300" simplePos="0" relativeHeight="251658240" behindDoc="0" locked="0" layoutInCell="1" allowOverlap="1" wp14:anchorId="1609F6DF" wp14:editId="0840DD5C">
            <wp:simplePos x="0" y="0"/>
            <wp:positionH relativeFrom="column">
              <wp:posOffset>0</wp:posOffset>
            </wp:positionH>
            <wp:positionV relativeFrom="paragraph">
              <wp:posOffset>182245</wp:posOffset>
            </wp:positionV>
            <wp:extent cx="3420745" cy="2550160"/>
            <wp:effectExtent l="0" t="0" r="0" b="2540"/>
            <wp:wrapSquare wrapText="bothSides"/>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745"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7558" w:tblpY="4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60"/>
        <w:gridCol w:w="1260"/>
        <w:gridCol w:w="915"/>
      </w:tblGrid>
      <w:tr w:rsidR="006F4396" w:rsidRPr="00C743F2" w14:paraId="48A4402E" w14:textId="77777777" w:rsidTr="009947C5">
        <w:tc>
          <w:tcPr>
            <w:tcW w:w="1060" w:type="dxa"/>
            <w:shd w:val="clear" w:color="auto" w:fill="BDD6EE" w:themeFill="accent5" w:themeFillTint="66"/>
          </w:tcPr>
          <w:p w14:paraId="14A89B26"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100.0%</w:t>
            </w:r>
          </w:p>
        </w:tc>
        <w:tc>
          <w:tcPr>
            <w:tcW w:w="1260" w:type="dxa"/>
            <w:shd w:val="clear" w:color="auto" w:fill="BDD6EE" w:themeFill="accent5" w:themeFillTint="66"/>
          </w:tcPr>
          <w:p w14:paraId="2354C6F1"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maximum</w:t>
            </w:r>
          </w:p>
        </w:tc>
        <w:tc>
          <w:tcPr>
            <w:tcW w:w="915" w:type="dxa"/>
            <w:shd w:val="clear" w:color="auto" w:fill="BDD6EE" w:themeFill="accent5" w:themeFillTint="66"/>
          </w:tcPr>
          <w:p w14:paraId="0660BFA1"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30</w:t>
            </w:r>
          </w:p>
        </w:tc>
      </w:tr>
      <w:tr w:rsidR="006F4396" w:rsidRPr="00C743F2" w14:paraId="322A09D0" w14:textId="77777777" w:rsidTr="009947C5">
        <w:tc>
          <w:tcPr>
            <w:tcW w:w="1060" w:type="dxa"/>
          </w:tcPr>
          <w:p w14:paraId="603F037E"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50.0%</w:t>
            </w:r>
          </w:p>
        </w:tc>
        <w:tc>
          <w:tcPr>
            <w:tcW w:w="1260" w:type="dxa"/>
          </w:tcPr>
          <w:p w14:paraId="6C75F05B"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median</w:t>
            </w:r>
          </w:p>
        </w:tc>
        <w:tc>
          <w:tcPr>
            <w:tcW w:w="915" w:type="dxa"/>
          </w:tcPr>
          <w:p w14:paraId="0392CF5E"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w:t>
            </w:r>
          </w:p>
        </w:tc>
      </w:tr>
      <w:tr w:rsidR="006F4396" w:rsidRPr="00C743F2" w14:paraId="6BD3FE44" w14:textId="77777777" w:rsidTr="009947C5">
        <w:tc>
          <w:tcPr>
            <w:tcW w:w="1060" w:type="dxa"/>
            <w:shd w:val="clear" w:color="auto" w:fill="BDD6EE" w:themeFill="accent5" w:themeFillTint="66"/>
          </w:tcPr>
          <w:p w14:paraId="11C7410A"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0.0%</w:t>
            </w:r>
          </w:p>
        </w:tc>
        <w:tc>
          <w:tcPr>
            <w:tcW w:w="1260" w:type="dxa"/>
            <w:shd w:val="clear" w:color="auto" w:fill="BDD6EE" w:themeFill="accent5" w:themeFillTint="66"/>
          </w:tcPr>
          <w:p w14:paraId="2416D342"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minimum</w:t>
            </w:r>
          </w:p>
        </w:tc>
        <w:tc>
          <w:tcPr>
            <w:tcW w:w="915" w:type="dxa"/>
            <w:shd w:val="clear" w:color="auto" w:fill="BDD6EE" w:themeFill="accent5" w:themeFillTint="66"/>
          </w:tcPr>
          <w:p w14:paraId="1AB34E6A"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w:t>
            </w:r>
          </w:p>
        </w:tc>
      </w:tr>
    </w:tbl>
    <w:tbl>
      <w:tblPr>
        <w:tblpPr w:leftFromText="180" w:rightFromText="180" w:vertAnchor="text" w:horzAnchor="page" w:tblpX="7620" w:tblpY="26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420"/>
      </w:tblGrid>
      <w:tr w:rsidR="006F4396" w:rsidRPr="00C743F2" w14:paraId="62400F31" w14:textId="77777777" w:rsidTr="006F4396">
        <w:tc>
          <w:tcPr>
            <w:tcW w:w="1260" w:type="dxa"/>
            <w:shd w:val="clear" w:color="auto" w:fill="BDD6EE" w:themeFill="accent5" w:themeFillTint="66"/>
          </w:tcPr>
          <w:p w14:paraId="32565FC3"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Mean</w:t>
            </w:r>
          </w:p>
        </w:tc>
        <w:tc>
          <w:tcPr>
            <w:tcW w:w="1420" w:type="dxa"/>
            <w:shd w:val="clear" w:color="auto" w:fill="BDD6EE" w:themeFill="accent5" w:themeFillTint="66"/>
          </w:tcPr>
          <w:p w14:paraId="36A49049" w14:textId="4D1E612C"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3.87</w:t>
            </w:r>
          </w:p>
        </w:tc>
      </w:tr>
      <w:tr w:rsidR="006F4396" w:rsidRPr="00C743F2" w14:paraId="746EF12F" w14:textId="77777777" w:rsidTr="006F4396">
        <w:tc>
          <w:tcPr>
            <w:tcW w:w="1260" w:type="dxa"/>
          </w:tcPr>
          <w:p w14:paraId="4E93C05D"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Std Dev</w:t>
            </w:r>
          </w:p>
        </w:tc>
        <w:tc>
          <w:tcPr>
            <w:tcW w:w="1420" w:type="dxa"/>
          </w:tcPr>
          <w:p w14:paraId="15478967" w14:textId="54A50F1B"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8.05</w:t>
            </w:r>
          </w:p>
        </w:tc>
      </w:tr>
      <w:tr w:rsidR="006F4396" w:rsidRPr="00C743F2" w14:paraId="383E43F5" w14:textId="77777777" w:rsidTr="006F4396">
        <w:tc>
          <w:tcPr>
            <w:tcW w:w="1260" w:type="dxa"/>
            <w:shd w:val="clear" w:color="auto" w:fill="BDD6EE" w:themeFill="accent5" w:themeFillTint="66"/>
          </w:tcPr>
          <w:p w14:paraId="5F277DD3"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w:t>
            </w:r>
          </w:p>
        </w:tc>
        <w:tc>
          <w:tcPr>
            <w:tcW w:w="1420" w:type="dxa"/>
            <w:shd w:val="clear" w:color="auto" w:fill="BDD6EE" w:themeFill="accent5" w:themeFillTint="66"/>
          </w:tcPr>
          <w:p w14:paraId="0912FB45"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2534</w:t>
            </w:r>
          </w:p>
        </w:tc>
      </w:tr>
    </w:tbl>
    <w:p w14:paraId="5926A1B7" w14:textId="6B7781E9" w:rsidR="006F4396" w:rsidRPr="00C743F2" w:rsidRDefault="006F4396" w:rsidP="00BD756D">
      <w:pPr>
        <w:autoSpaceDE w:val="0"/>
        <w:autoSpaceDN w:val="0"/>
        <w:adjustRightInd w:val="0"/>
        <w:rPr>
          <w:rFonts w:ascii="Times New Roman" w:hAnsi="Times New Roman" w:cs="Times New Roman"/>
          <w:b/>
          <w:bCs/>
          <w:color w:val="000000"/>
          <w:sz w:val="22"/>
          <w:szCs w:val="22"/>
        </w:rPr>
      </w:pPr>
      <w:r w:rsidRPr="00C743F2">
        <w:rPr>
          <w:rFonts w:ascii="Times New Roman" w:hAnsi="Times New Roman" w:cs="Times New Roman"/>
          <w:color w:val="000000"/>
          <w:sz w:val="22"/>
          <w:szCs w:val="22"/>
        </w:rPr>
        <w:tab/>
        <w:t xml:space="preserve">     </w:t>
      </w:r>
      <w:r w:rsidRPr="00C743F2">
        <w:rPr>
          <w:rFonts w:ascii="Times New Roman" w:hAnsi="Times New Roman" w:cs="Times New Roman"/>
          <w:b/>
          <w:bCs/>
          <w:color w:val="000000"/>
          <w:sz w:val="22"/>
          <w:szCs w:val="22"/>
        </w:rPr>
        <w:t>Quantiles</w:t>
      </w:r>
    </w:p>
    <w:p w14:paraId="187D9960" w14:textId="77777777" w:rsidR="006F4396" w:rsidRPr="00C743F2" w:rsidRDefault="006F4396" w:rsidP="006F4396">
      <w:pPr>
        <w:rPr>
          <w:rFonts w:ascii="Times New Roman" w:hAnsi="Times New Roman" w:cs="Times New Roman"/>
          <w:sz w:val="22"/>
          <w:szCs w:val="22"/>
        </w:rPr>
      </w:pPr>
    </w:p>
    <w:p w14:paraId="15A1E38B" w14:textId="77777777" w:rsidR="006F4396" w:rsidRPr="00C743F2" w:rsidRDefault="006F4396" w:rsidP="006F4396">
      <w:pPr>
        <w:rPr>
          <w:rFonts w:ascii="Times New Roman" w:hAnsi="Times New Roman" w:cs="Times New Roman"/>
          <w:sz w:val="22"/>
          <w:szCs w:val="22"/>
        </w:rPr>
      </w:pPr>
    </w:p>
    <w:p w14:paraId="4D19B3C5" w14:textId="77777777" w:rsidR="006F4396" w:rsidRPr="00C743F2" w:rsidRDefault="006F4396" w:rsidP="006F4396">
      <w:pPr>
        <w:rPr>
          <w:rFonts w:ascii="Times New Roman" w:hAnsi="Times New Roman" w:cs="Times New Roman"/>
          <w:sz w:val="22"/>
          <w:szCs w:val="22"/>
        </w:rPr>
      </w:pPr>
    </w:p>
    <w:p w14:paraId="50F58C37" w14:textId="77777777" w:rsidR="006F4396" w:rsidRPr="00C743F2" w:rsidRDefault="006F4396" w:rsidP="006F4396">
      <w:pPr>
        <w:rPr>
          <w:rFonts w:ascii="Times New Roman" w:hAnsi="Times New Roman" w:cs="Times New Roman"/>
          <w:sz w:val="22"/>
          <w:szCs w:val="22"/>
        </w:rPr>
      </w:pPr>
    </w:p>
    <w:p w14:paraId="5FD117AF" w14:textId="77777777" w:rsidR="006F4396" w:rsidRPr="00C743F2" w:rsidRDefault="006F4396" w:rsidP="006F4396">
      <w:pPr>
        <w:rPr>
          <w:rFonts w:ascii="Times New Roman" w:hAnsi="Times New Roman" w:cs="Times New Roman"/>
          <w:sz w:val="22"/>
          <w:szCs w:val="22"/>
        </w:rPr>
      </w:pPr>
    </w:p>
    <w:p w14:paraId="0A9983E7" w14:textId="77777777" w:rsidR="006F4396" w:rsidRPr="00C743F2" w:rsidRDefault="006F4396" w:rsidP="00BD756D">
      <w:pPr>
        <w:autoSpaceDE w:val="0"/>
        <w:autoSpaceDN w:val="0"/>
        <w:adjustRightInd w:val="0"/>
        <w:rPr>
          <w:rFonts w:ascii="Times New Roman" w:hAnsi="Times New Roman" w:cs="Times New Roman"/>
          <w:b/>
          <w:bCs/>
          <w:color w:val="000000"/>
          <w:sz w:val="22"/>
          <w:szCs w:val="22"/>
        </w:rPr>
      </w:pPr>
    </w:p>
    <w:p w14:paraId="21CDE0A9" w14:textId="187E54A2" w:rsidR="00131AE3" w:rsidRPr="00EC4FB1" w:rsidRDefault="006F4396" w:rsidP="00EC4FB1">
      <w:pPr>
        <w:autoSpaceDE w:val="0"/>
        <w:autoSpaceDN w:val="0"/>
        <w:adjustRightInd w:val="0"/>
        <w:rPr>
          <w:rFonts w:ascii="Times New Roman" w:hAnsi="Times New Roman" w:cs="Times New Roman"/>
          <w:b/>
          <w:bCs/>
          <w:color w:val="000000"/>
        </w:rPr>
      </w:pPr>
      <w:r w:rsidRPr="00C743F2">
        <w:rPr>
          <w:rFonts w:ascii="Times New Roman" w:hAnsi="Times New Roman" w:cs="Times New Roman"/>
          <w:b/>
          <w:bCs/>
          <w:color w:val="000000"/>
        </w:rPr>
        <w:tab/>
        <w:t xml:space="preserve">     Summary Statistics</w:t>
      </w:r>
      <w:r w:rsidRPr="00C743F2">
        <w:rPr>
          <w:rFonts w:ascii="Times New Roman" w:hAnsi="Times New Roman" w:cs="Times New Roman"/>
          <w:b/>
          <w:bCs/>
          <w:color w:val="000000"/>
        </w:rPr>
        <w:br w:type="textWrapping" w:clear="all"/>
      </w:r>
    </w:p>
    <w:p w14:paraId="48822CAE" w14:textId="77777777" w:rsidR="00131AE3" w:rsidRDefault="00131AE3">
      <w:pPr>
        <w:rPr>
          <w:rFonts w:ascii="Times New Roman" w:hAnsi="Times New Roman" w:cs="Times New Roman"/>
        </w:rPr>
      </w:pPr>
    </w:p>
    <w:p w14:paraId="5BE5F3EF" w14:textId="1E0C8699" w:rsidR="00BD756D" w:rsidRDefault="00356DAE" w:rsidP="006F4396">
      <w:pPr>
        <w:keepNext/>
        <w:autoSpaceDE w:val="0"/>
        <w:autoSpaceDN w:val="0"/>
        <w:adjustRightInd w:val="0"/>
        <w:jc w:val="center"/>
        <w:rPr>
          <w:rFonts w:ascii="Helvetica Neue" w:hAnsi="Helvetica Neue" w:cs="Helvetica Neue"/>
          <w:b/>
          <w:bCs/>
          <w:color w:val="000000"/>
          <w:sz w:val="34"/>
          <w:szCs w:val="34"/>
        </w:rPr>
      </w:pPr>
      <w:r>
        <w:rPr>
          <w:rFonts w:ascii="Helvetica Neue" w:hAnsi="Helvetica Neue" w:cs="Helvetica Neue"/>
          <w:b/>
          <w:bCs/>
          <w:color w:val="000000"/>
          <w:sz w:val="34"/>
          <w:szCs w:val="34"/>
        </w:rPr>
        <w:t>Mental Health</w:t>
      </w:r>
    </w:p>
    <w:p w14:paraId="497967E1" w14:textId="4F31D190" w:rsidR="006F4396" w:rsidRDefault="009947C5" w:rsidP="006F4396">
      <w:pPr>
        <w:keepNext/>
        <w:tabs>
          <w:tab w:val="left" w:pos="6302"/>
        </w:tabs>
        <w:autoSpaceDE w:val="0"/>
        <w:autoSpaceDN w:val="0"/>
        <w:adjustRightInd w:val="0"/>
        <w:rPr>
          <w:rFonts w:ascii="Helvetica Neue" w:hAnsi="Helvetica Neue" w:cs="Helvetica Neue"/>
          <w:b/>
          <w:bCs/>
          <w:color w:val="000000"/>
          <w:sz w:val="34"/>
          <w:szCs w:val="34"/>
        </w:rPr>
      </w:pPr>
      <w:r>
        <w:rPr>
          <w:rFonts w:ascii="Helvetica Neue" w:hAnsi="Helvetica Neue" w:cs="Helvetica Neue"/>
          <w:noProof/>
          <w:color w:val="000000"/>
        </w:rPr>
        <w:drawing>
          <wp:anchor distT="0" distB="0" distL="114300" distR="114300" simplePos="0" relativeHeight="251659264" behindDoc="0" locked="0" layoutInCell="1" allowOverlap="1" wp14:anchorId="04C7B510" wp14:editId="56B4A00F">
            <wp:simplePos x="0" y="0"/>
            <wp:positionH relativeFrom="column">
              <wp:posOffset>-78740</wp:posOffset>
            </wp:positionH>
            <wp:positionV relativeFrom="paragraph">
              <wp:posOffset>86995</wp:posOffset>
            </wp:positionV>
            <wp:extent cx="3656965" cy="2747645"/>
            <wp:effectExtent l="0" t="0" r="635" b="0"/>
            <wp:wrapSquare wrapText="bothSides"/>
            <wp:docPr id="2" name="Picture 2"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6965" cy="274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96">
        <w:rPr>
          <w:rFonts w:ascii="Helvetica Neue" w:hAnsi="Helvetica Neue" w:cs="Helvetica Neue"/>
          <w:b/>
          <w:bCs/>
          <w:color w:val="000000"/>
          <w:sz w:val="34"/>
          <w:szCs w:val="34"/>
        </w:rPr>
        <w:tab/>
      </w:r>
    </w:p>
    <w:p w14:paraId="1763DBD0" w14:textId="572FF7F6" w:rsidR="006F4396" w:rsidRPr="00C743F2" w:rsidRDefault="009947C5" w:rsidP="006F4396">
      <w:pPr>
        <w:keepNext/>
        <w:tabs>
          <w:tab w:val="left" w:pos="6302"/>
        </w:tabs>
        <w:autoSpaceDE w:val="0"/>
        <w:autoSpaceDN w:val="0"/>
        <w:adjustRightInd w:val="0"/>
        <w:rPr>
          <w:rFonts w:ascii="Times New Roman" w:hAnsi="Times New Roman" w:cs="Times New Roman"/>
          <w:b/>
          <w:bCs/>
          <w:color w:val="000000"/>
          <w:sz w:val="32"/>
          <w:szCs w:val="32"/>
        </w:rPr>
      </w:pPr>
      <w:r>
        <w:rPr>
          <w:rFonts w:ascii="Helvetica Neue" w:hAnsi="Helvetica Neue" w:cs="Helvetica Neue"/>
          <w:b/>
          <w:bCs/>
          <w:color w:val="000000"/>
          <w:sz w:val="28"/>
          <w:szCs w:val="28"/>
        </w:rPr>
        <w:t xml:space="preserve">    </w:t>
      </w:r>
      <w:r w:rsidR="006F4396" w:rsidRPr="00C743F2">
        <w:rPr>
          <w:rFonts w:ascii="Times New Roman" w:hAnsi="Times New Roman" w:cs="Times New Roman"/>
          <w:b/>
          <w:bCs/>
          <w:color w:val="000000"/>
        </w:rPr>
        <w:t>Quantiles</w:t>
      </w:r>
    </w:p>
    <w:tbl>
      <w:tblPr>
        <w:tblpPr w:leftFromText="180" w:rightFromText="180" w:vertAnchor="text" w:horzAnchor="page" w:tblpX="7619"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60"/>
        <w:gridCol w:w="1260"/>
        <w:gridCol w:w="825"/>
      </w:tblGrid>
      <w:tr w:rsidR="006F4396" w:rsidRPr="00C743F2" w14:paraId="3EC8545B" w14:textId="77777777" w:rsidTr="009947C5">
        <w:tc>
          <w:tcPr>
            <w:tcW w:w="1060" w:type="dxa"/>
            <w:shd w:val="clear" w:color="auto" w:fill="BDD6EE" w:themeFill="accent5" w:themeFillTint="66"/>
          </w:tcPr>
          <w:p w14:paraId="15F46FC9"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100.0%</w:t>
            </w:r>
          </w:p>
        </w:tc>
        <w:tc>
          <w:tcPr>
            <w:tcW w:w="1260" w:type="dxa"/>
            <w:shd w:val="clear" w:color="auto" w:fill="BDD6EE" w:themeFill="accent5" w:themeFillTint="66"/>
          </w:tcPr>
          <w:p w14:paraId="5D7129C4"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maximum</w:t>
            </w:r>
          </w:p>
        </w:tc>
        <w:tc>
          <w:tcPr>
            <w:tcW w:w="825" w:type="dxa"/>
            <w:shd w:val="clear" w:color="auto" w:fill="BDD6EE" w:themeFill="accent5" w:themeFillTint="66"/>
          </w:tcPr>
          <w:p w14:paraId="595C2370"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30</w:t>
            </w:r>
          </w:p>
        </w:tc>
      </w:tr>
      <w:tr w:rsidR="006F4396" w:rsidRPr="00C743F2" w14:paraId="50F0AA74" w14:textId="77777777" w:rsidTr="009947C5">
        <w:tc>
          <w:tcPr>
            <w:tcW w:w="1060" w:type="dxa"/>
          </w:tcPr>
          <w:p w14:paraId="26590AA4"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50.0%</w:t>
            </w:r>
          </w:p>
        </w:tc>
        <w:tc>
          <w:tcPr>
            <w:tcW w:w="1260" w:type="dxa"/>
          </w:tcPr>
          <w:p w14:paraId="40F9F86A"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median</w:t>
            </w:r>
          </w:p>
        </w:tc>
        <w:tc>
          <w:tcPr>
            <w:tcW w:w="825" w:type="dxa"/>
          </w:tcPr>
          <w:p w14:paraId="50BBD53F"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w:t>
            </w:r>
          </w:p>
        </w:tc>
      </w:tr>
      <w:tr w:rsidR="006F4396" w:rsidRPr="00C743F2" w14:paraId="5D7A0A47" w14:textId="77777777" w:rsidTr="009947C5">
        <w:tc>
          <w:tcPr>
            <w:tcW w:w="1060" w:type="dxa"/>
            <w:shd w:val="clear" w:color="auto" w:fill="BDD6EE" w:themeFill="accent5" w:themeFillTint="66"/>
          </w:tcPr>
          <w:p w14:paraId="3BC7F271" w14:textId="77777777" w:rsidR="006F4396" w:rsidRPr="00C743F2" w:rsidRDefault="006F4396" w:rsidP="006F4396">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0.0%</w:t>
            </w:r>
          </w:p>
        </w:tc>
        <w:tc>
          <w:tcPr>
            <w:tcW w:w="1260" w:type="dxa"/>
            <w:shd w:val="clear" w:color="auto" w:fill="BDD6EE" w:themeFill="accent5" w:themeFillTint="66"/>
          </w:tcPr>
          <w:p w14:paraId="00ACABC7"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minimum</w:t>
            </w:r>
          </w:p>
        </w:tc>
        <w:tc>
          <w:tcPr>
            <w:tcW w:w="825" w:type="dxa"/>
            <w:shd w:val="clear" w:color="auto" w:fill="BDD6EE" w:themeFill="accent5" w:themeFillTint="66"/>
          </w:tcPr>
          <w:p w14:paraId="7B4692C8" w14:textId="77777777" w:rsidR="006F4396" w:rsidRPr="00C743F2" w:rsidRDefault="006F4396" w:rsidP="006F4396">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w:t>
            </w:r>
          </w:p>
        </w:tc>
      </w:tr>
    </w:tbl>
    <w:p w14:paraId="726C7B57" w14:textId="1D9A9AD0" w:rsidR="006F4396" w:rsidRPr="00C743F2" w:rsidRDefault="006F4396" w:rsidP="00BD756D">
      <w:pPr>
        <w:autoSpaceDE w:val="0"/>
        <w:autoSpaceDN w:val="0"/>
        <w:adjustRightInd w:val="0"/>
        <w:rPr>
          <w:rFonts w:ascii="Times New Roman" w:hAnsi="Times New Roman" w:cs="Times New Roman"/>
          <w:color w:val="000000"/>
          <w:sz w:val="22"/>
          <w:szCs w:val="22"/>
        </w:rPr>
      </w:pPr>
    </w:p>
    <w:tbl>
      <w:tblPr>
        <w:tblpPr w:leftFromText="180" w:rightFromText="180" w:vertAnchor="text" w:horzAnchor="page" w:tblpX="7589" w:tblpY="1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420"/>
      </w:tblGrid>
      <w:tr w:rsidR="009947C5" w:rsidRPr="00C743F2" w14:paraId="1D1EAD5C" w14:textId="77777777" w:rsidTr="009947C5">
        <w:tc>
          <w:tcPr>
            <w:tcW w:w="1260" w:type="dxa"/>
            <w:shd w:val="clear" w:color="auto" w:fill="BDD6EE" w:themeFill="accent5" w:themeFillTint="66"/>
          </w:tcPr>
          <w:p w14:paraId="71EA9357" w14:textId="77777777" w:rsidR="009947C5" w:rsidRPr="00C743F2" w:rsidRDefault="009947C5" w:rsidP="009947C5">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Mean</w:t>
            </w:r>
          </w:p>
        </w:tc>
        <w:tc>
          <w:tcPr>
            <w:tcW w:w="1420" w:type="dxa"/>
            <w:shd w:val="clear" w:color="auto" w:fill="BDD6EE" w:themeFill="accent5" w:themeFillTint="66"/>
          </w:tcPr>
          <w:p w14:paraId="4F236D23" w14:textId="12C6D1A8"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3.66</w:t>
            </w:r>
          </w:p>
        </w:tc>
      </w:tr>
      <w:tr w:rsidR="009947C5" w:rsidRPr="00C743F2" w14:paraId="29D61805" w14:textId="77777777" w:rsidTr="009947C5">
        <w:tc>
          <w:tcPr>
            <w:tcW w:w="1260" w:type="dxa"/>
          </w:tcPr>
          <w:p w14:paraId="3CED6D80" w14:textId="77777777" w:rsidR="009947C5" w:rsidRPr="00C743F2" w:rsidRDefault="009947C5" w:rsidP="009947C5">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Std Dev</w:t>
            </w:r>
          </w:p>
        </w:tc>
        <w:tc>
          <w:tcPr>
            <w:tcW w:w="1420" w:type="dxa"/>
          </w:tcPr>
          <w:p w14:paraId="7B8EA17C" w14:textId="34B74D05"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7.59</w:t>
            </w:r>
          </w:p>
        </w:tc>
      </w:tr>
      <w:tr w:rsidR="009947C5" w14:paraId="6E51B676" w14:textId="77777777" w:rsidTr="009947C5">
        <w:tc>
          <w:tcPr>
            <w:tcW w:w="1260" w:type="dxa"/>
            <w:shd w:val="clear" w:color="auto" w:fill="BDD6EE" w:themeFill="accent5" w:themeFillTint="66"/>
          </w:tcPr>
          <w:p w14:paraId="156448F7" w14:textId="77777777" w:rsidR="009947C5" w:rsidRDefault="009947C5" w:rsidP="009947C5">
            <w:pPr>
              <w:autoSpaceDE w:val="0"/>
              <w:autoSpaceDN w:val="0"/>
              <w:adjustRightInd w:val="0"/>
              <w:rPr>
                <w:rFonts w:ascii="Helvetica Neue" w:hAnsi="Helvetica Neue" w:cs="Helvetica Neue"/>
                <w:color w:val="000000"/>
              </w:rPr>
            </w:pPr>
            <w:r>
              <w:rPr>
                <w:rFonts w:ascii="Helvetica Neue" w:hAnsi="Helvetica Neue" w:cs="Helvetica Neue"/>
                <w:color w:val="000000"/>
              </w:rPr>
              <w:t>N</w:t>
            </w:r>
          </w:p>
        </w:tc>
        <w:tc>
          <w:tcPr>
            <w:tcW w:w="1420" w:type="dxa"/>
            <w:shd w:val="clear" w:color="auto" w:fill="BDD6EE" w:themeFill="accent5" w:themeFillTint="66"/>
          </w:tcPr>
          <w:p w14:paraId="434FFAB4" w14:textId="77777777" w:rsidR="009947C5" w:rsidRDefault="009947C5" w:rsidP="009947C5">
            <w:pPr>
              <w:autoSpaceDE w:val="0"/>
              <w:autoSpaceDN w:val="0"/>
              <w:adjustRightInd w:val="0"/>
              <w:jc w:val="right"/>
              <w:rPr>
                <w:rFonts w:ascii="Helvetica Neue" w:hAnsi="Helvetica Neue" w:cs="Helvetica Neue"/>
                <w:color w:val="000000"/>
              </w:rPr>
            </w:pPr>
            <w:r>
              <w:rPr>
                <w:rFonts w:ascii="Helvetica Neue" w:hAnsi="Helvetica Neue" w:cs="Helvetica Neue"/>
                <w:color w:val="000000"/>
              </w:rPr>
              <w:t>2552</w:t>
            </w:r>
          </w:p>
        </w:tc>
      </w:tr>
    </w:tbl>
    <w:p w14:paraId="3C33FA0D" w14:textId="77777777" w:rsidR="009947C5" w:rsidRDefault="009947C5" w:rsidP="00BD756D">
      <w:pPr>
        <w:autoSpaceDE w:val="0"/>
        <w:autoSpaceDN w:val="0"/>
        <w:adjustRightInd w:val="0"/>
        <w:rPr>
          <w:rFonts w:ascii="Helvetica Neue" w:hAnsi="Helvetica Neue" w:cs="Helvetica Neue"/>
          <w:b/>
          <w:bCs/>
          <w:color w:val="000000"/>
        </w:rPr>
      </w:pPr>
      <w:r w:rsidRPr="009947C5">
        <w:rPr>
          <w:rFonts w:ascii="Helvetica Neue" w:hAnsi="Helvetica Neue" w:cs="Helvetica Neue"/>
          <w:b/>
          <w:bCs/>
          <w:color w:val="000000"/>
        </w:rPr>
        <w:t xml:space="preserve">    </w:t>
      </w:r>
    </w:p>
    <w:p w14:paraId="4BD86FBC" w14:textId="77777777" w:rsidR="009947C5" w:rsidRDefault="009947C5" w:rsidP="00BD756D">
      <w:pPr>
        <w:autoSpaceDE w:val="0"/>
        <w:autoSpaceDN w:val="0"/>
        <w:adjustRightInd w:val="0"/>
        <w:rPr>
          <w:rFonts w:ascii="Helvetica Neue" w:hAnsi="Helvetica Neue" w:cs="Helvetica Neue"/>
          <w:b/>
          <w:bCs/>
          <w:color w:val="000000"/>
        </w:rPr>
      </w:pPr>
    </w:p>
    <w:p w14:paraId="178BCC47" w14:textId="5B9E8734" w:rsidR="00BD756D" w:rsidRPr="009947C5" w:rsidRDefault="009947C5" w:rsidP="009947C5">
      <w:pPr>
        <w:autoSpaceDE w:val="0"/>
        <w:autoSpaceDN w:val="0"/>
        <w:adjustRightInd w:val="0"/>
        <w:rPr>
          <w:rFonts w:ascii="Helvetica Neue" w:hAnsi="Helvetica Neue" w:cs="Helvetica Neue"/>
          <w:b/>
          <w:bCs/>
          <w:color w:val="000000"/>
          <w:sz w:val="28"/>
          <w:szCs w:val="28"/>
        </w:rPr>
      </w:pPr>
      <w:r w:rsidRPr="009947C5">
        <w:rPr>
          <w:rFonts w:ascii="Helvetica Neue" w:hAnsi="Helvetica Neue" w:cs="Helvetica Neue"/>
          <w:b/>
          <w:bCs/>
          <w:color w:val="000000"/>
          <w:sz w:val="28"/>
          <w:szCs w:val="28"/>
        </w:rPr>
        <w:t xml:space="preserve">    Summary Statistics</w:t>
      </w:r>
    </w:p>
    <w:p w14:paraId="1200003F" w14:textId="77777777" w:rsidR="00356DAE" w:rsidRDefault="00356DAE" w:rsidP="009947C5">
      <w:pPr>
        <w:keepNext/>
        <w:autoSpaceDE w:val="0"/>
        <w:autoSpaceDN w:val="0"/>
        <w:adjustRightInd w:val="0"/>
        <w:jc w:val="center"/>
        <w:rPr>
          <w:rFonts w:ascii="Helvetica Neue" w:hAnsi="Helvetica Neue" w:cs="Helvetica Neue"/>
          <w:b/>
          <w:bCs/>
          <w:color w:val="000000"/>
          <w:sz w:val="34"/>
          <w:szCs w:val="34"/>
        </w:rPr>
      </w:pPr>
    </w:p>
    <w:p w14:paraId="44327424" w14:textId="60DD0636" w:rsidR="00BD756D" w:rsidRDefault="00BD756D" w:rsidP="009947C5">
      <w:pPr>
        <w:keepNext/>
        <w:autoSpaceDE w:val="0"/>
        <w:autoSpaceDN w:val="0"/>
        <w:adjustRightInd w:val="0"/>
        <w:jc w:val="center"/>
        <w:rPr>
          <w:rFonts w:ascii="Helvetica Neue" w:hAnsi="Helvetica Neue" w:cs="Helvetica Neue"/>
          <w:b/>
          <w:bCs/>
          <w:color w:val="000000"/>
          <w:sz w:val="34"/>
          <w:szCs w:val="34"/>
        </w:rPr>
      </w:pPr>
      <w:r>
        <w:rPr>
          <w:rFonts w:ascii="Helvetica Neue" w:hAnsi="Helvetica Neue" w:cs="Helvetica Neue"/>
          <w:b/>
          <w:bCs/>
          <w:color w:val="000000"/>
          <w:sz w:val="34"/>
          <w:szCs w:val="34"/>
        </w:rPr>
        <w:t>POOR</w:t>
      </w:r>
      <w:r w:rsidR="00356DAE">
        <w:rPr>
          <w:rFonts w:ascii="Helvetica Neue" w:hAnsi="Helvetica Neue" w:cs="Helvetica Neue"/>
          <w:b/>
          <w:bCs/>
          <w:color w:val="000000"/>
          <w:sz w:val="34"/>
          <w:szCs w:val="34"/>
        </w:rPr>
        <w:t xml:space="preserve"> </w:t>
      </w:r>
      <w:r>
        <w:rPr>
          <w:rFonts w:ascii="Helvetica Neue" w:hAnsi="Helvetica Neue" w:cs="Helvetica Neue"/>
          <w:b/>
          <w:bCs/>
          <w:color w:val="000000"/>
          <w:sz w:val="34"/>
          <w:szCs w:val="34"/>
        </w:rPr>
        <w:t>H</w:t>
      </w:r>
      <w:r w:rsidR="00356DAE">
        <w:rPr>
          <w:rFonts w:ascii="Helvetica Neue" w:hAnsi="Helvetica Neue" w:cs="Helvetica Neue"/>
          <w:b/>
          <w:bCs/>
          <w:color w:val="000000"/>
          <w:sz w:val="34"/>
          <w:szCs w:val="34"/>
        </w:rPr>
        <w:t>EA</w:t>
      </w:r>
      <w:r>
        <w:rPr>
          <w:rFonts w:ascii="Helvetica Neue" w:hAnsi="Helvetica Neue" w:cs="Helvetica Neue"/>
          <w:b/>
          <w:bCs/>
          <w:color w:val="000000"/>
          <w:sz w:val="34"/>
          <w:szCs w:val="34"/>
        </w:rPr>
        <w:t>LTH</w:t>
      </w:r>
    </w:p>
    <w:p w14:paraId="2BC4ECEA" w14:textId="1A443783" w:rsidR="00BC1C33" w:rsidRPr="00C743F2" w:rsidRDefault="00C743F2" w:rsidP="00BD756D">
      <w:pPr>
        <w:keepNext/>
        <w:autoSpaceDE w:val="0"/>
        <w:autoSpaceDN w:val="0"/>
        <w:adjustRightInd w:val="0"/>
        <w:rPr>
          <w:rFonts w:ascii="Times New Roman" w:hAnsi="Times New Roman" w:cs="Times New Roman"/>
          <w:b/>
          <w:bCs/>
          <w:color w:val="000000"/>
          <w:sz w:val="32"/>
          <w:szCs w:val="32"/>
        </w:rPr>
      </w:pPr>
      <w:r>
        <w:rPr>
          <w:rFonts w:ascii="Helvetica Neue" w:hAnsi="Helvetica Neue" w:cs="Helvetica Neue"/>
          <w:noProof/>
          <w:color w:val="000000"/>
        </w:rPr>
        <w:drawing>
          <wp:anchor distT="0" distB="0" distL="114300" distR="114300" simplePos="0" relativeHeight="251660288" behindDoc="0" locked="0" layoutInCell="1" allowOverlap="1" wp14:anchorId="69D8F3D2" wp14:editId="5623F4BA">
            <wp:simplePos x="0" y="0"/>
            <wp:positionH relativeFrom="column">
              <wp:posOffset>-393700</wp:posOffset>
            </wp:positionH>
            <wp:positionV relativeFrom="paragraph">
              <wp:posOffset>219710</wp:posOffset>
            </wp:positionV>
            <wp:extent cx="3956685" cy="2496820"/>
            <wp:effectExtent l="0" t="0" r="5080" b="0"/>
            <wp:wrapSquare wrapText="bothSides"/>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685" cy="249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r>
      <w:r w:rsidR="009947C5">
        <w:rPr>
          <w:rFonts w:ascii="Helvetica Neue" w:hAnsi="Helvetica Neue" w:cs="Helvetica Neue"/>
          <w:b/>
          <w:bCs/>
          <w:color w:val="000000"/>
          <w:sz w:val="34"/>
          <w:szCs w:val="34"/>
        </w:rPr>
        <w:tab/>
        <w:t xml:space="preserve">   </w:t>
      </w:r>
      <w:r w:rsidR="009947C5" w:rsidRPr="00C743F2">
        <w:rPr>
          <w:rFonts w:ascii="Times New Roman" w:hAnsi="Times New Roman" w:cs="Times New Roman"/>
          <w:b/>
          <w:bCs/>
          <w:color w:val="000000"/>
        </w:rPr>
        <w:t>Quantiles</w:t>
      </w:r>
      <w:r w:rsidR="009947C5" w:rsidRPr="00C743F2">
        <w:rPr>
          <w:rFonts w:ascii="Times New Roman" w:hAnsi="Times New Roman" w:cs="Times New Roman"/>
          <w:b/>
          <w:bCs/>
          <w:color w:val="000000"/>
          <w:sz w:val="32"/>
          <w:szCs w:val="32"/>
        </w:rPr>
        <w:tab/>
      </w:r>
    </w:p>
    <w:tbl>
      <w:tblPr>
        <w:tblpPr w:leftFromText="180" w:rightFromText="180" w:vertAnchor="text" w:horzAnchor="margin" w:tblpXSpec="right"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60"/>
        <w:gridCol w:w="1260"/>
        <w:gridCol w:w="1005"/>
      </w:tblGrid>
      <w:tr w:rsidR="009947C5" w:rsidRPr="00C743F2" w14:paraId="440F1581" w14:textId="77777777" w:rsidTr="009947C5">
        <w:tc>
          <w:tcPr>
            <w:tcW w:w="1060" w:type="dxa"/>
            <w:shd w:val="clear" w:color="auto" w:fill="BDD6EE" w:themeFill="accent5" w:themeFillTint="66"/>
          </w:tcPr>
          <w:p w14:paraId="51E5CADC" w14:textId="77777777" w:rsidR="009947C5" w:rsidRPr="00C743F2" w:rsidRDefault="009947C5" w:rsidP="009947C5">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100.0%</w:t>
            </w:r>
          </w:p>
        </w:tc>
        <w:tc>
          <w:tcPr>
            <w:tcW w:w="1260" w:type="dxa"/>
            <w:shd w:val="clear" w:color="auto" w:fill="BDD6EE" w:themeFill="accent5" w:themeFillTint="66"/>
          </w:tcPr>
          <w:p w14:paraId="77A4358E" w14:textId="77777777"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maximum</w:t>
            </w:r>
          </w:p>
        </w:tc>
        <w:tc>
          <w:tcPr>
            <w:tcW w:w="1005" w:type="dxa"/>
            <w:shd w:val="clear" w:color="auto" w:fill="BDD6EE" w:themeFill="accent5" w:themeFillTint="66"/>
          </w:tcPr>
          <w:p w14:paraId="71A78E68" w14:textId="77777777"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30</w:t>
            </w:r>
          </w:p>
        </w:tc>
      </w:tr>
      <w:tr w:rsidR="009947C5" w:rsidRPr="00C743F2" w14:paraId="27B98903" w14:textId="77777777" w:rsidTr="009947C5">
        <w:tc>
          <w:tcPr>
            <w:tcW w:w="1060" w:type="dxa"/>
          </w:tcPr>
          <w:p w14:paraId="11B8DB18" w14:textId="77777777" w:rsidR="009947C5" w:rsidRPr="00C743F2" w:rsidRDefault="009947C5" w:rsidP="009947C5">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50.0%</w:t>
            </w:r>
          </w:p>
        </w:tc>
        <w:tc>
          <w:tcPr>
            <w:tcW w:w="1260" w:type="dxa"/>
          </w:tcPr>
          <w:p w14:paraId="7BB9EA67" w14:textId="77777777"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median</w:t>
            </w:r>
          </w:p>
        </w:tc>
        <w:tc>
          <w:tcPr>
            <w:tcW w:w="1005" w:type="dxa"/>
          </w:tcPr>
          <w:p w14:paraId="26626496" w14:textId="77777777"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w:t>
            </w:r>
          </w:p>
        </w:tc>
      </w:tr>
      <w:tr w:rsidR="009947C5" w:rsidRPr="00C743F2" w14:paraId="1C2146DB" w14:textId="77777777" w:rsidTr="009947C5">
        <w:trPr>
          <w:trHeight w:val="215"/>
        </w:trPr>
        <w:tc>
          <w:tcPr>
            <w:tcW w:w="1060" w:type="dxa"/>
            <w:shd w:val="clear" w:color="auto" w:fill="BDD6EE" w:themeFill="accent5" w:themeFillTint="66"/>
          </w:tcPr>
          <w:p w14:paraId="13CA0C9D" w14:textId="77777777" w:rsidR="009947C5" w:rsidRPr="00C743F2" w:rsidRDefault="009947C5" w:rsidP="009947C5">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0.0%</w:t>
            </w:r>
          </w:p>
        </w:tc>
        <w:tc>
          <w:tcPr>
            <w:tcW w:w="1260" w:type="dxa"/>
            <w:shd w:val="clear" w:color="auto" w:fill="BDD6EE" w:themeFill="accent5" w:themeFillTint="66"/>
          </w:tcPr>
          <w:p w14:paraId="49529251" w14:textId="77777777"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minimum</w:t>
            </w:r>
          </w:p>
        </w:tc>
        <w:tc>
          <w:tcPr>
            <w:tcW w:w="1005" w:type="dxa"/>
            <w:shd w:val="clear" w:color="auto" w:fill="BDD6EE" w:themeFill="accent5" w:themeFillTint="66"/>
          </w:tcPr>
          <w:p w14:paraId="7FC3F880" w14:textId="77777777" w:rsidR="009947C5" w:rsidRPr="00C743F2" w:rsidRDefault="009947C5" w:rsidP="009947C5">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w:t>
            </w:r>
          </w:p>
        </w:tc>
      </w:tr>
    </w:tbl>
    <w:p w14:paraId="1DA9DED2" w14:textId="43DAE62B" w:rsidR="009947C5" w:rsidRDefault="009947C5" w:rsidP="00BD756D">
      <w:pPr>
        <w:autoSpaceDE w:val="0"/>
        <w:autoSpaceDN w:val="0"/>
        <w:adjustRightInd w:val="0"/>
        <w:rPr>
          <w:rFonts w:ascii="Helvetica Neue" w:hAnsi="Helvetica Neue" w:cs="Helvetica Neue"/>
          <w:color w:val="000000"/>
        </w:rPr>
      </w:pPr>
    </w:p>
    <w:p w14:paraId="621EA3DD" w14:textId="77777777" w:rsidR="009947C5" w:rsidRPr="009947C5" w:rsidRDefault="009947C5" w:rsidP="009947C5">
      <w:pPr>
        <w:rPr>
          <w:rFonts w:ascii="Helvetica Neue" w:hAnsi="Helvetica Neue" w:cs="Helvetica Neue"/>
        </w:rPr>
      </w:pPr>
    </w:p>
    <w:p w14:paraId="13332DB7" w14:textId="77777777" w:rsidR="009947C5" w:rsidRDefault="009947C5" w:rsidP="00BD756D">
      <w:pPr>
        <w:autoSpaceDE w:val="0"/>
        <w:autoSpaceDN w:val="0"/>
        <w:adjustRightInd w:val="0"/>
        <w:rPr>
          <w:rFonts w:ascii="Helvetica Neue" w:hAnsi="Helvetica Neue" w:cs="Helvetica Neue"/>
          <w:color w:val="000000"/>
        </w:rPr>
      </w:pPr>
    </w:p>
    <w:tbl>
      <w:tblPr>
        <w:tblpPr w:leftFromText="180" w:rightFromText="180" w:vertAnchor="text" w:horzAnchor="page" w:tblpX="7573" w:tblpY="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420"/>
      </w:tblGrid>
      <w:tr w:rsidR="00C743F2" w14:paraId="745FBAA6" w14:textId="77777777" w:rsidTr="00C743F2">
        <w:tc>
          <w:tcPr>
            <w:tcW w:w="1260" w:type="dxa"/>
            <w:shd w:val="clear" w:color="auto" w:fill="BDD6EE" w:themeFill="accent5" w:themeFillTint="66"/>
          </w:tcPr>
          <w:p w14:paraId="76EC27EB" w14:textId="77777777" w:rsidR="00C743F2" w:rsidRPr="00C743F2" w:rsidRDefault="00C743F2" w:rsidP="00C743F2">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Mean</w:t>
            </w:r>
          </w:p>
        </w:tc>
        <w:tc>
          <w:tcPr>
            <w:tcW w:w="1420" w:type="dxa"/>
            <w:shd w:val="clear" w:color="auto" w:fill="BDD6EE" w:themeFill="accent5" w:themeFillTint="66"/>
          </w:tcPr>
          <w:p w14:paraId="5CC45E3A" w14:textId="77777777" w:rsidR="00C743F2" w:rsidRPr="00C743F2" w:rsidRDefault="00C743F2" w:rsidP="00C743F2">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4.47</w:t>
            </w:r>
          </w:p>
        </w:tc>
      </w:tr>
      <w:tr w:rsidR="00C743F2" w14:paraId="470D7283" w14:textId="77777777" w:rsidTr="00C743F2">
        <w:tc>
          <w:tcPr>
            <w:tcW w:w="1260" w:type="dxa"/>
          </w:tcPr>
          <w:p w14:paraId="17885B82" w14:textId="77777777" w:rsidR="00C743F2" w:rsidRPr="00C743F2" w:rsidRDefault="00C743F2" w:rsidP="00C743F2">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Std Dev</w:t>
            </w:r>
          </w:p>
        </w:tc>
        <w:tc>
          <w:tcPr>
            <w:tcW w:w="1420" w:type="dxa"/>
          </w:tcPr>
          <w:p w14:paraId="652B3E99" w14:textId="77777777" w:rsidR="00C743F2" w:rsidRPr="00C743F2" w:rsidRDefault="00C743F2" w:rsidP="00C743F2">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8.32</w:t>
            </w:r>
          </w:p>
        </w:tc>
      </w:tr>
      <w:tr w:rsidR="00C743F2" w14:paraId="5E7F3314" w14:textId="77777777" w:rsidTr="00C743F2">
        <w:tc>
          <w:tcPr>
            <w:tcW w:w="1260" w:type="dxa"/>
            <w:shd w:val="clear" w:color="auto" w:fill="BDD6EE" w:themeFill="accent5" w:themeFillTint="66"/>
          </w:tcPr>
          <w:p w14:paraId="69EED9E3" w14:textId="77777777" w:rsidR="00C743F2" w:rsidRPr="00C743F2" w:rsidRDefault="00C743F2" w:rsidP="00C743F2">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w:t>
            </w:r>
          </w:p>
        </w:tc>
        <w:tc>
          <w:tcPr>
            <w:tcW w:w="1420" w:type="dxa"/>
            <w:shd w:val="clear" w:color="auto" w:fill="BDD6EE" w:themeFill="accent5" w:themeFillTint="66"/>
          </w:tcPr>
          <w:p w14:paraId="0B29D28D" w14:textId="77777777" w:rsidR="00C743F2" w:rsidRPr="00C743F2" w:rsidRDefault="00C743F2" w:rsidP="00C743F2">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1509</w:t>
            </w:r>
          </w:p>
        </w:tc>
      </w:tr>
    </w:tbl>
    <w:p w14:paraId="5E9E57AD" w14:textId="64EC0525" w:rsidR="00BD756D" w:rsidRDefault="009947C5" w:rsidP="00BD756D">
      <w:pPr>
        <w:autoSpaceDE w:val="0"/>
        <w:autoSpaceDN w:val="0"/>
        <w:adjustRightInd w:val="0"/>
        <w:rPr>
          <w:rFonts w:ascii="Helvetica Neue" w:hAnsi="Helvetica Neue" w:cs="Helvetica Neue"/>
          <w:b/>
          <w:bCs/>
          <w:color w:val="000000"/>
        </w:rPr>
      </w:pPr>
      <w:r w:rsidRPr="00C743F2">
        <w:rPr>
          <w:rFonts w:ascii="Helvetica Neue" w:hAnsi="Helvetica Neue" w:cs="Helvetica Neue"/>
          <w:b/>
          <w:bCs/>
          <w:color w:val="000000"/>
        </w:rPr>
        <w:t xml:space="preserve">   </w:t>
      </w:r>
      <w:r w:rsidR="00C743F2">
        <w:rPr>
          <w:rFonts w:ascii="Helvetica Neue" w:hAnsi="Helvetica Neue" w:cs="Helvetica Neue"/>
          <w:b/>
          <w:bCs/>
          <w:color w:val="000000"/>
        </w:rPr>
        <w:t xml:space="preserve">  </w:t>
      </w:r>
      <w:r w:rsidRPr="00C743F2">
        <w:rPr>
          <w:rFonts w:ascii="Helvetica Neue" w:hAnsi="Helvetica Neue" w:cs="Helvetica Neue"/>
          <w:b/>
          <w:bCs/>
          <w:color w:val="000000"/>
        </w:rPr>
        <w:t xml:space="preserve">Summary Statistics </w:t>
      </w:r>
      <w:r w:rsidRPr="00C743F2">
        <w:rPr>
          <w:rFonts w:ascii="Helvetica Neue" w:hAnsi="Helvetica Neue" w:cs="Helvetica Neue"/>
          <w:b/>
          <w:bCs/>
          <w:color w:val="000000"/>
        </w:rPr>
        <w:br w:type="textWrapping" w:clear="all"/>
      </w:r>
    </w:p>
    <w:p w14:paraId="61D356D7" w14:textId="77777777" w:rsidR="00F34FA7" w:rsidRPr="00DF37C3" w:rsidRDefault="00F34FA7" w:rsidP="00BD756D">
      <w:pPr>
        <w:autoSpaceDE w:val="0"/>
        <w:autoSpaceDN w:val="0"/>
        <w:adjustRightInd w:val="0"/>
        <w:rPr>
          <w:rFonts w:ascii="Times New Roman" w:hAnsi="Times New Roman" w:cs="Times New Roman"/>
          <w:b/>
          <w:bCs/>
          <w:color w:val="000000"/>
        </w:rPr>
      </w:pPr>
    </w:p>
    <w:p w14:paraId="564AAAC9" w14:textId="77777777" w:rsidR="00BD756D" w:rsidRPr="00C743F2" w:rsidRDefault="00BD756D" w:rsidP="00BD756D">
      <w:pPr>
        <w:autoSpaceDE w:val="0"/>
        <w:autoSpaceDN w:val="0"/>
        <w:adjustRightInd w:val="0"/>
        <w:rPr>
          <w:rFonts w:ascii="Times New Roman" w:hAnsi="Times New Roman" w:cs="Times New Roman"/>
          <w:color w:val="000000"/>
          <w:sz w:val="22"/>
          <w:szCs w:val="22"/>
        </w:rPr>
      </w:pPr>
    </w:p>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140"/>
        <w:gridCol w:w="720"/>
        <w:gridCol w:w="1420"/>
      </w:tblGrid>
      <w:tr w:rsidR="00D8086C" w:rsidRPr="00C743F2" w14:paraId="08CE6622" w14:textId="77777777" w:rsidTr="00DF5A41">
        <w:trPr>
          <w:tblHeader/>
        </w:trPr>
        <w:tc>
          <w:tcPr>
            <w:tcW w:w="2140" w:type="dxa"/>
            <w:shd w:val="clear" w:color="auto" w:fill="BDD6EE" w:themeFill="accent5" w:themeFillTint="66"/>
          </w:tcPr>
          <w:p w14:paraId="7AF574FB" w14:textId="77777777" w:rsidR="00D8086C" w:rsidRPr="00C743F2" w:rsidRDefault="00D8086C" w:rsidP="00DF5A41">
            <w:pPr>
              <w:autoSpaceDE w:val="0"/>
              <w:autoSpaceDN w:val="0"/>
              <w:adjustRightInd w:val="0"/>
              <w:rPr>
                <w:rFonts w:ascii="Times New Roman" w:hAnsi="Times New Roman" w:cs="Times New Roman"/>
                <w:b/>
                <w:bCs/>
                <w:color w:val="000000"/>
                <w:sz w:val="20"/>
                <w:szCs w:val="20"/>
              </w:rPr>
            </w:pPr>
            <w:r w:rsidRPr="00C743F2">
              <w:rPr>
                <w:rFonts w:ascii="Times New Roman" w:hAnsi="Times New Roman" w:cs="Times New Roman"/>
                <w:b/>
                <w:bCs/>
                <w:color w:val="000000"/>
                <w:sz w:val="20"/>
                <w:szCs w:val="20"/>
              </w:rPr>
              <w:t>GENERAL HEALTH</w:t>
            </w:r>
          </w:p>
        </w:tc>
        <w:tc>
          <w:tcPr>
            <w:tcW w:w="720" w:type="dxa"/>
            <w:shd w:val="clear" w:color="auto" w:fill="BDD6EE" w:themeFill="accent5" w:themeFillTint="66"/>
          </w:tcPr>
          <w:p w14:paraId="3595BC24" w14:textId="77777777" w:rsidR="00D8086C" w:rsidRPr="00C743F2" w:rsidRDefault="00D8086C" w:rsidP="00DF5A41">
            <w:pPr>
              <w:autoSpaceDE w:val="0"/>
              <w:autoSpaceDN w:val="0"/>
              <w:adjustRightInd w:val="0"/>
              <w:jc w:val="right"/>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N</w:t>
            </w:r>
          </w:p>
        </w:tc>
        <w:tc>
          <w:tcPr>
            <w:tcW w:w="1420" w:type="dxa"/>
            <w:shd w:val="clear" w:color="auto" w:fill="BDD6EE" w:themeFill="accent5" w:themeFillTint="66"/>
          </w:tcPr>
          <w:p w14:paraId="4C5F8DC4" w14:textId="77777777" w:rsidR="00D8086C" w:rsidRPr="00C743F2" w:rsidRDefault="00D8086C" w:rsidP="00DF5A41">
            <w:pPr>
              <w:autoSpaceDE w:val="0"/>
              <w:autoSpaceDN w:val="0"/>
              <w:adjustRightInd w:val="0"/>
              <w:jc w:val="right"/>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 of Total</w:t>
            </w:r>
          </w:p>
        </w:tc>
      </w:tr>
      <w:tr w:rsidR="00D8086C" w:rsidRPr="00C743F2" w14:paraId="11C1D2D4" w14:textId="77777777" w:rsidTr="00DF5A41">
        <w:tc>
          <w:tcPr>
            <w:tcW w:w="2140" w:type="dxa"/>
            <w:shd w:val="clear" w:color="auto" w:fill="auto"/>
          </w:tcPr>
          <w:p w14:paraId="7130D63A"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w:t>
            </w:r>
          </w:p>
        </w:tc>
        <w:tc>
          <w:tcPr>
            <w:tcW w:w="720" w:type="dxa"/>
            <w:shd w:val="clear" w:color="auto" w:fill="auto"/>
          </w:tcPr>
          <w:p w14:paraId="799771E4"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4</w:t>
            </w:r>
          </w:p>
        </w:tc>
        <w:tc>
          <w:tcPr>
            <w:tcW w:w="1420" w:type="dxa"/>
            <w:shd w:val="clear" w:color="auto" w:fill="auto"/>
          </w:tcPr>
          <w:p w14:paraId="41F93DBA"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0.15%</w:t>
            </w:r>
          </w:p>
        </w:tc>
      </w:tr>
      <w:tr w:rsidR="00D8086C" w:rsidRPr="00C743F2" w14:paraId="18A768AC" w14:textId="77777777" w:rsidTr="00DF5A41">
        <w:tc>
          <w:tcPr>
            <w:tcW w:w="2140" w:type="dxa"/>
            <w:shd w:val="clear" w:color="auto" w:fill="BDD6EE" w:themeFill="accent5" w:themeFillTint="66"/>
          </w:tcPr>
          <w:p w14:paraId="53C1C2B7"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Excellent</w:t>
            </w:r>
          </w:p>
        </w:tc>
        <w:tc>
          <w:tcPr>
            <w:tcW w:w="720" w:type="dxa"/>
            <w:shd w:val="clear" w:color="auto" w:fill="BDD6EE" w:themeFill="accent5" w:themeFillTint="66"/>
          </w:tcPr>
          <w:p w14:paraId="4B57CD0F"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546</w:t>
            </w:r>
          </w:p>
        </w:tc>
        <w:tc>
          <w:tcPr>
            <w:tcW w:w="1420" w:type="dxa"/>
            <w:shd w:val="clear" w:color="auto" w:fill="BDD6EE" w:themeFill="accent5" w:themeFillTint="66"/>
          </w:tcPr>
          <w:p w14:paraId="0262857B"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20.81%</w:t>
            </w:r>
          </w:p>
        </w:tc>
      </w:tr>
      <w:tr w:rsidR="00D8086C" w:rsidRPr="00C743F2" w14:paraId="107A06F3" w14:textId="77777777" w:rsidTr="00DF5A41">
        <w:tc>
          <w:tcPr>
            <w:tcW w:w="2140" w:type="dxa"/>
            <w:shd w:val="clear" w:color="auto" w:fill="auto"/>
          </w:tcPr>
          <w:p w14:paraId="69674FAC"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Very Good</w:t>
            </w:r>
          </w:p>
        </w:tc>
        <w:tc>
          <w:tcPr>
            <w:tcW w:w="720" w:type="dxa"/>
            <w:shd w:val="clear" w:color="auto" w:fill="auto"/>
          </w:tcPr>
          <w:p w14:paraId="3B686B60"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904</w:t>
            </w:r>
          </w:p>
        </w:tc>
        <w:tc>
          <w:tcPr>
            <w:tcW w:w="1420" w:type="dxa"/>
            <w:shd w:val="clear" w:color="auto" w:fill="auto"/>
          </w:tcPr>
          <w:p w14:paraId="2FEC1F50"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34.45%</w:t>
            </w:r>
          </w:p>
        </w:tc>
      </w:tr>
      <w:tr w:rsidR="00D8086C" w:rsidRPr="00C743F2" w14:paraId="7FDA8CEE" w14:textId="77777777" w:rsidTr="00DF5A41">
        <w:tc>
          <w:tcPr>
            <w:tcW w:w="2140" w:type="dxa"/>
            <w:shd w:val="clear" w:color="auto" w:fill="BDD6EE" w:themeFill="accent5" w:themeFillTint="66"/>
          </w:tcPr>
          <w:p w14:paraId="3469454F"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Good</w:t>
            </w:r>
          </w:p>
        </w:tc>
        <w:tc>
          <w:tcPr>
            <w:tcW w:w="720" w:type="dxa"/>
            <w:shd w:val="clear" w:color="auto" w:fill="BDD6EE" w:themeFill="accent5" w:themeFillTint="66"/>
          </w:tcPr>
          <w:p w14:paraId="4594C7E8"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739</w:t>
            </w:r>
          </w:p>
        </w:tc>
        <w:tc>
          <w:tcPr>
            <w:tcW w:w="1420" w:type="dxa"/>
            <w:shd w:val="clear" w:color="auto" w:fill="BDD6EE" w:themeFill="accent5" w:themeFillTint="66"/>
          </w:tcPr>
          <w:p w14:paraId="77C5F1CF"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28.16%</w:t>
            </w:r>
          </w:p>
        </w:tc>
      </w:tr>
      <w:tr w:rsidR="00D8086C" w:rsidRPr="00C743F2" w14:paraId="2C11C605" w14:textId="77777777" w:rsidTr="00DF5A41">
        <w:tc>
          <w:tcPr>
            <w:tcW w:w="2140" w:type="dxa"/>
            <w:shd w:val="clear" w:color="auto" w:fill="auto"/>
          </w:tcPr>
          <w:p w14:paraId="7E5D74AD"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Fair</w:t>
            </w:r>
          </w:p>
        </w:tc>
        <w:tc>
          <w:tcPr>
            <w:tcW w:w="720" w:type="dxa"/>
            <w:shd w:val="clear" w:color="auto" w:fill="auto"/>
          </w:tcPr>
          <w:p w14:paraId="6252188B"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321</w:t>
            </w:r>
          </w:p>
        </w:tc>
        <w:tc>
          <w:tcPr>
            <w:tcW w:w="1420" w:type="dxa"/>
            <w:shd w:val="clear" w:color="auto" w:fill="auto"/>
          </w:tcPr>
          <w:p w14:paraId="0284648A"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12.23%</w:t>
            </w:r>
          </w:p>
        </w:tc>
      </w:tr>
      <w:tr w:rsidR="00D8086C" w:rsidRPr="00C743F2" w14:paraId="4664914D" w14:textId="77777777" w:rsidTr="00DF5A41">
        <w:tc>
          <w:tcPr>
            <w:tcW w:w="2140" w:type="dxa"/>
            <w:shd w:val="clear" w:color="auto" w:fill="BDD6EE" w:themeFill="accent5" w:themeFillTint="66"/>
          </w:tcPr>
          <w:p w14:paraId="40E67706"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Poor</w:t>
            </w:r>
          </w:p>
        </w:tc>
        <w:tc>
          <w:tcPr>
            <w:tcW w:w="720" w:type="dxa"/>
            <w:shd w:val="clear" w:color="auto" w:fill="BDD6EE" w:themeFill="accent5" w:themeFillTint="66"/>
          </w:tcPr>
          <w:p w14:paraId="6470FD6A"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107</w:t>
            </w:r>
          </w:p>
        </w:tc>
        <w:tc>
          <w:tcPr>
            <w:tcW w:w="1420" w:type="dxa"/>
            <w:shd w:val="clear" w:color="auto" w:fill="BDD6EE" w:themeFill="accent5" w:themeFillTint="66"/>
          </w:tcPr>
          <w:p w14:paraId="5DB6BC59"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4.08%</w:t>
            </w:r>
          </w:p>
        </w:tc>
      </w:tr>
      <w:tr w:rsidR="00D8086C" w:rsidRPr="00C743F2" w14:paraId="0F00A0AE" w14:textId="77777777" w:rsidTr="00DF5A41">
        <w:tc>
          <w:tcPr>
            <w:tcW w:w="2140" w:type="dxa"/>
            <w:shd w:val="clear" w:color="auto" w:fill="auto"/>
          </w:tcPr>
          <w:p w14:paraId="1B271130"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Not Sure</w:t>
            </w:r>
          </w:p>
        </w:tc>
        <w:tc>
          <w:tcPr>
            <w:tcW w:w="720" w:type="dxa"/>
            <w:shd w:val="clear" w:color="auto" w:fill="auto"/>
          </w:tcPr>
          <w:p w14:paraId="44CB2C96"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w:t>
            </w:r>
          </w:p>
        </w:tc>
        <w:tc>
          <w:tcPr>
            <w:tcW w:w="1420" w:type="dxa"/>
            <w:shd w:val="clear" w:color="auto" w:fill="auto"/>
          </w:tcPr>
          <w:p w14:paraId="417A61A4"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0.08%</w:t>
            </w:r>
          </w:p>
        </w:tc>
      </w:tr>
      <w:tr w:rsidR="00AB68DE" w:rsidRPr="00C743F2" w14:paraId="51A31F15" w14:textId="77777777" w:rsidTr="00DF5A41">
        <w:tc>
          <w:tcPr>
            <w:tcW w:w="2140" w:type="dxa"/>
            <w:shd w:val="clear" w:color="auto" w:fill="BDD6EE" w:themeFill="accent5" w:themeFillTint="66"/>
          </w:tcPr>
          <w:p w14:paraId="2620ED5B"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Refused</w:t>
            </w:r>
          </w:p>
        </w:tc>
        <w:tc>
          <w:tcPr>
            <w:tcW w:w="720" w:type="dxa"/>
            <w:shd w:val="clear" w:color="auto" w:fill="BDD6EE" w:themeFill="accent5" w:themeFillTint="66"/>
          </w:tcPr>
          <w:p w14:paraId="583E9419"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1</w:t>
            </w:r>
          </w:p>
        </w:tc>
        <w:tc>
          <w:tcPr>
            <w:tcW w:w="1420" w:type="dxa"/>
            <w:shd w:val="clear" w:color="auto" w:fill="BDD6EE" w:themeFill="accent5" w:themeFillTint="66"/>
          </w:tcPr>
          <w:p w14:paraId="73C46D54"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0.04%</w:t>
            </w:r>
          </w:p>
        </w:tc>
      </w:tr>
    </w:tbl>
    <w:tbl>
      <w:tblPr>
        <w:tblpPr w:leftFromText="180" w:rightFromText="180"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140"/>
        <w:gridCol w:w="720"/>
        <w:gridCol w:w="1420"/>
      </w:tblGrid>
      <w:tr w:rsidR="00D8086C" w:rsidRPr="00C743F2" w14:paraId="4592D847" w14:textId="77777777" w:rsidTr="00DF5A41">
        <w:trPr>
          <w:tblHeader/>
        </w:trPr>
        <w:tc>
          <w:tcPr>
            <w:tcW w:w="2140" w:type="dxa"/>
            <w:shd w:val="clear" w:color="auto" w:fill="BDD6EE" w:themeFill="accent5" w:themeFillTint="66"/>
          </w:tcPr>
          <w:p w14:paraId="79EC544C" w14:textId="77777777" w:rsidR="00D8086C" w:rsidRPr="00C743F2" w:rsidRDefault="00D8086C" w:rsidP="00DF5A41">
            <w:pPr>
              <w:autoSpaceDE w:val="0"/>
              <w:autoSpaceDN w:val="0"/>
              <w:adjustRightInd w:val="0"/>
              <w:rPr>
                <w:rFonts w:ascii="Times New Roman" w:hAnsi="Times New Roman" w:cs="Times New Roman"/>
                <w:b/>
                <w:bCs/>
                <w:color w:val="000000"/>
                <w:sz w:val="20"/>
                <w:szCs w:val="20"/>
              </w:rPr>
            </w:pPr>
            <w:r w:rsidRPr="00C743F2">
              <w:rPr>
                <w:rFonts w:ascii="Times New Roman" w:hAnsi="Times New Roman" w:cs="Times New Roman"/>
                <w:b/>
                <w:bCs/>
                <w:color w:val="000000"/>
                <w:sz w:val="20"/>
                <w:szCs w:val="20"/>
              </w:rPr>
              <w:t>HEALTH PLAN</w:t>
            </w:r>
          </w:p>
        </w:tc>
        <w:tc>
          <w:tcPr>
            <w:tcW w:w="720" w:type="dxa"/>
            <w:shd w:val="clear" w:color="auto" w:fill="BDD6EE" w:themeFill="accent5" w:themeFillTint="66"/>
          </w:tcPr>
          <w:p w14:paraId="7A6AE87C" w14:textId="77777777" w:rsidR="00D8086C" w:rsidRPr="00C743F2" w:rsidRDefault="00D8086C" w:rsidP="00DF5A41">
            <w:pPr>
              <w:autoSpaceDE w:val="0"/>
              <w:autoSpaceDN w:val="0"/>
              <w:adjustRightInd w:val="0"/>
              <w:jc w:val="right"/>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 xml:space="preserve">N </w:t>
            </w:r>
          </w:p>
        </w:tc>
        <w:tc>
          <w:tcPr>
            <w:tcW w:w="1420" w:type="dxa"/>
            <w:shd w:val="clear" w:color="auto" w:fill="BDD6EE" w:themeFill="accent5" w:themeFillTint="66"/>
          </w:tcPr>
          <w:p w14:paraId="7265C711" w14:textId="77777777" w:rsidR="00D8086C" w:rsidRPr="00C743F2" w:rsidRDefault="00D8086C" w:rsidP="00DF5A41">
            <w:pPr>
              <w:autoSpaceDE w:val="0"/>
              <w:autoSpaceDN w:val="0"/>
              <w:adjustRightInd w:val="0"/>
              <w:jc w:val="right"/>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 of Total</w:t>
            </w:r>
          </w:p>
        </w:tc>
      </w:tr>
      <w:tr w:rsidR="00D8086C" w:rsidRPr="00C743F2" w14:paraId="09549486" w14:textId="77777777" w:rsidTr="00DF5A41">
        <w:tc>
          <w:tcPr>
            <w:tcW w:w="2140" w:type="dxa"/>
            <w:shd w:val="clear" w:color="auto" w:fill="auto"/>
          </w:tcPr>
          <w:p w14:paraId="2D7FF46F"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Yes</w:t>
            </w:r>
          </w:p>
        </w:tc>
        <w:tc>
          <w:tcPr>
            <w:tcW w:w="720" w:type="dxa"/>
            <w:shd w:val="clear" w:color="auto" w:fill="auto"/>
          </w:tcPr>
          <w:p w14:paraId="20D11B98"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2461</w:t>
            </w:r>
          </w:p>
        </w:tc>
        <w:tc>
          <w:tcPr>
            <w:tcW w:w="1420" w:type="dxa"/>
            <w:shd w:val="clear" w:color="auto" w:fill="auto"/>
          </w:tcPr>
          <w:p w14:paraId="111C64D2"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93.93%</w:t>
            </w:r>
          </w:p>
        </w:tc>
      </w:tr>
      <w:tr w:rsidR="00AB68DE" w:rsidRPr="00C743F2" w14:paraId="244182ED" w14:textId="77777777" w:rsidTr="00DF5A41">
        <w:tc>
          <w:tcPr>
            <w:tcW w:w="2140" w:type="dxa"/>
            <w:shd w:val="clear" w:color="auto" w:fill="BDD6EE" w:themeFill="accent5" w:themeFillTint="66"/>
          </w:tcPr>
          <w:p w14:paraId="0CD2900E"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No</w:t>
            </w:r>
          </w:p>
        </w:tc>
        <w:tc>
          <w:tcPr>
            <w:tcW w:w="720" w:type="dxa"/>
            <w:shd w:val="clear" w:color="auto" w:fill="BDD6EE" w:themeFill="accent5" w:themeFillTint="66"/>
          </w:tcPr>
          <w:p w14:paraId="04ED257B"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143</w:t>
            </w:r>
          </w:p>
        </w:tc>
        <w:tc>
          <w:tcPr>
            <w:tcW w:w="1420" w:type="dxa"/>
            <w:shd w:val="clear" w:color="auto" w:fill="BDD6EE" w:themeFill="accent5" w:themeFillTint="66"/>
          </w:tcPr>
          <w:p w14:paraId="18C3A299"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5.46%</w:t>
            </w:r>
          </w:p>
        </w:tc>
      </w:tr>
      <w:tr w:rsidR="00AB68DE" w:rsidRPr="00C743F2" w14:paraId="1BA53327" w14:textId="77777777" w:rsidTr="00DF5A41">
        <w:tc>
          <w:tcPr>
            <w:tcW w:w="2140" w:type="dxa"/>
            <w:shd w:val="clear" w:color="auto" w:fill="auto"/>
          </w:tcPr>
          <w:p w14:paraId="0048928C"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Not Sure</w:t>
            </w:r>
          </w:p>
        </w:tc>
        <w:tc>
          <w:tcPr>
            <w:tcW w:w="720" w:type="dxa"/>
            <w:shd w:val="clear" w:color="auto" w:fill="auto"/>
          </w:tcPr>
          <w:p w14:paraId="7B2AAD2B"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10</w:t>
            </w:r>
          </w:p>
        </w:tc>
        <w:tc>
          <w:tcPr>
            <w:tcW w:w="1420" w:type="dxa"/>
            <w:shd w:val="clear" w:color="auto" w:fill="auto"/>
          </w:tcPr>
          <w:p w14:paraId="2F424030"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0.38%</w:t>
            </w:r>
          </w:p>
        </w:tc>
      </w:tr>
      <w:tr w:rsidR="00AB68DE" w:rsidRPr="00C743F2" w14:paraId="11A17000" w14:textId="77777777" w:rsidTr="00DF5A41">
        <w:tc>
          <w:tcPr>
            <w:tcW w:w="2140" w:type="dxa"/>
            <w:shd w:val="clear" w:color="auto" w:fill="BDD6EE" w:themeFill="accent5" w:themeFillTint="66"/>
          </w:tcPr>
          <w:p w14:paraId="2BA81E1C"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Refused</w:t>
            </w:r>
          </w:p>
        </w:tc>
        <w:tc>
          <w:tcPr>
            <w:tcW w:w="720" w:type="dxa"/>
            <w:shd w:val="clear" w:color="auto" w:fill="BDD6EE" w:themeFill="accent5" w:themeFillTint="66"/>
          </w:tcPr>
          <w:p w14:paraId="6B97E1D3"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6</w:t>
            </w:r>
          </w:p>
        </w:tc>
        <w:tc>
          <w:tcPr>
            <w:tcW w:w="1420" w:type="dxa"/>
            <w:shd w:val="clear" w:color="auto" w:fill="BDD6EE" w:themeFill="accent5" w:themeFillTint="66"/>
          </w:tcPr>
          <w:p w14:paraId="3CBF4AB2"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0.23%</w:t>
            </w:r>
          </w:p>
        </w:tc>
      </w:tr>
    </w:tbl>
    <w:p w14:paraId="79526199"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68773439"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401B6279"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759D87C8"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376EFCF7"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37EB6C91"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5DB0D289"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tbl>
      <w:tblPr>
        <w:tblpPr w:leftFromText="180" w:rightFromText="180"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140"/>
        <w:gridCol w:w="720"/>
        <w:gridCol w:w="1420"/>
      </w:tblGrid>
      <w:tr w:rsidR="00D8086C" w:rsidRPr="00C743F2" w14:paraId="270A5D6E" w14:textId="77777777" w:rsidTr="00DF5A41">
        <w:trPr>
          <w:tblHeader/>
        </w:trPr>
        <w:tc>
          <w:tcPr>
            <w:tcW w:w="2140" w:type="dxa"/>
            <w:shd w:val="clear" w:color="auto" w:fill="BDD6EE" w:themeFill="accent5" w:themeFillTint="66"/>
          </w:tcPr>
          <w:p w14:paraId="6389C622" w14:textId="78D3A84E" w:rsidR="00D8086C" w:rsidRPr="00C743F2" w:rsidRDefault="002745A2" w:rsidP="00DF5A41">
            <w:pPr>
              <w:autoSpaceDE w:val="0"/>
              <w:autoSpaceDN w:val="0"/>
              <w:adjustRightInd w:val="0"/>
              <w:rPr>
                <w:rFonts w:ascii="Times New Roman" w:hAnsi="Times New Roman" w:cs="Times New Roman"/>
                <w:b/>
                <w:bCs/>
                <w:color w:val="000000"/>
                <w:sz w:val="21"/>
                <w:szCs w:val="21"/>
              </w:rPr>
            </w:pPr>
            <w:r w:rsidRPr="00C743F2">
              <w:rPr>
                <w:rFonts w:ascii="Times New Roman" w:hAnsi="Times New Roman" w:cs="Times New Roman"/>
                <w:b/>
                <w:bCs/>
                <w:color w:val="000000"/>
                <w:sz w:val="21"/>
                <w:szCs w:val="21"/>
              </w:rPr>
              <w:t>CHECKUP</w:t>
            </w:r>
          </w:p>
        </w:tc>
        <w:tc>
          <w:tcPr>
            <w:tcW w:w="720" w:type="dxa"/>
            <w:shd w:val="clear" w:color="auto" w:fill="BDD6EE" w:themeFill="accent5" w:themeFillTint="66"/>
          </w:tcPr>
          <w:p w14:paraId="3782E390" w14:textId="77777777" w:rsidR="00D8086C" w:rsidRPr="00C743F2" w:rsidRDefault="00D8086C" w:rsidP="00DF5A41">
            <w:pPr>
              <w:autoSpaceDE w:val="0"/>
              <w:autoSpaceDN w:val="0"/>
              <w:adjustRightInd w:val="0"/>
              <w:jc w:val="right"/>
              <w:rPr>
                <w:rFonts w:ascii="Times New Roman" w:hAnsi="Times New Roman" w:cs="Times New Roman"/>
                <w:b/>
                <w:bCs/>
                <w:color w:val="000000"/>
                <w:sz w:val="21"/>
                <w:szCs w:val="21"/>
              </w:rPr>
            </w:pPr>
            <w:r w:rsidRPr="00C743F2">
              <w:rPr>
                <w:rFonts w:ascii="Times New Roman" w:hAnsi="Times New Roman" w:cs="Times New Roman"/>
                <w:b/>
                <w:bCs/>
                <w:color w:val="000000"/>
                <w:sz w:val="21"/>
                <w:szCs w:val="21"/>
              </w:rPr>
              <w:t xml:space="preserve">N </w:t>
            </w:r>
          </w:p>
        </w:tc>
        <w:tc>
          <w:tcPr>
            <w:tcW w:w="1420" w:type="dxa"/>
            <w:shd w:val="clear" w:color="auto" w:fill="BDD6EE" w:themeFill="accent5" w:themeFillTint="66"/>
          </w:tcPr>
          <w:p w14:paraId="3360E3A7" w14:textId="77777777" w:rsidR="00D8086C" w:rsidRPr="00C743F2" w:rsidRDefault="00D8086C" w:rsidP="00DF5A41">
            <w:pPr>
              <w:autoSpaceDE w:val="0"/>
              <w:autoSpaceDN w:val="0"/>
              <w:adjustRightInd w:val="0"/>
              <w:jc w:val="right"/>
              <w:rPr>
                <w:rFonts w:ascii="Times New Roman" w:hAnsi="Times New Roman" w:cs="Times New Roman"/>
                <w:b/>
                <w:bCs/>
                <w:color w:val="000000"/>
                <w:sz w:val="21"/>
                <w:szCs w:val="21"/>
              </w:rPr>
            </w:pPr>
            <w:r w:rsidRPr="00C743F2">
              <w:rPr>
                <w:rFonts w:ascii="Times New Roman" w:hAnsi="Times New Roman" w:cs="Times New Roman"/>
                <w:b/>
                <w:bCs/>
                <w:color w:val="000000"/>
                <w:sz w:val="21"/>
                <w:szCs w:val="21"/>
              </w:rPr>
              <w:t>% of Total</w:t>
            </w:r>
          </w:p>
        </w:tc>
      </w:tr>
      <w:tr w:rsidR="00D8086C" w:rsidRPr="00C743F2" w14:paraId="15DD840F" w14:textId="77777777" w:rsidTr="00DF5A41">
        <w:tc>
          <w:tcPr>
            <w:tcW w:w="2140" w:type="dxa"/>
            <w:shd w:val="clear" w:color="auto" w:fill="auto"/>
          </w:tcPr>
          <w:p w14:paraId="53AEFDAE"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w:t>
            </w:r>
          </w:p>
        </w:tc>
        <w:tc>
          <w:tcPr>
            <w:tcW w:w="720" w:type="dxa"/>
            <w:shd w:val="clear" w:color="auto" w:fill="auto"/>
          </w:tcPr>
          <w:p w14:paraId="7B46E94E"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4</w:t>
            </w:r>
          </w:p>
        </w:tc>
        <w:tc>
          <w:tcPr>
            <w:tcW w:w="1420" w:type="dxa"/>
            <w:shd w:val="clear" w:color="auto" w:fill="auto"/>
          </w:tcPr>
          <w:p w14:paraId="6A714128"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0.15%</w:t>
            </w:r>
          </w:p>
        </w:tc>
      </w:tr>
      <w:tr w:rsidR="00D8086C" w:rsidRPr="00C743F2" w14:paraId="6AE21E73" w14:textId="77777777" w:rsidTr="00DF5A41">
        <w:tc>
          <w:tcPr>
            <w:tcW w:w="2140" w:type="dxa"/>
            <w:shd w:val="clear" w:color="auto" w:fill="BDD6EE" w:themeFill="accent5" w:themeFillTint="66"/>
          </w:tcPr>
          <w:p w14:paraId="6E1FF5D5"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&lt;12 MOS</w:t>
            </w:r>
          </w:p>
        </w:tc>
        <w:tc>
          <w:tcPr>
            <w:tcW w:w="720" w:type="dxa"/>
            <w:shd w:val="clear" w:color="auto" w:fill="BDD6EE" w:themeFill="accent5" w:themeFillTint="66"/>
          </w:tcPr>
          <w:p w14:paraId="5B26EA08"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2198</w:t>
            </w:r>
          </w:p>
        </w:tc>
        <w:tc>
          <w:tcPr>
            <w:tcW w:w="1420" w:type="dxa"/>
            <w:shd w:val="clear" w:color="auto" w:fill="BDD6EE" w:themeFill="accent5" w:themeFillTint="66"/>
          </w:tcPr>
          <w:p w14:paraId="7EED2645"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83.77%</w:t>
            </w:r>
          </w:p>
        </w:tc>
      </w:tr>
      <w:tr w:rsidR="00D8086C" w:rsidRPr="00C743F2" w14:paraId="36303A37" w14:textId="77777777" w:rsidTr="00DF5A41">
        <w:tc>
          <w:tcPr>
            <w:tcW w:w="2140" w:type="dxa"/>
            <w:shd w:val="clear" w:color="auto" w:fill="auto"/>
          </w:tcPr>
          <w:p w14:paraId="7FB70581"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1YR but &lt; 2YRS</w:t>
            </w:r>
          </w:p>
        </w:tc>
        <w:tc>
          <w:tcPr>
            <w:tcW w:w="720" w:type="dxa"/>
            <w:shd w:val="clear" w:color="auto" w:fill="auto"/>
          </w:tcPr>
          <w:p w14:paraId="2B5B1D13"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258</w:t>
            </w:r>
          </w:p>
        </w:tc>
        <w:tc>
          <w:tcPr>
            <w:tcW w:w="1420" w:type="dxa"/>
            <w:shd w:val="clear" w:color="auto" w:fill="auto"/>
          </w:tcPr>
          <w:p w14:paraId="61773B71"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9.83%</w:t>
            </w:r>
          </w:p>
        </w:tc>
      </w:tr>
      <w:tr w:rsidR="00D8086C" w:rsidRPr="00C743F2" w14:paraId="6028C05A" w14:textId="77777777" w:rsidTr="00DF5A41">
        <w:tc>
          <w:tcPr>
            <w:tcW w:w="2140" w:type="dxa"/>
            <w:shd w:val="clear" w:color="auto" w:fill="BDD6EE" w:themeFill="accent5" w:themeFillTint="66"/>
          </w:tcPr>
          <w:p w14:paraId="7336137D"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2YRS but &lt; 5YRS</w:t>
            </w:r>
          </w:p>
        </w:tc>
        <w:tc>
          <w:tcPr>
            <w:tcW w:w="720" w:type="dxa"/>
            <w:shd w:val="clear" w:color="auto" w:fill="BDD6EE" w:themeFill="accent5" w:themeFillTint="66"/>
          </w:tcPr>
          <w:p w14:paraId="7C96957F"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86</w:t>
            </w:r>
          </w:p>
        </w:tc>
        <w:tc>
          <w:tcPr>
            <w:tcW w:w="1420" w:type="dxa"/>
            <w:shd w:val="clear" w:color="auto" w:fill="BDD6EE" w:themeFill="accent5" w:themeFillTint="66"/>
          </w:tcPr>
          <w:p w14:paraId="37F22957"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3.28%</w:t>
            </w:r>
          </w:p>
        </w:tc>
      </w:tr>
      <w:tr w:rsidR="00D8086C" w:rsidRPr="00C743F2" w14:paraId="35AAF5EB" w14:textId="77777777" w:rsidTr="00DF5A41">
        <w:tc>
          <w:tcPr>
            <w:tcW w:w="2140" w:type="dxa"/>
            <w:shd w:val="clear" w:color="auto" w:fill="auto"/>
          </w:tcPr>
          <w:p w14:paraId="16681D0E"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5YRS or More</w:t>
            </w:r>
          </w:p>
        </w:tc>
        <w:tc>
          <w:tcPr>
            <w:tcW w:w="720" w:type="dxa"/>
            <w:shd w:val="clear" w:color="auto" w:fill="auto"/>
          </w:tcPr>
          <w:p w14:paraId="332F6C31"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43</w:t>
            </w:r>
          </w:p>
        </w:tc>
        <w:tc>
          <w:tcPr>
            <w:tcW w:w="1420" w:type="dxa"/>
            <w:shd w:val="clear" w:color="auto" w:fill="auto"/>
          </w:tcPr>
          <w:p w14:paraId="3D565FEE"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1.64%</w:t>
            </w:r>
          </w:p>
        </w:tc>
      </w:tr>
      <w:tr w:rsidR="00D8086C" w:rsidRPr="00C743F2" w14:paraId="0744F1D4" w14:textId="77777777" w:rsidTr="00DF5A41">
        <w:tc>
          <w:tcPr>
            <w:tcW w:w="2140" w:type="dxa"/>
            <w:shd w:val="clear" w:color="auto" w:fill="BDD6EE" w:themeFill="accent5" w:themeFillTint="66"/>
          </w:tcPr>
          <w:p w14:paraId="7AA904A5"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Never</w:t>
            </w:r>
          </w:p>
        </w:tc>
        <w:tc>
          <w:tcPr>
            <w:tcW w:w="720" w:type="dxa"/>
            <w:shd w:val="clear" w:color="auto" w:fill="BDD6EE" w:themeFill="accent5" w:themeFillTint="66"/>
          </w:tcPr>
          <w:p w14:paraId="41242AB3"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11</w:t>
            </w:r>
          </w:p>
        </w:tc>
        <w:tc>
          <w:tcPr>
            <w:tcW w:w="1420" w:type="dxa"/>
            <w:shd w:val="clear" w:color="auto" w:fill="BDD6EE" w:themeFill="accent5" w:themeFillTint="66"/>
          </w:tcPr>
          <w:p w14:paraId="2386D924"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0.42%</w:t>
            </w:r>
          </w:p>
        </w:tc>
      </w:tr>
      <w:tr w:rsidR="00D8086C" w:rsidRPr="00C743F2" w14:paraId="0DC4157B" w14:textId="77777777" w:rsidTr="00DF5A41">
        <w:tc>
          <w:tcPr>
            <w:tcW w:w="2140" w:type="dxa"/>
            <w:shd w:val="clear" w:color="auto" w:fill="auto"/>
          </w:tcPr>
          <w:p w14:paraId="7AFE0AE2"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Not Sure</w:t>
            </w:r>
          </w:p>
        </w:tc>
        <w:tc>
          <w:tcPr>
            <w:tcW w:w="720" w:type="dxa"/>
            <w:shd w:val="clear" w:color="auto" w:fill="auto"/>
          </w:tcPr>
          <w:p w14:paraId="7EF47B21"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22</w:t>
            </w:r>
          </w:p>
        </w:tc>
        <w:tc>
          <w:tcPr>
            <w:tcW w:w="1420" w:type="dxa"/>
            <w:shd w:val="clear" w:color="auto" w:fill="auto"/>
          </w:tcPr>
          <w:p w14:paraId="0424AB16"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0.84%</w:t>
            </w:r>
          </w:p>
        </w:tc>
      </w:tr>
      <w:tr w:rsidR="00D8086C" w:rsidRPr="00C743F2" w14:paraId="754E8262" w14:textId="77777777" w:rsidTr="00DF5A41">
        <w:tc>
          <w:tcPr>
            <w:tcW w:w="2140" w:type="dxa"/>
            <w:shd w:val="clear" w:color="auto" w:fill="BDD6EE" w:themeFill="accent5" w:themeFillTint="66"/>
          </w:tcPr>
          <w:p w14:paraId="3678C2C9" w14:textId="77777777" w:rsidR="00D8086C" w:rsidRPr="00C743F2" w:rsidRDefault="00D8086C" w:rsidP="00DF5A41">
            <w:pPr>
              <w:autoSpaceDE w:val="0"/>
              <w:autoSpaceDN w:val="0"/>
              <w:adjustRightInd w:val="0"/>
              <w:rPr>
                <w:rFonts w:ascii="Times New Roman" w:hAnsi="Times New Roman" w:cs="Times New Roman"/>
                <w:color w:val="000000"/>
                <w:sz w:val="21"/>
                <w:szCs w:val="21"/>
              </w:rPr>
            </w:pPr>
            <w:r w:rsidRPr="00C743F2">
              <w:rPr>
                <w:rFonts w:ascii="Times New Roman" w:hAnsi="Times New Roman" w:cs="Times New Roman"/>
                <w:color w:val="000000"/>
                <w:sz w:val="21"/>
                <w:szCs w:val="21"/>
              </w:rPr>
              <w:t>Refused</w:t>
            </w:r>
          </w:p>
        </w:tc>
        <w:tc>
          <w:tcPr>
            <w:tcW w:w="720" w:type="dxa"/>
            <w:shd w:val="clear" w:color="auto" w:fill="BDD6EE" w:themeFill="accent5" w:themeFillTint="66"/>
          </w:tcPr>
          <w:p w14:paraId="51D56E36"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2</w:t>
            </w:r>
          </w:p>
        </w:tc>
        <w:tc>
          <w:tcPr>
            <w:tcW w:w="1420" w:type="dxa"/>
            <w:shd w:val="clear" w:color="auto" w:fill="BDD6EE" w:themeFill="accent5" w:themeFillTint="66"/>
          </w:tcPr>
          <w:p w14:paraId="03F1FB9E" w14:textId="77777777" w:rsidR="00D8086C" w:rsidRPr="00C743F2" w:rsidRDefault="00D8086C" w:rsidP="00DF5A41">
            <w:pPr>
              <w:autoSpaceDE w:val="0"/>
              <w:autoSpaceDN w:val="0"/>
              <w:adjustRightInd w:val="0"/>
              <w:jc w:val="right"/>
              <w:rPr>
                <w:rFonts w:ascii="Times New Roman" w:hAnsi="Times New Roman" w:cs="Times New Roman"/>
                <w:color w:val="000000"/>
                <w:sz w:val="21"/>
                <w:szCs w:val="21"/>
              </w:rPr>
            </w:pPr>
            <w:r w:rsidRPr="00C743F2">
              <w:rPr>
                <w:rFonts w:ascii="Times New Roman" w:hAnsi="Times New Roman" w:cs="Times New Roman"/>
                <w:color w:val="000000"/>
                <w:sz w:val="21"/>
                <w:szCs w:val="21"/>
              </w:rPr>
              <w:t>0.08%</w:t>
            </w:r>
          </w:p>
        </w:tc>
      </w:tr>
    </w:tbl>
    <w:p w14:paraId="5FECED53"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1F596F95" w14:textId="77777777" w:rsidR="00D8086C" w:rsidRPr="00C743F2" w:rsidRDefault="00D8086C" w:rsidP="00D8086C">
      <w:pPr>
        <w:rPr>
          <w:rFonts w:ascii="Times New Roman" w:hAnsi="Times New Roman" w:cs="Times New Roman"/>
          <w:sz w:val="22"/>
          <w:szCs w:val="22"/>
        </w:rPr>
      </w:pPr>
    </w:p>
    <w:p w14:paraId="451A6638" w14:textId="77777777" w:rsidR="00D8086C" w:rsidRPr="00C743F2" w:rsidRDefault="00D8086C" w:rsidP="00D8086C">
      <w:pPr>
        <w:autoSpaceDE w:val="0"/>
        <w:autoSpaceDN w:val="0"/>
        <w:adjustRightInd w:val="0"/>
        <w:rPr>
          <w:rFonts w:ascii="Times New Roman" w:hAnsi="Times New Roman" w:cs="Times New Roman"/>
          <w:color w:val="000000"/>
          <w:sz w:val="22"/>
          <w:szCs w:val="22"/>
        </w:rPr>
      </w:pPr>
    </w:p>
    <w:p w14:paraId="20D049F0" w14:textId="77777777" w:rsidR="00D8086C" w:rsidRPr="00C743F2" w:rsidRDefault="00D8086C" w:rsidP="00D8086C">
      <w:pPr>
        <w:autoSpaceDE w:val="0"/>
        <w:autoSpaceDN w:val="0"/>
        <w:adjustRightInd w:val="0"/>
        <w:ind w:firstLine="720"/>
        <w:rPr>
          <w:rFonts w:ascii="Times New Roman" w:hAnsi="Times New Roman" w:cs="Times New Roman"/>
          <w:color w:val="000000"/>
          <w:sz w:val="22"/>
          <w:szCs w:val="22"/>
        </w:rPr>
      </w:pPr>
    </w:p>
    <w:tbl>
      <w:tblPr>
        <w:tblpPr w:leftFromText="180" w:rightFromText="180" w:vertAnchor="text" w:horzAnchor="margin" w:tblpXSpec="right" w:tblpY="1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140"/>
        <w:gridCol w:w="720"/>
        <w:gridCol w:w="1420"/>
      </w:tblGrid>
      <w:tr w:rsidR="00D8086C" w:rsidRPr="00C743F2" w14:paraId="77930CDE" w14:textId="77777777" w:rsidTr="00DF5A41">
        <w:trPr>
          <w:tblHeader/>
        </w:trPr>
        <w:tc>
          <w:tcPr>
            <w:tcW w:w="2140" w:type="dxa"/>
          </w:tcPr>
          <w:p w14:paraId="71B13CA0" w14:textId="77777777" w:rsidR="00D8086C" w:rsidRPr="00C743F2" w:rsidRDefault="00D8086C" w:rsidP="00DF5A41">
            <w:pPr>
              <w:autoSpaceDE w:val="0"/>
              <w:autoSpaceDN w:val="0"/>
              <w:adjustRightInd w:val="0"/>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MEDICAL COST</w:t>
            </w:r>
          </w:p>
        </w:tc>
        <w:tc>
          <w:tcPr>
            <w:tcW w:w="720" w:type="dxa"/>
          </w:tcPr>
          <w:p w14:paraId="376FA80F" w14:textId="77777777" w:rsidR="00D8086C" w:rsidRPr="00C743F2" w:rsidRDefault="00D8086C" w:rsidP="00DF5A41">
            <w:pPr>
              <w:autoSpaceDE w:val="0"/>
              <w:autoSpaceDN w:val="0"/>
              <w:adjustRightInd w:val="0"/>
              <w:jc w:val="right"/>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 xml:space="preserve"> </w:t>
            </w:r>
          </w:p>
        </w:tc>
        <w:tc>
          <w:tcPr>
            <w:tcW w:w="1420" w:type="dxa"/>
          </w:tcPr>
          <w:p w14:paraId="518F0A82" w14:textId="77777777" w:rsidR="00D8086C" w:rsidRPr="00C743F2" w:rsidRDefault="00D8086C" w:rsidP="00DF5A41">
            <w:pPr>
              <w:autoSpaceDE w:val="0"/>
              <w:autoSpaceDN w:val="0"/>
              <w:adjustRightInd w:val="0"/>
              <w:jc w:val="right"/>
              <w:rPr>
                <w:rFonts w:ascii="Times New Roman" w:hAnsi="Times New Roman" w:cs="Times New Roman"/>
                <w:b/>
                <w:bCs/>
                <w:color w:val="000000"/>
                <w:sz w:val="22"/>
                <w:szCs w:val="22"/>
              </w:rPr>
            </w:pPr>
            <w:r w:rsidRPr="00C743F2">
              <w:rPr>
                <w:rFonts w:ascii="Times New Roman" w:hAnsi="Times New Roman" w:cs="Times New Roman"/>
                <w:b/>
                <w:bCs/>
                <w:color w:val="000000"/>
                <w:sz w:val="22"/>
                <w:szCs w:val="22"/>
              </w:rPr>
              <w:t>% of Total</w:t>
            </w:r>
          </w:p>
        </w:tc>
      </w:tr>
      <w:tr w:rsidR="00D8086C" w:rsidRPr="00C743F2" w14:paraId="5A7314D8" w14:textId="77777777" w:rsidTr="00DF5A41">
        <w:tc>
          <w:tcPr>
            <w:tcW w:w="2140" w:type="dxa"/>
            <w:shd w:val="clear" w:color="auto" w:fill="BDD6EE" w:themeFill="accent5" w:themeFillTint="66"/>
          </w:tcPr>
          <w:p w14:paraId="5F619336"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Yes</w:t>
            </w:r>
          </w:p>
        </w:tc>
        <w:tc>
          <w:tcPr>
            <w:tcW w:w="720" w:type="dxa"/>
            <w:shd w:val="clear" w:color="auto" w:fill="BDD6EE" w:themeFill="accent5" w:themeFillTint="66"/>
          </w:tcPr>
          <w:p w14:paraId="3D59747B"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222</w:t>
            </w:r>
          </w:p>
        </w:tc>
        <w:tc>
          <w:tcPr>
            <w:tcW w:w="1420" w:type="dxa"/>
            <w:shd w:val="clear" w:color="auto" w:fill="BDD6EE" w:themeFill="accent5" w:themeFillTint="66"/>
          </w:tcPr>
          <w:p w14:paraId="2BD661CF"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8.47%</w:t>
            </w:r>
          </w:p>
        </w:tc>
      </w:tr>
      <w:tr w:rsidR="00D8086C" w:rsidRPr="00C743F2" w14:paraId="42857570" w14:textId="77777777" w:rsidTr="00DF5A41">
        <w:tc>
          <w:tcPr>
            <w:tcW w:w="2140" w:type="dxa"/>
            <w:shd w:val="clear" w:color="auto" w:fill="auto"/>
          </w:tcPr>
          <w:p w14:paraId="0BF389B9"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No</w:t>
            </w:r>
          </w:p>
        </w:tc>
        <w:tc>
          <w:tcPr>
            <w:tcW w:w="720" w:type="dxa"/>
            <w:shd w:val="clear" w:color="auto" w:fill="auto"/>
          </w:tcPr>
          <w:p w14:paraId="18F73D39"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2389</w:t>
            </w:r>
          </w:p>
        </w:tc>
        <w:tc>
          <w:tcPr>
            <w:tcW w:w="1420" w:type="dxa"/>
            <w:shd w:val="clear" w:color="auto" w:fill="auto"/>
          </w:tcPr>
          <w:p w14:paraId="5FF48454"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91.18%</w:t>
            </w:r>
          </w:p>
        </w:tc>
      </w:tr>
      <w:tr w:rsidR="00AB68DE" w:rsidRPr="00C743F2" w14:paraId="42BBAA1F" w14:textId="77777777" w:rsidTr="00DF5A41">
        <w:tc>
          <w:tcPr>
            <w:tcW w:w="2140" w:type="dxa"/>
            <w:shd w:val="clear" w:color="auto" w:fill="BDD6EE" w:themeFill="accent5" w:themeFillTint="66"/>
          </w:tcPr>
          <w:p w14:paraId="14F72B3F" w14:textId="77777777" w:rsidR="00D8086C" w:rsidRPr="00C743F2" w:rsidRDefault="00D8086C" w:rsidP="00DF5A41">
            <w:pPr>
              <w:autoSpaceDE w:val="0"/>
              <w:autoSpaceDN w:val="0"/>
              <w:adjustRightInd w:val="0"/>
              <w:rPr>
                <w:rFonts w:ascii="Times New Roman" w:hAnsi="Times New Roman" w:cs="Times New Roman"/>
                <w:color w:val="000000"/>
                <w:sz w:val="22"/>
                <w:szCs w:val="22"/>
              </w:rPr>
            </w:pPr>
            <w:r w:rsidRPr="00C743F2">
              <w:rPr>
                <w:rFonts w:ascii="Times New Roman" w:hAnsi="Times New Roman" w:cs="Times New Roman"/>
                <w:color w:val="000000"/>
                <w:sz w:val="22"/>
                <w:szCs w:val="22"/>
              </w:rPr>
              <w:t>Not Sure</w:t>
            </w:r>
          </w:p>
        </w:tc>
        <w:tc>
          <w:tcPr>
            <w:tcW w:w="720" w:type="dxa"/>
            <w:shd w:val="clear" w:color="auto" w:fill="BDD6EE" w:themeFill="accent5" w:themeFillTint="66"/>
          </w:tcPr>
          <w:p w14:paraId="6942D664"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9</w:t>
            </w:r>
          </w:p>
        </w:tc>
        <w:tc>
          <w:tcPr>
            <w:tcW w:w="1420" w:type="dxa"/>
            <w:shd w:val="clear" w:color="auto" w:fill="BDD6EE" w:themeFill="accent5" w:themeFillTint="66"/>
          </w:tcPr>
          <w:p w14:paraId="4427B79C" w14:textId="77777777" w:rsidR="00D8086C" w:rsidRPr="00C743F2" w:rsidRDefault="00D8086C" w:rsidP="00DF5A41">
            <w:pPr>
              <w:autoSpaceDE w:val="0"/>
              <w:autoSpaceDN w:val="0"/>
              <w:adjustRightInd w:val="0"/>
              <w:jc w:val="right"/>
              <w:rPr>
                <w:rFonts w:ascii="Times New Roman" w:hAnsi="Times New Roman" w:cs="Times New Roman"/>
                <w:color w:val="000000"/>
                <w:sz w:val="22"/>
                <w:szCs w:val="22"/>
              </w:rPr>
            </w:pPr>
            <w:r w:rsidRPr="00C743F2">
              <w:rPr>
                <w:rFonts w:ascii="Times New Roman" w:hAnsi="Times New Roman" w:cs="Times New Roman"/>
                <w:color w:val="000000"/>
                <w:sz w:val="22"/>
                <w:szCs w:val="22"/>
              </w:rPr>
              <w:t>0.34%</w:t>
            </w:r>
          </w:p>
        </w:tc>
      </w:tr>
    </w:tbl>
    <w:p w14:paraId="0986C3DB" w14:textId="77777777" w:rsidR="00BD756D" w:rsidRDefault="00BD756D" w:rsidP="00BD756D">
      <w:pPr>
        <w:autoSpaceDE w:val="0"/>
        <w:autoSpaceDN w:val="0"/>
        <w:adjustRightInd w:val="0"/>
        <w:rPr>
          <w:rFonts w:ascii="Helvetica Neue" w:hAnsi="Helvetica Neue" w:cs="Helvetica Neue"/>
          <w:color w:val="000000"/>
        </w:rPr>
      </w:pPr>
    </w:p>
    <w:p w14:paraId="2B1FABA9" w14:textId="77777777" w:rsidR="00BD756D" w:rsidRDefault="00BD756D" w:rsidP="00BD756D">
      <w:pPr>
        <w:autoSpaceDE w:val="0"/>
        <w:autoSpaceDN w:val="0"/>
        <w:adjustRightInd w:val="0"/>
        <w:rPr>
          <w:rFonts w:ascii="Helvetica Neue" w:hAnsi="Helvetica Neue" w:cs="Helvetica Neue"/>
          <w:color w:val="000000"/>
        </w:rPr>
      </w:pPr>
    </w:p>
    <w:p w14:paraId="1E359220" w14:textId="77777777" w:rsidR="00BD756D" w:rsidRDefault="00BD756D">
      <w:pPr>
        <w:rPr>
          <w:rFonts w:ascii="Times New Roman" w:hAnsi="Times New Roman" w:cs="Times New Roman"/>
        </w:rPr>
      </w:pPr>
    </w:p>
    <w:p w14:paraId="46686397" w14:textId="2DC16E53" w:rsidR="00BD756D" w:rsidRDefault="00BD756D">
      <w:pPr>
        <w:rPr>
          <w:rFonts w:ascii="Times New Roman" w:hAnsi="Times New Roman" w:cs="Times New Roman"/>
        </w:rPr>
      </w:pPr>
    </w:p>
    <w:p w14:paraId="70B23127" w14:textId="7F149E8C" w:rsidR="00BD756D" w:rsidRDefault="00BD756D">
      <w:pPr>
        <w:rPr>
          <w:rFonts w:ascii="Times New Roman" w:hAnsi="Times New Roman" w:cs="Times New Roman"/>
        </w:rPr>
      </w:pPr>
    </w:p>
    <w:p w14:paraId="35BE2CD9" w14:textId="182A9FF3" w:rsidR="00421440" w:rsidRDefault="00421440" w:rsidP="00D8086C">
      <w:pPr>
        <w:autoSpaceDE w:val="0"/>
        <w:autoSpaceDN w:val="0"/>
        <w:adjustRightInd w:val="0"/>
        <w:rPr>
          <w:rFonts w:ascii="Times New Roman" w:hAnsi="Times New Roman" w:cs="Times New Roman"/>
          <w:b/>
          <w:bCs/>
          <w:sz w:val="28"/>
          <w:szCs w:val="28"/>
          <w:u w:val="single"/>
        </w:rPr>
      </w:pPr>
      <w:r w:rsidRPr="00DF37C3">
        <w:rPr>
          <w:rFonts w:ascii="Times New Roman" w:hAnsi="Times New Roman" w:cs="Times New Roman"/>
          <w:b/>
          <w:bCs/>
          <w:sz w:val="28"/>
          <w:szCs w:val="28"/>
          <w:u w:val="single"/>
        </w:rPr>
        <w:t>Insights</w:t>
      </w:r>
    </w:p>
    <w:p w14:paraId="3646F3A3" w14:textId="77777777" w:rsidR="00C743F2" w:rsidRPr="00C743F2" w:rsidRDefault="00C743F2" w:rsidP="00D8086C">
      <w:pPr>
        <w:autoSpaceDE w:val="0"/>
        <w:autoSpaceDN w:val="0"/>
        <w:adjustRightInd w:val="0"/>
        <w:rPr>
          <w:rFonts w:ascii="Helvetica Neue" w:hAnsi="Helvetica Neue" w:cs="Helvetica Neue"/>
          <w:color w:val="000000"/>
        </w:rPr>
      </w:pPr>
    </w:p>
    <w:p w14:paraId="6BA71CED" w14:textId="18CAB78B" w:rsidR="00421440" w:rsidRDefault="008E287A" w:rsidP="006B2880">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The number of people who have had a routine checkup in the past 2 years is less than the number of insured people. This indicates </w:t>
      </w:r>
      <w:r w:rsidR="00C3723D">
        <w:rPr>
          <w:rFonts w:ascii="Times New Roman" w:hAnsi="Times New Roman" w:cs="Times New Roman"/>
        </w:rPr>
        <w:t xml:space="preserve">that </w:t>
      </w:r>
      <w:r>
        <w:rPr>
          <w:rFonts w:ascii="Times New Roman" w:hAnsi="Times New Roman" w:cs="Times New Roman"/>
        </w:rPr>
        <w:t>not everyone with health insurance coverage</w:t>
      </w:r>
      <w:r w:rsidR="00025705">
        <w:rPr>
          <w:rFonts w:ascii="Times New Roman" w:hAnsi="Times New Roman" w:cs="Times New Roman"/>
        </w:rPr>
        <w:t xml:space="preserve"> gets their annual </w:t>
      </w:r>
      <w:r w:rsidR="004E43C4">
        <w:rPr>
          <w:rFonts w:ascii="Times New Roman" w:hAnsi="Times New Roman" w:cs="Times New Roman"/>
        </w:rPr>
        <w:t>routine</w:t>
      </w:r>
      <w:r w:rsidR="00025705">
        <w:rPr>
          <w:rFonts w:ascii="Times New Roman" w:hAnsi="Times New Roman" w:cs="Times New Roman"/>
        </w:rPr>
        <w:t xml:space="preserve"> checkup done which is covered almost 100% by most insurances.</w:t>
      </w:r>
    </w:p>
    <w:p w14:paraId="5BE9313A" w14:textId="56B70443" w:rsidR="006C2802" w:rsidRPr="006C2802" w:rsidRDefault="006B2880" w:rsidP="006B2880">
      <w:pPr>
        <w:pStyle w:val="ListParagraph"/>
        <w:numPr>
          <w:ilvl w:val="0"/>
          <w:numId w:val="3"/>
        </w:numPr>
        <w:spacing w:line="276" w:lineRule="auto"/>
        <w:jc w:val="both"/>
        <w:rPr>
          <w:rFonts w:ascii="Times New Roman" w:hAnsi="Times New Roman" w:cs="Times New Roman"/>
        </w:rPr>
      </w:pPr>
      <w:r>
        <w:rPr>
          <w:rFonts w:ascii="Times New Roman" w:hAnsi="Times New Roman" w:cs="Times New Roman"/>
        </w:rPr>
        <w:t xml:space="preserve">The percentage of people who have forgone medical care due to cost is more than the percentage of uninsured people which indicates that even people with insurance could face access problems associated with cost. </w:t>
      </w:r>
    </w:p>
    <w:p w14:paraId="751DDA96" w14:textId="7D261023" w:rsidR="00421440" w:rsidRDefault="006F4396" w:rsidP="00DF37C3">
      <w:pPr>
        <w:jc w:val="center"/>
        <w:rPr>
          <w:rFonts w:ascii="Times New Roman" w:hAnsi="Times New Roman" w:cs="Times New Roman"/>
          <w:b/>
          <w:bCs/>
          <w:sz w:val="28"/>
          <w:szCs w:val="28"/>
          <w:u w:val="single"/>
        </w:rPr>
      </w:pPr>
      <w:r>
        <w:rPr>
          <w:rFonts w:ascii="Times New Roman" w:hAnsi="Times New Roman" w:cs="Times New Roman"/>
        </w:rPr>
        <w:br w:type="page"/>
      </w:r>
      <w:r w:rsidR="00421440" w:rsidRPr="00DF37C3">
        <w:rPr>
          <w:rFonts w:ascii="Times New Roman" w:hAnsi="Times New Roman" w:cs="Times New Roman"/>
          <w:b/>
          <w:bCs/>
          <w:sz w:val="28"/>
          <w:szCs w:val="28"/>
          <w:u w:val="single"/>
        </w:rPr>
        <w:lastRenderedPageBreak/>
        <w:t>References</w:t>
      </w:r>
    </w:p>
    <w:p w14:paraId="6FC23FFE" w14:textId="111254DC" w:rsidR="006C2802" w:rsidRDefault="006C2802" w:rsidP="006C2802">
      <w:pPr>
        <w:pStyle w:val="NormalWeb"/>
        <w:ind w:left="567" w:hanging="567"/>
      </w:pPr>
      <w:r>
        <w:t xml:space="preserve">Access to Health Services. (2020, October 08). Retrieved January 15, 2021, from </w:t>
      </w:r>
      <w:hyperlink r:id="rId11" w:history="1">
        <w:r w:rsidRPr="007821CC">
          <w:rPr>
            <w:rStyle w:val="Hyperlink"/>
          </w:rPr>
          <w:t>https://www.healthypeople.gov/2020/topics-objectives/topic/Access-to-Health-Services</w:t>
        </w:r>
      </w:hyperlink>
    </w:p>
    <w:p w14:paraId="2F0B9B6A" w14:textId="4F989DB9" w:rsidR="00421440" w:rsidRDefault="00972364" w:rsidP="006B2880">
      <w:pPr>
        <w:pStyle w:val="NormalWeb"/>
        <w:ind w:left="567" w:hanging="567"/>
      </w:pPr>
      <w:r>
        <w:t xml:space="preserve">Blumenthal, D., &amp; Collins, S. (2013). The Effects of Health Insurance on Health: What We Can Expect from the Affordable Care Act. </w:t>
      </w:r>
      <w:r>
        <w:rPr>
          <w:i/>
          <w:iCs/>
        </w:rPr>
        <w:t>The Commonwealth Fund</w:t>
      </w:r>
      <w:r>
        <w:t xml:space="preserve">. Retrieved January 15, 2021, from </w:t>
      </w:r>
      <w:hyperlink r:id="rId12" w:history="1">
        <w:r w:rsidRPr="007821CC">
          <w:rPr>
            <w:rStyle w:val="Hyperlink"/>
          </w:rPr>
          <w:t>https://www.commonwealthfund.org/blog/2013/effects-health-insurance-health-what-we-can-expect-affordable-care-act</w:t>
        </w:r>
      </w:hyperlink>
    </w:p>
    <w:p w14:paraId="6CEF01C5" w14:textId="6E643226" w:rsidR="00BC1575" w:rsidRPr="00BC1575" w:rsidRDefault="00BC1575" w:rsidP="00BC1575"/>
    <w:sectPr w:rsidR="00BC1575" w:rsidRPr="00BC1575" w:rsidSect="00AB68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43B2D" w14:textId="77777777" w:rsidR="00774D27" w:rsidRDefault="00774D27" w:rsidP="00421440">
      <w:r>
        <w:separator/>
      </w:r>
    </w:p>
  </w:endnote>
  <w:endnote w:type="continuationSeparator" w:id="0">
    <w:p w14:paraId="4C5A2BA7" w14:textId="77777777" w:rsidR="00774D27" w:rsidRDefault="00774D27" w:rsidP="004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42FB4" w14:textId="77777777" w:rsidR="00774D27" w:rsidRDefault="00774D27" w:rsidP="00421440">
      <w:r>
        <w:separator/>
      </w:r>
    </w:p>
  </w:footnote>
  <w:footnote w:type="continuationSeparator" w:id="0">
    <w:p w14:paraId="4A3484C2" w14:textId="77777777" w:rsidR="00774D27" w:rsidRDefault="00774D27" w:rsidP="00421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81AC9" w14:textId="29615D7C" w:rsidR="00421440" w:rsidRDefault="00421440">
    <w:pPr>
      <w:pStyle w:val="Header"/>
    </w:pPr>
    <w:r>
      <w:t>Edilawit Gebreselassie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04D2D"/>
    <w:multiLevelType w:val="hybridMultilevel"/>
    <w:tmpl w:val="0654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B135A"/>
    <w:multiLevelType w:val="hybridMultilevel"/>
    <w:tmpl w:val="11763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EF04BF"/>
    <w:multiLevelType w:val="multilevel"/>
    <w:tmpl w:val="98A8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744A4"/>
    <w:multiLevelType w:val="hybridMultilevel"/>
    <w:tmpl w:val="14CC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23F5F"/>
    <w:multiLevelType w:val="multilevel"/>
    <w:tmpl w:val="B5E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40C0B"/>
    <w:multiLevelType w:val="hybridMultilevel"/>
    <w:tmpl w:val="20FA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E2B"/>
    <w:rsid w:val="00025705"/>
    <w:rsid w:val="000A5CA6"/>
    <w:rsid w:val="000E36BA"/>
    <w:rsid w:val="00131AE3"/>
    <w:rsid w:val="001B389D"/>
    <w:rsid w:val="00206581"/>
    <w:rsid w:val="002745A2"/>
    <w:rsid w:val="002D3687"/>
    <w:rsid w:val="00327808"/>
    <w:rsid w:val="003417DE"/>
    <w:rsid w:val="00356DAE"/>
    <w:rsid w:val="0037522E"/>
    <w:rsid w:val="00421440"/>
    <w:rsid w:val="00497A44"/>
    <w:rsid w:val="004E43C4"/>
    <w:rsid w:val="00521AA9"/>
    <w:rsid w:val="005F61D1"/>
    <w:rsid w:val="00632AAC"/>
    <w:rsid w:val="006B2880"/>
    <w:rsid w:val="006C2802"/>
    <w:rsid w:val="006F4396"/>
    <w:rsid w:val="007707BD"/>
    <w:rsid w:val="00774D27"/>
    <w:rsid w:val="00787CDF"/>
    <w:rsid w:val="007A77AC"/>
    <w:rsid w:val="008424E0"/>
    <w:rsid w:val="008D56CC"/>
    <w:rsid w:val="008E00F3"/>
    <w:rsid w:val="008E287A"/>
    <w:rsid w:val="00972364"/>
    <w:rsid w:val="009947C5"/>
    <w:rsid w:val="009F4C56"/>
    <w:rsid w:val="00A31BC4"/>
    <w:rsid w:val="00A55AD3"/>
    <w:rsid w:val="00A925D4"/>
    <w:rsid w:val="00AB68DE"/>
    <w:rsid w:val="00B0324C"/>
    <w:rsid w:val="00B86A3E"/>
    <w:rsid w:val="00B91371"/>
    <w:rsid w:val="00BC1575"/>
    <w:rsid w:val="00BC1C33"/>
    <w:rsid w:val="00BD756D"/>
    <w:rsid w:val="00BF33FF"/>
    <w:rsid w:val="00C3723D"/>
    <w:rsid w:val="00C743F2"/>
    <w:rsid w:val="00C77135"/>
    <w:rsid w:val="00C80A51"/>
    <w:rsid w:val="00C84E2B"/>
    <w:rsid w:val="00CB7683"/>
    <w:rsid w:val="00CC20CE"/>
    <w:rsid w:val="00CD3B3F"/>
    <w:rsid w:val="00D338F8"/>
    <w:rsid w:val="00D57CD2"/>
    <w:rsid w:val="00D57F3C"/>
    <w:rsid w:val="00D8086C"/>
    <w:rsid w:val="00DB3C3D"/>
    <w:rsid w:val="00DF37C3"/>
    <w:rsid w:val="00EC4FB1"/>
    <w:rsid w:val="00F17D2F"/>
    <w:rsid w:val="00F34FA7"/>
    <w:rsid w:val="00FC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4BBE"/>
  <w15:chartTrackingRefBased/>
  <w15:docId w15:val="{A65A5B14-FEE1-834C-9590-89339EA9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440"/>
    <w:pPr>
      <w:tabs>
        <w:tab w:val="center" w:pos="4680"/>
        <w:tab w:val="right" w:pos="9360"/>
      </w:tabs>
    </w:pPr>
  </w:style>
  <w:style w:type="character" w:customStyle="1" w:styleId="HeaderChar">
    <w:name w:val="Header Char"/>
    <w:basedOn w:val="DefaultParagraphFont"/>
    <w:link w:val="Header"/>
    <w:uiPriority w:val="99"/>
    <w:rsid w:val="00421440"/>
  </w:style>
  <w:style w:type="paragraph" w:styleId="Footer">
    <w:name w:val="footer"/>
    <w:basedOn w:val="Normal"/>
    <w:link w:val="FooterChar"/>
    <w:uiPriority w:val="99"/>
    <w:unhideWhenUsed/>
    <w:rsid w:val="00421440"/>
    <w:pPr>
      <w:tabs>
        <w:tab w:val="center" w:pos="4680"/>
        <w:tab w:val="right" w:pos="9360"/>
      </w:tabs>
    </w:pPr>
  </w:style>
  <w:style w:type="character" w:customStyle="1" w:styleId="FooterChar">
    <w:name w:val="Footer Char"/>
    <w:basedOn w:val="DefaultParagraphFont"/>
    <w:link w:val="Footer"/>
    <w:uiPriority w:val="99"/>
    <w:rsid w:val="00421440"/>
  </w:style>
  <w:style w:type="table" w:styleId="TableGrid">
    <w:name w:val="Table Grid"/>
    <w:basedOn w:val="TableNormal"/>
    <w:uiPriority w:val="39"/>
    <w:rsid w:val="00BC1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7AC"/>
    <w:pPr>
      <w:ind w:left="720"/>
      <w:contextualSpacing/>
    </w:pPr>
  </w:style>
  <w:style w:type="paragraph" w:styleId="NormalWeb">
    <w:name w:val="Normal (Web)"/>
    <w:basedOn w:val="Normal"/>
    <w:uiPriority w:val="99"/>
    <w:unhideWhenUsed/>
    <w:rsid w:val="006C28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C2802"/>
    <w:rPr>
      <w:color w:val="0563C1" w:themeColor="hyperlink"/>
      <w:u w:val="single"/>
    </w:rPr>
  </w:style>
  <w:style w:type="character" w:customStyle="1" w:styleId="UnresolvedMention1">
    <w:name w:val="Unresolved Mention1"/>
    <w:basedOn w:val="DefaultParagraphFont"/>
    <w:uiPriority w:val="99"/>
    <w:semiHidden/>
    <w:unhideWhenUsed/>
    <w:rsid w:val="006C2802"/>
    <w:rPr>
      <w:color w:val="605E5C"/>
      <w:shd w:val="clear" w:color="auto" w:fill="E1DFDD"/>
    </w:rPr>
  </w:style>
  <w:style w:type="character" w:styleId="CommentReference">
    <w:name w:val="annotation reference"/>
    <w:basedOn w:val="DefaultParagraphFont"/>
    <w:uiPriority w:val="99"/>
    <w:semiHidden/>
    <w:unhideWhenUsed/>
    <w:rsid w:val="008E00F3"/>
    <w:rPr>
      <w:sz w:val="16"/>
      <w:szCs w:val="16"/>
    </w:rPr>
  </w:style>
  <w:style w:type="paragraph" w:styleId="CommentText">
    <w:name w:val="annotation text"/>
    <w:basedOn w:val="Normal"/>
    <w:link w:val="CommentTextChar"/>
    <w:uiPriority w:val="99"/>
    <w:semiHidden/>
    <w:unhideWhenUsed/>
    <w:rsid w:val="008E00F3"/>
    <w:rPr>
      <w:sz w:val="20"/>
      <w:szCs w:val="20"/>
    </w:rPr>
  </w:style>
  <w:style w:type="character" w:customStyle="1" w:styleId="CommentTextChar">
    <w:name w:val="Comment Text Char"/>
    <w:basedOn w:val="DefaultParagraphFont"/>
    <w:link w:val="CommentText"/>
    <w:uiPriority w:val="99"/>
    <w:semiHidden/>
    <w:rsid w:val="008E00F3"/>
    <w:rPr>
      <w:sz w:val="20"/>
      <w:szCs w:val="20"/>
    </w:rPr>
  </w:style>
  <w:style w:type="paragraph" w:styleId="CommentSubject">
    <w:name w:val="annotation subject"/>
    <w:basedOn w:val="CommentText"/>
    <w:next w:val="CommentText"/>
    <w:link w:val="CommentSubjectChar"/>
    <w:uiPriority w:val="99"/>
    <w:semiHidden/>
    <w:unhideWhenUsed/>
    <w:rsid w:val="008E00F3"/>
    <w:rPr>
      <w:b/>
      <w:bCs/>
    </w:rPr>
  </w:style>
  <w:style w:type="character" w:customStyle="1" w:styleId="CommentSubjectChar">
    <w:name w:val="Comment Subject Char"/>
    <w:basedOn w:val="CommentTextChar"/>
    <w:link w:val="CommentSubject"/>
    <w:uiPriority w:val="99"/>
    <w:semiHidden/>
    <w:rsid w:val="008E00F3"/>
    <w:rPr>
      <w:b/>
      <w:bCs/>
      <w:sz w:val="20"/>
      <w:szCs w:val="20"/>
    </w:rPr>
  </w:style>
  <w:style w:type="paragraph" w:styleId="BalloonText">
    <w:name w:val="Balloon Text"/>
    <w:basedOn w:val="Normal"/>
    <w:link w:val="BalloonTextChar"/>
    <w:uiPriority w:val="99"/>
    <w:semiHidden/>
    <w:unhideWhenUsed/>
    <w:rsid w:val="008E00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0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262713">
      <w:bodyDiv w:val="1"/>
      <w:marLeft w:val="0"/>
      <w:marRight w:val="0"/>
      <w:marTop w:val="0"/>
      <w:marBottom w:val="0"/>
      <w:divBdr>
        <w:top w:val="none" w:sz="0" w:space="0" w:color="auto"/>
        <w:left w:val="none" w:sz="0" w:space="0" w:color="auto"/>
        <w:bottom w:val="none" w:sz="0" w:space="0" w:color="auto"/>
        <w:right w:val="none" w:sz="0" w:space="0" w:color="auto"/>
      </w:divBdr>
    </w:div>
    <w:div w:id="842090122">
      <w:bodyDiv w:val="1"/>
      <w:marLeft w:val="0"/>
      <w:marRight w:val="0"/>
      <w:marTop w:val="0"/>
      <w:marBottom w:val="0"/>
      <w:divBdr>
        <w:top w:val="none" w:sz="0" w:space="0" w:color="auto"/>
        <w:left w:val="none" w:sz="0" w:space="0" w:color="auto"/>
        <w:bottom w:val="none" w:sz="0" w:space="0" w:color="auto"/>
        <w:right w:val="none" w:sz="0" w:space="0" w:color="auto"/>
      </w:divBdr>
    </w:div>
    <w:div w:id="1140030065">
      <w:bodyDiv w:val="1"/>
      <w:marLeft w:val="0"/>
      <w:marRight w:val="0"/>
      <w:marTop w:val="0"/>
      <w:marBottom w:val="0"/>
      <w:divBdr>
        <w:top w:val="none" w:sz="0" w:space="0" w:color="auto"/>
        <w:left w:val="none" w:sz="0" w:space="0" w:color="auto"/>
        <w:bottom w:val="none" w:sz="0" w:space="0" w:color="auto"/>
        <w:right w:val="none" w:sz="0" w:space="0" w:color="auto"/>
      </w:divBdr>
    </w:div>
    <w:div w:id="1152679253">
      <w:bodyDiv w:val="1"/>
      <w:marLeft w:val="0"/>
      <w:marRight w:val="0"/>
      <w:marTop w:val="0"/>
      <w:marBottom w:val="0"/>
      <w:divBdr>
        <w:top w:val="none" w:sz="0" w:space="0" w:color="auto"/>
        <w:left w:val="none" w:sz="0" w:space="0" w:color="auto"/>
        <w:bottom w:val="none" w:sz="0" w:space="0" w:color="auto"/>
        <w:right w:val="none" w:sz="0" w:space="0" w:color="auto"/>
      </w:divBdr>
    </w:div>
    <w:div w:id="1324238725">
      <w:bodyDiv w:val="1"/>
      <w:marLeft w:val="0"/>
      <w:marRight w:val="0"/>
      <w:marTop w:val="0"/>
      <w:marBottom w:val="0"/>
      <w:divBdr>
        <w:top w:val="none" w:sz="0" w:space="0" w:color="auto"/>
        <w:left w:val="none" w:sz="0" w:space="0" w:color="auto"/>
        <w:bottom w:val="none" w:sz="0" w:space="0" w:color="auto"/>
        <w:right w:val="none" w:sz="0" w:space="0" w:color="auto"/>
      </w:divBdr>
    </w:div>
    <w:div w:id="2008945436">
      <w:bodyDiv w:val="1"/>
      <w:marLeft w:val="0"/>
      <w:marRight w:val="0"/>
      <w:marTop w:val="0"/>
      <w:marBottom w:val="0"/>
      <w:divBdr>
        <w:top w:val="none" w:sz="0" w:space="0" w:color="auto"/>
        <w:left w:val="none" w:sz="0" w:space="0" w:color="auto"/>
        <w:bottom w:val="none" w:sz="0" w:space="0" w:color="auto"/>
        <w:right w:val="none" w:sz="0" w:space="0" w:color="auto"/>
      </w:divBdr>
    </w:div>
    <w:div w:id="21037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ommonwealthfund.org/blog/2013/effects-health-insurance-health-what-we-can-expect-affordable-ca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ypeople.gov/2020/topics-objectives/topic/Access-to-Health-Service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Edilawit S. Gebreselassie - gebreses</dc:creator>
  <cp:keywords/>
  <dc:description/>
  <cp:lastModifiedBy>Gebreselassie, Edilawit S</cp:lastModifiedBy>
  <cp:revision>5</cp:revision>
  <dcterms:created xsi:type="dcterms:W3CDTF">2022-09-16T13:51:00Z</dcterms:created>
  <dcterms:modified xsi:type="dcterms:W3CDTF">2022-09-16T13:54:00Z</dcterms:modified>
</cp:coreProperties>
</file>