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b/>
          <w:bCs/>
          <w:color w:val="B8893B"/>
          <w:spacing w:val="40"/>
          <w:sz w:val="24"/>
          <w:szCs w:val="24"/>
        </w:rPr>
        <w:t>MAISON DELCOURT · CHOCOBOT</w:t>
      </w:r>
    </w:p>
    <w:p>
      <w:pPr>
        <w:pStyle w:val="Normal"/>
        <w:spacing w:before="0" w:after="200"/>
        <w:rPr/>
      </w:pPr>
      <w:r>
        <w:rPr>
          <w:b/>
          <w:bCs/>
          <w:color w:val="4A2A1C"/>
          <w:sz w:val="56"/>
          <w:szCs w:val="56"/>
        </w:rPr>
        <w:t>Veille réglementaire et rapport d’audit</w:t>
      </w:r>
    </w:p>
    <w:p>
      <w:pPr>
        <w:pStyle w:val="Normal"/>
        <w:pBdr>
          <w:bottom w:val="single" w:sz="12" w:space="8" w:color="B8893B"/>
        </w:pBdr>
        <w:spacing w:before="0" w:after="600"/>
        <w:rPr/>
      </w:pPr>
      <w:r>
        <w:rPr>
          <w:i/>
          <w:iCs/>
          <w:color w:val="6B5445"/>
          <w:sz w:val="28"/>
          <w:szCs w:val="28"/>
        </w:rPr>
        <w:t>RGPD, AI Act et textes connexes — état des lieux de l’application avant mise en conformité</w:t>
      </w:r>
    </w:p>
    <w:p>
      <w:pPr>
        <w:pStyle w:val="Normal"/>
        <w:spacing w:lineRule="auto" w:line="276" w:before="0" w:after="120"/>
        <w:rPr/>
      </w:pPr>
      <w:r>
        <w:rPr>
          <w:b/>
          <w:bCs/>
        </w:rPr>
        <w:t>Livrable 1</w:t>
      </w:r>
      <w:r>
        <w:rPr/>
        <w:t xml:space="preserve"> — Fichier de veille et rapport des problèmes actuels</w:t>
      </w:r>
    </w:p>
    <w:p>
      <w:pPr>
        <w:pStyle w:val="Normal"/>
        <w:spacing w:lineRule="auto" w:line="276" w:before="0" w:after="120"/>
        <w:rPr/>
      </w:pPr>
      <w:r>
        <w:rPr>
          <w:b/>
          <w:bCs/>
        </w:rPr>
        <w:t>Client :</w:t>
      </w:r>
      <w:r>
        <w:rPr/>
        <w:t xml:space="preserve"> Maison Delcourt, chocolatier artisanal (Lille) — 3 boutiques et un site e-commerce</w:t>
      </w:r>
    </w:p>
    <w:p>
      <w:pPr>
        <w:pStyle w:val="Normal"/>
        <w:spacing w:lineRule="auto" w:line="276" w:before="0" w:after="120"/>
        <w:rPr/>
      </w:pPr>
      <w:r>
        <w:rPr>
          <w:b/>
          <w:bCs/>
        </w:rPr>
        <w:t>Objet :</w:t>
      </w:r>
      <w:r>
        <w:rPr/>
        <w:t xml:space="preserve"> ChocoBot, assistant IA de conseil en coffrets de chocolats</w:t>
      </w:r>
    </w:p>
    <w:p>
      <w:pPr>
        <w:pStyle w:val="Normal"/>
        <w:spacing w:lineRule="auto" w:line="276" w:before="0" w:after="120"/>
        <w:rPr/>
      </w:pPr>
      <w:r>
        <w:rPr>
          <w:b/>
          <w:bCs/>
        </w:rPr>
        <w:t>Binôme :</w:t>
      </w:r>
      <w:r>
        <w:rPr/>
        <w:t xml:space="preserve"> </w:t>
      </w:r>
      <w:r>
        <w:rPr/>
        <w:t>Edilene da Silva</w:t>
      </w:r>
      <w:r>
        <w:rPr/>
        <w:t xml:space="preserve"> — </w:t>
      </w:r>
      <w:r>
        <w:rPr/>
        <w:t>Hazel Cununder</w:t>
      </w:r>
    </w:p>
    <w:p>
      <w:pPr>
        <w:pStyle w:val="Normal"/>
        <w:spacing w:lineRule="auto" w:line="276" w:before="0" w:after="120"/>
        <w:rPr/>
      </w:pPr>
      <w:r>
        <w:rPr>
          <w:b/>
          <w:bCs/>
        </w:rPr>
        <w:t>Date :</w:t>
      </w:r>
      <w:r>
        <w:rPr/>
        <w:t xml:space="preserve"> </w:t>
      </w:r>
      <w:r>
        <w:rPr>
          <w:shd w:fill="FFFF00" w:val="clear"/>
        </w:rPr>
        <w:t>x</w:t>
      </w:r>
      <w:r>
        <w:rPr/>
        <w:t xml:space="preserve"> octobre 2026</w:t>
      </w:r>
    </w:p>
    <w:p>
      <w:pPr>
        <w:pStyle w:val="Normal"/>
        <w:spacing w:before="1200" w:after="0"/>
        <w:rPr/>
      </w:pPr>
      <w:r>
        <w:rPr>
          <w:i/>
          <w:iCs/>
          <w:color w:val="7A6657"/>
          <w:sz w:val="19"/>
          <w:szCs w:val="19"/>
        </w:rPr>
        <w:t>Document de travail. La veille reflète l’état des textes connus à la date ci-dessus ; les points signalés « à vérifier » doivent être confirmés sur les sources officielles avant la rencontre avec le prestataire.</w:t>
      </w:r>
    </w:p>
    <w:p>
      <w:pPr>
        <w:pStyle w:val="Normal"/>
        <w:rPr/>
      </w:pPr>
      <w:r>
        <w:rPr/>
      </w:r>
      <w:r>
        <w:br w:type="page"/>
      </w:r>
    </w:p>
    <w:p>
      <w:pPr>
        <w:pStyle w:val="Heading1"/>
        <w:spacing w:before="0" w:after="240"/>
        <w:rPr/>
      </w:pPr>
      <w:bookmarkStart w:id="0" w:name="_Toc1"/>
      <w:r>
        <w:rPr/>
        <w:t>Sommaire</w:t>
      </w:r>
      <w:bookmarkEnd w:id="0"/>
    </w:p>
    <w:sdt>
      <w:sdtPr>
        <w:docPartObj>
          <w:docPartGallery w:val="Table of Contents"/>
          <w:docPartUnique w:val="true"/>
        </w:docPartObj>
      </w:sdtPr>
      <w:sdtContent>
        <w:p>
          <w:pPr>
            <w:pStyle w:val="TOC1"/>
            <w:tabs>
              <w:tab w:val="clear" w:pos="720"/>
              <w:tab w:val="right" w:pos="9638" w:leader="dot"/>
            </w:tabs>
            <w:rPr/>
          </w:pPr>
          <w:r>
            <w:fldChar w:fldCharType="begin"/>
          </w:r>
          <w:r>
            <w:rPr>
              <w:rStyle w:val="IndexLink"/>
            </w:rPr>
            <w:instrText xml:space="preserve"> TOC \o "1-2" \h</w:instrText>
          </w:r>
          <w:r>
            <w:rPr>
              <w:rStyle w:val="IndexLink"/>
            </w:rPr>
            <w:fldChar w:fldCharType="separate"/>
          </w:r>
          <w:hyperlink w:anchor="_Toc1">
            <w:r>
              <w:rPr>
                <w:webHidden/>
              </w:rPr>
              <w:fldChar w:fldCharType="begin"/>
            </w:r>
            <w:r>
              <w:rPr>
                <w:webHidden/>
              </w:rPr>
              <w:instrText xml:space="preserve">PAGEREF _Toc1 \h</w:instrText>
            </w:r>
            <w:r>
              <w:rPr>
                <w:webHidden/>
              </w:rPr>
              <w:fldChar w:fldCharType="separate"/>
            </w:r>
            <w:r>
              <w:rPr>
                <w:rStyle w:val="IndexLink"/>
              </w:rPr>
              <w:t>Sommaire</w:t>
              <w:tab/>
            </w:r>
            <w:r>
              <w:rPr>
                <w:webHidden/>
              </w:rPr>
              <w:fldChar w:fldCharType="end"/>
            </w:r>
          </w:hyperlink>
        </w:p>
        <w:p>
          <w:pPr>
            <w:pStyle w:val="TOC1"/>
            <w:tabs>
              <w:tab w:val="clear" w:pos="720"/>
              <w:tab w:val="right" w:pos="9638" w:leader="dot"/>
            </w:tabs>
            <w:rPr/>
          </w:pPr>
          <w:hyperlink w:anchor="_Toc2">
            <w:r>
              <w:rPr>
                <w:webHidden/>
              </w:rPr>
              <w:fldChar w:fldCharType="begin"/>
            </w:r>
            <w:r>
              <w:rPr>
                <w:webHidden/>
              </w:rPr>
              <w:instrText xml:space="preserve">PAGEREF _Toc2 \h</w:instrText>
            </w:r>
            <w:r>
              <w:rPr>
                <w:webHidden/>
              </w:rPr>
              <w:fldChar w:fldCharType="separate"/>
            </w:r>
            <w:r>
              <w:rPr>
                <w:rStyle w:val="IndexLink"/>
              </w:rPr>
              <w:t>Synthèse</w:t>
              <w:tab/>
            </w:r>
            <w:r>
              <w:rPr>
                <w:webHidden/>
              </w:rPr>
              <w:fldChar w:fldCharType="end"/>
            </w:r>
          </w:hyperlink>
        </w:p>
        <w:p>
          <w:pPr>
            <w:pStyle w:val="TOC1"/>
            <w:tabs>
              <w:tab w:val="clear" w:pos="720"/>
              <w:tab w:val="right" w:pos="9638" w:leader="dot"/>
            </w:tabs>
            <w:rPr/>
          </w:pPr>
          <w:hyperlink w:anchor="_Toc3">
            <w:r>
              <w:rPr>
                <w:webHidden/>
              </w:rPr>
              <w:fldChar w:fldCharType="begin"/>
            </w:r>
            <w:r>
              <w:rPr>
                <w:webHidden/>
              </w:rPr>
              <w:instrText xml:space="preserve">PAGEREF _Toc3 \h</w:instrText>
            </w:r>
            <w:r>
              <w:rPr>
                <w:webHidden/>
              </w:rPr>
              <w:fldChar w:fldCharType="separate"/>
            </w:r>
            <w:r>
              <w:rPr>
                <w:rStyle w:val="IndexLink"/>
              </w:rPr>
              <w:t>1. Contexte, périmètre et méthode</w:t>
              <w:tab/>
            </w:r>
            <w:r>
              <w:rPr>
                <w:webHidden/>
              </w:rPr>
              <w:fldChar w:fldCharType="end"/>
            </w:r>
          </w:hyperlink>
        </w:p>
        <w:p>
          <w:pPr>
            <w:pStyle w:val="TOC2"/>
            <w:tabs>
              <w:tab w:val="clear" w:pos="720"/>
              <w:tab w:val="right" w:pos="9638" w:leader="dot"/>
            </w:tabs>
            <w:ind w:start="220"/>
            <w:rPr/>
          </w:pPr>
          <w:hyperlink w:anchor="_Toc4">
            <w:r>
              <w:rPr>
                <w:webHidden/>
              </w:rPr>
              <w:fldChar w:fldCharType="begin"/>
            </w:r>
            <w:r>
              <w:rPr>
                <w:webHidden/>
              </w:rPr>
              <w:instrText xml:space="preserve">PAGEREF _Toc4 \h</w:instrText>
            </w:r>
            <w:r>
              <w:rPr>
                <w:webHidden/>
              </w:rPr>
              <w:fldChar w:fldCharType="separate"/>
            </w:r>
            <w:r>
              <w:rPr>
                <w:rStyle w:val="IndexLink"/>
              </w:rPr>
              <w:t>1.1 Le client et le besoin</w:t>
              <w:tab/>
            </w:r>
            <w:r>
              <w:rPr>
                <w:webHidden/>
              </w:rPr>
              <w:fldChar w:fldCharType="end"/>
            </w:r>
          </w:hyperlink>
        </w:p>
        <w:p>
          <w:pPr>
            <w:pStyle w:val="TOC2"/>
            <w:tabs>
              <w:tab w:val="clear" w:pos="720"/>
              <w:tab w:val="right" w:pos="9638" w:leader="dot"/>
            </w:tabs>
            <w:ind w:start="220"/>
            <w:rPr/>
          </w:pPr>
          <w:hyperlink w:anchor="_Toc5">
            <w:r>
              <w:rPr>
                <w:webHidden/>
              </w:rPr>
              <w:fldChar w:fldCharType="begin"/>
            </w:r>
            <w:r>
              <w:rPr>
                <w:webHidden/>
              </w:rPr>
              <w:instrText xml:space="preserve">PAGEREF _Toc5 \h</w:instrText>
            </w:r>
            <w:r>
              <w:rPr>
                <w:webHidden/>
              </w:rPr>
              <w:fldChar w:fldCharType="separate"/>
            </w:r>
            <w:r>
              <w:rPr>
                <w:rStyle w:val="IndexLink"/>
              </w:rPr>
              <w:t>1.2 Périmètre de ce livrable</w:t>
              <w:tab/>
            </w:r>
            <w:r>
              <w:rPr>
                <w:webHidden/>
              </w:rPr>
              <w:fldChar w:fldCharType="end"/>
            </w:r>
          </w:hyperlink>
        </w:p>
        <w:p>
          <w:pPr>
            <w:pStyle w:val="TOC2"/>
            <w:tabs>
              <w:tab w:val="clear" w:pos="720"/>
              <w:tab w:val="right" w:pos="9638" w:leader="dot"/>
            </w:tabs>
            <w:ind w:start="220"/>
            <w:rPr/>
          </w:pPr>
          <w:hyperlink w:anchor="_Toc6">
            <w:r>
              <w:rPr>
                <w:webHidden/>
              </w:rPr>
              <w:fldChar w:fldCharType="begin"/>
            </w:r>
            <w:r>
              <w:rPr>
                <w:webHidden/>
              </w:rPr>
              <w:instrText xml:space="preserve">PAGEREF _Toc6 \h</w:instrText>
            </w:r>
            <w:r>
              <w:rPr>
                <w:webHidden/>
              </w:rPr>
              <w:fldChar w:fldCharType="separate"/>
            </w:r>
            <w:r>
              <w:rPr>
                <w:rStyle w:val="IndexLink"/>
              </w:rPr>
              <w:t>1.3 Méthode</w:t>
              <w:tab/>
            </w:r>
            <w:r>
              <w:rPr>
                <w:webHidden/>
              </w:rPr>
              <w:fldChar w:fldCharType="end"/>
            </w:r>
          </w:hyperlink>
        </w:p>
        <w:p>
          <w:pPr>
            <w:pStyle w:val="TOC2"/>
            <w:tabs>
              <w:tab w:val="clear" w:pos="720"/>
              <w:tab w:val="right" w:pos="9638" w:leader="dot"/>
            </w:tabs>
            <w:ind w:start="220"/>
            <w:rPr/>
          </w:pPr>
          <w:hyperlink w:anchor="_Toc7">
            <w:r>
              <w:rPr>
                <w:webHidden/>
              </w:rPr>
              <w:fldChar w:fldCharType="begin"/>
            </w:r>
            <w:r>
              <w:rPr>
                <w:webHidden/>
              </w:rPr>
              <w:instrText xml:space="preserve">PAGEREF _Toc7 \h</w:instrText>
            </w:r>
            <w:r>
              <w:rPr>
                <w:webHidden/>
              </w:rPr>
              <w:fldChar w:fldCharType="separate"/>
            </w:r>
            <w:r>
              <w:rPr>
                <w:rStyle w:val="IndexLink"/>
              </w:rPr>
              <w:t>1.4 Description technique de ChocoBot</w:t>
              <w:tab/>
            </w:r>
            <w:r>
              <w:rPr>
                <w:webHidden/>
              </w:rPr>
              <w:fldChar w:fldCharType="end"/>
            </w:r>
          </w:hyperlink>
        </w:p>
        <w:p>
          <w:pPr>
            <w:pStyle w:val="TOC1"/>
            <w:tabs>
              <w:tab w:val="clear" w:pos="720"/>
              <w:tab w:val="right" w:pos="9638" w:leader="dot"/>
            </w:tabs>
            <w:rPr/>
          </w:pPr>
          <w:hyperlink w:anchor="_Toc8">
            <w:r>
              <w:rPr>
                <w:webHidden/>
              </w:rPr>
              <w:fldChar w:fldCharType="begin"/>
            </w:r>
            <w:r>
              <w:rPr>
                <w:webHidden/>
              </w:rPr>
              <w:instrText xml:space="preserve">PAGEREF _Toc8 \h</w:instrText>
            </w:r>
            <w:r>
              <w:rPr>
                <w:webHidden/>
              </w:rPr>
              <w:fldChar w:fldCharType="separate"/>
            </w:r>
            <w:r>
              <w:rPr>
                <w:rStyle w:val="IndexLink"/>
              </w:rPr>
              <w:t>2. Veille réglementaire</w:t>
              <w:tab/>
            </w:r>
            <w:r>
              <w:rPr>
                <w:webHidden/>
              </w:rPr>
              <w:fldChar w:fldCharType="end"/>
            </w:r>
          </w:hyperlink>
        </w:p>
        <w:p>
          <w:pPr>
            <w:pStyle w:val="TOC2"/>
            <w:tabs>
              <w:tab w:val="clear" w:pos="720"/>
              <w:tab w:val="right" w:pos="9638" w:leader="dot"/>
            </w:tabs>
            <w:ind w:start="220"/>
            <w:rPr/>
          </w:pPr>
          <w:hyperlink w:anchor="_Toc9">
            <w:r>
              <w:rPr>
                <w:webHidden/>
              </w:rPr>
              <w:fldChar w:fldCharType="begin"/>
            </w:r>
            <w:r>
              <w:rPr>
                <w:webHidden/>
              </w:rPr>
              <w:instrText xml:space="preserve">PAGEREF _Toc9 \h</w:instrText>
            </w:r>
            <w:r>
              <w:rPr>
                <w:webHidden/>
              </w:rPr>
              <w:fldChar w:fldCharType="separate"/>
            </w:r>
            <w:r>
              <w:rPr>
                <w:rStyle w:val="IndexLink"/>
              </w:rPr>
              <w:t>2.1 RGPD — Règlement (UE) 2016/679</w:t>
              <w:tab/>
            </w:r>
            <w:r>
              <w:rPr>
                <w:webHidden/>
              </w:rPr>
              <w:fldChar w:fldCharType="end"/>
            </w:r>
          </w:hyperlink>
        </w:p>
        <w:p>
          <w:pPr>
            <w:pStyle w:val="TOC2"/>
            <w:tabs>
              <w:tab w:val="clear" w:pos="720"/>
              <w:tab w:val="right" w:pos="9638" w:leader="dot"/>
            </w:tabs>
            <w:ind w:start="220"/>
            <w:rPr/>
          </w:pPr>
          <w:hyperlink w:anchor="_Toc10">
            <w:r>
              <w:rPr>
                <w:webHidden/>
              </w:rPr>
              <w:fldChar w:fldCharType="begin"/>
            </w:r>
            <w:r>
              <w:rPr>
                <w:webHidden/>
              </w:rPr>
              <w:instrText xml:space="preserve">PAGEREF _Toc10 \h</w:instrText>
            </w:r>
            <w:r>
              <w:rPr>
                <w:webHidden/>
              </w:rPr>
              <w:fldChar w:fldCharType="separate"/>
            </w:r>
            <w:r>
              <w:rPr>
                <w:rStyle w:val="IndexLink"/>
              </w:rPr>
              <w:t>2.2 Loi Informatique et Libertés et doctrine de la CNIL</w:t>
              <w:tab/>
            </w:r>
            <w:r>
              <w:rPr>
                <w:webHidden/>
              </w:rPr>
              <w:fldChar w:fldCharType="end"/>
            </w:r>
          </w:hyperlink>
        </w:p>
        <w:p>
          <w:pPr>
            <w:pStyle w:val="TOC2"/>
            <w:tabs>
              <w:tab w:val="clear" w:pos="720"/>
              <w:tab w:val="right" w:pos="9638" w:leader="dot"/>
            </w:tabs>
            <w:ind w:start="220"/>
            <w:rPr/>
          </w:pPr>
          <w:hyperlink w:anchor="_Toc11">
            <w:r>
              <w:rPr>
                <w:webHidden/>
              </w:rPr>
              <w:fldChar w:fldCharType="begin"/>
            </w:r>
            <w:r>
              <w:rPr>
                <w:webHidden/>
              </w:rPr>
              <w:instrText xml:space="preserve">PAGEREF _Toc11 \h</w:instrText>
            </w:r>
            <w:r>
              <w:rPr>
                <w:webHidden/>
              </w:rPr>
              <w:fldChar w:fldCharType="separate"/>
            </w:r>
            <w:r>
              <w:rPr>
                <w:rStyle w:val="IndexLink"/>
              </w:rPr>
              <w:t>2.3 AI Act — Règlement (UE) 2024/1689</w:t>
              <w:tab/>
            </w:r>
            <w:r>
              <w:rPr>
                <w:webHidden/>
              </w:rPr>
              <w:fldChar w:fldCharType="end"/>
            </w:r>
          </w:hyperlink>
        </w:p>
        <w:p>
          <w:pPr>
            <w:pStyle w:val="TOC2"/>
            <w:tabs>
              <w:tab w:val="clear" w:pos="720"/>
              <w:tab w:val="right" w:pos="9638" w:leader="dot"/>
            </w:tabs>
            <w:ind w:start="220"/>
            <w:rPr/>
          </w:pPr>
          <w:hyperlink w:anchor="_Toc12">
            <w:r>
              <w:rPr>
                <w:webHidden/>
              </w:rPr>
              <w:fldChar w:fldCharType="begin"/>
            </w:r>
            <w:r>
              <w:rPr>
                <w:webHidden/>
              </w:rPr>
              <w:instrText xml:space="preserve">PAGEREF _Toc12 \h</w:instrText>
            </w:r>
            <w:r>
              <w:rPr>
                <w:webHidden/>
              </w:rPr>
              <w:fldChar w:fldCharType="separate"/>
            </w:r>
            <w:r>
              <w:rPr>
                <w:rStyle w:val="IndexLink"/>
              </w:rPr>
              <w:t>2.4 Autres textes applicables</w:t>
              <w:tab/>
            </w:r>
            <w:r>
              <w:rPr>
                <w:webHidden/>
              </w:rPr>
              <w:fldChar w:fldCharType="end"/>
            </w:r>
          </w:hyperlink>
        </w:p>
        <w:p>
          <w:pPr>
            <w:pStyle w:val="TOC2"/>
            <w:tabs>
              <w:tab w:val="clear" w:pos="720"/>
              <w:tab w:val="right" w:pos="9638" w:leader="dot"/>
            </w:tabs>
            <w:ind w:start="220"/>
            <w:rPr/>
          </w:pPr>
          <w:hyperlink w:anchor="_Toc13">
            <w:r>
              <w:rPr>
                <w:webHidden/>
              </w:rPr>
              <w:fldChar w:fldCharType="begin"/>
            </w:r>
            <w:r>
              <w:rPr>
                <w:webHidden/>
              </w:rPr>
              <w:instrText xml:space="preserve">PAGEREF _Toc13 \h</w:instrText>
            </w:r>
            <w:r>
              <w:rPr>
                <w:webHidden/>
              </w:rPr>
              <w:fldChar w:fldCharType="separate"/>
            </w:r>
            <w:r>
              <w:rPr>
                <w:rStyle w:val="IndexLink"/>
              </w:rPr>
              <w:t>2.5 Tableau de synthèse de la veille</w:t>
              <w:tab/>
            </w:r>
            <w:r>
              <w:rPr>
                <w:webHidden/>
              </w:rPr>
              <w:fldChar w:fldCharType="end"/>
            </w:r>
          </w:hyperlink>
        </w:p>
        <w:p>
          <w:pPr>
            <w:pStyle w:val="TOC2"/>
            <w:tabs>
              <w:tab w:val="clear" w:pos="720"/>
              <w:tab w:val="right" w:pos="9638" w:leader="dot"/>
            </w:tabs>
            <w:ind w:start="220"/>
            <w:rPr/>
          </w:pPr>
          <w:hyperlink w:anchor="_Toc14">
            <w:r>
              <w:rPr>
                <w:webHidden/>
              </w:rPr>
              <w:fldChar w:fldCharType="begin"/>
            </w:r>
            <w:r>
              <w:rPr>
                <w:webHidden/>
              </w:rPr>
              <w:instrText xml:space="preserve">PAGEREF _Toc14 \h</w:instrText>
            </w:r>
            <w:r>
              <w:rPr>
                <w:webHidden/>
              </w:rPr>
              <w:fldChar w:fldCharType="separate"/>
            </w:r>
            <w:r>
              <w:rPr>
                <w:rStyle w:val="IndexLink"/>
              </w:rPr>
              <w:t>2.6 Sources</w:t>
              <w:tab/>
            </w:r>
            <w:r>
              <w:rPr>
                <w:webHidden/>
              </w:rPr>
              <w:fldChar w:fldCharType="end"/>
            </w:r>
          </w:hyperlink>
        </w:p>
        <w:p>
          <w:pPr>
            <w:pStyle w:val="TOC1"/>
            <w:tabs>
              <w:tab w:val="clear" w:pos="720"/>
              <w:tab w:val="right" w:pos="9638" w:leader="dot"/>
            </w:tabs>
            <w:rPr/>
          </w:pPr>
          <w:hyperlink w:anchor="_Toc15">
            <w:r>
              <w:rPr>
                <w:webHidden/>
              </w:rPr>
              <w:fldChar w:fldCharType="begin"/>
            </w:r>
            <w:r>
              <w:rPr>
                <w:webHidden/>
              </w:rPr>
              <w:instrText xml:space="preserve">PAGEREF _Toc15 \h</w:instrText>
            </w:r>
            <w:r>
              <w:rPr>
                <w:webHidden/>
              </w:rPr>
              <w:fldChar w:fldCharType="separate"/>
            </w:r>
            <w:r>
              <w:rPr>
                <w:rStyle w:val="IndexLink"/>
              </w:rPr>
              <w:t>3. Audit de conformité</w:t>
              <w:tab/>
            </w:r>
            <w:r>
              <w:rPr>
                <w:webHidden/>
              </w:rPr>
              <w:fldChar w:fldCharType="end"/>
            </w:r>
          </w:hyperlink>
        </w:p>
        <w:p>
          <w:pPr>
            <w:pStyle w:val="TOC2"/>
            <w:tabs>
              <w:tab w:val="clear" w:pos="720"/>
              <w:tab w:val="right" w:pos="9638" w:leader="dot"/>
            </w:tabs>
            <w:ind w:start="220"/>
            <w:rPr/>
          </w:pPr>
          <w:hyperlink w:anchor="_Toc16">
            <w:r>
              <w:rPr>
                <w:webHidden/>
              </w:rPr>
              <w:fldChar w:fldCharType="begin"/>
            </w:r>
            <w:r>
              <w:rPr>
                <w:webHidden/>
              </w:rPr>
              <w:instrText xml:space="preserve">PAGEREF _Toc16 \h</w:instrText>
            </w:r>
            <w:r>
              <w:rPr>
                <w:webHidden/>
              </w:rPr>
              <w:fldChar w:fldCharType="separate"/>
            </w:r>
            <w:r>
              <w:rPr>
                <w:rStyle w:val="IndexLink"/>
              </w:rPr>
              <w:t>3.1 Classification AI Act</w:t>
              <w:tab/>
            </w:r>
            <w:r>
              <w:rPr>
                <w:webHidden/>
              </w:rPr>
              <w:fldChar w:fldCharType="end"/>
            </w:r>
          </w:hyperlink>
        </w:p>
        <w:p>
          <w:pPr>
            <w:pStyle w:val="TOC2"/>
            <w:tabs>
              <w:tab w:val="clear" w:pos="720"/>
              <w:tab w:val="right" w:pos="9638" w:leader="dot"/>
            </w:tabs>
            <w:ind w:start="220"/>
            <w:rPr/>
          </w:pPr>
          <w:hyperlink w:anchor="_Toc17">
            <w:r>
              <w:rPr>
                <w:webHidden/>
              </w:rPr>
              <w:fldChar w:fldCharType="begin"/>
            </w:r>
            <w:r>
              <w:rPr>
                <w:webHidden/>
              </w:rPr>
              <w:instrText xml:space="preserve">PAGEREF _Toc17 \h</w:instrText>
            </w:r>
            <w:r>
              <w:rPr>
                <w:webHidden/>
              </w:rPr>
              <w:fldChar w:fldCharType="separate"/>
            </w:r>
            <w:r>
              <w:rPr>
                <w:rStyle w:val="IndexLink"/>
              </w:rPr>
              <w:t>3.2 Inventaire des données personnelles</w:t>
              <w:tab/>
            </w:r>
            <w:r>
              <w:rPr>
                <w:webHidden/>
              </w:rPr>
              <w:fldChar w:fldCharType="end"/>
            </w:r>
          </w:hyperlink>
        </w:p>
        <w:p>
          <w:pPr>
            <w:pStyle w:val="TOC2"/>
            <w:tabs>
              <w:tab w:val="clear" w:pos="720"/>
              <w:tab w:val="right" w:pos="9638" w:leader="dot"/>
            </w:tabs>
            <w:ind w:start="220"/>
            <w:rPr/>
          </w:pPr>
          <w:hyperlink w:anchor="_Toc18">
            <w:r>
              <w:rPr>
                <w:webHidden/>
              </w:rPr>
              <w:fldChar w:fldCharType="begin"/>
            </w:r>
            <w:r>
              <w:rPr>
                <w:webHidden/>
              </w:rPr>
              <w:instrText xml:space="preserve">PAGEREF _Toc18 \h</w:instrText>
            </w:r>
            <w:r>
              <w:rPr>
                <w:webHidden/>
              </w:rPr>
              <w:fldChar w:fldCharType="separate"/>
            </w:r>
            <w:r>
              <w:rPr>
                <w:rStyle w:val="IndexLink"/>
              </w:rPr>
              <w:t>3.3 Projet de registre des activités de traitement (art. 30)</w:t>
              <w:tab/>
            </w:r>
            <w:r>
              <w:rPr>
                <w:webHidden/>
              </w:rPr>
              <w:fldChar w:fldCharType="end"/>
            </w:r>
          </w:hyperlink>
        </w:p>
        <w:p>
          <w:pPr>
            <w:pStyle w:val="TOC2"/>
            <w:tabs>
              <w:tab w:val="clear" w:pos="720"/>
              <w:tab w:val="right" w:pos="9638" w:leader="dot"/>
            </w:tabs>
            <w:ind w:start="220"/>
            <w:rPr/>
          </w:pPr>
          <w:hyperlink w:anchor="_Toc19">
            <w:r>
              <w:rPr>
                <w:webHidden/>
              </w:rPr>
              <w:fldChar w:fldCharType="begin"/>
            </w:r>
            <w:r>
              <w:rPr>
                <w:webHidden/>
              </w:rPr>
              <w:instrText xml:space="preserve">PAGEREF _Toc19 \h</w:instrText>
            </w:r>
            <w:r>
              <w:rPr>
                <w:webHidden/>
              </w:rPr>
              <w:fldChar w:fldCharType="separate"/>
            </w:r>
            <w:r>
              <w:rPr>
                <w:rStyle w:val="IndexLink"/>
              </w:rPr>
              <w:t>3.4 Fiche de conformité</w:t>
              <w:tab/>
            </w:r>
            <w:r>
              <w:rPr>
                <w:webHidden/>
              </w:rPr>
              <w:fldChar w:fldCharType="end"/>
            </w:r>
          </w:hyperlink>
        </w:p>
        <w:p>
          <w:pPr>
            <w:pStyle w:val="TOC2"/>
            <w:tabs>
              <w:tab w:val="clear" w:pos="720"/>
              <w:tab w:val="right" w:pos="9638" w:leader="dot"/>
            </w:tabs>
            <w:ind w:start="220"/>
            <w:rPr/>
          </w:pPr>
          <w:hyperlink w:anchor="_Toc20">
            <w:r>
              <w:rPr>
                <w:webHidden/>
              </w:rPr>
              <w:fldChar w:fldCharType="begin"/>
            </w:r>
            <w:r>
              <w:rPr>
                <w:webHidden/>
              </w:rPr>
              <w:instrText xml:space="preserve">PAGEREF _Toc20 \h</w:instrText>
            </w:r>
            <w:r>
              <w:rPr>
                <w:webHidden/>
              </w:rPr>
              <w:fldChar w:fldCharType="separate"/>
            </w:r>
            <w:r>
              <w:rPr>
                <w:rStyle w:val="IndexLink"/>
              </w:rPr>
              <w:t>3.5 Préparation au contrôle simulé de la CNIL</w:t>
              <w:tab/>
            </w:r>
            <w:r>
              <w:rPr>
                <w:webHidden/>
              </w:rPr>
              <w:fldChar w:fldCharType="end"/>
            </w:r>
          </w:hyperlink>
        </w:p>
        <w:p>
          <w:pPr>
            <w:pStyle w:val="TOC1"/>
            <w:tabs>
              <w:tab w:val="clear" w:pos="720"/>
              <w:tab w:val="right" w:pos="9638" w:leader="dot"/>
            </w:tabs>
            <w:rPr/>
          </w:pPr>
          <w:hyperlink w:anchor="_Toc21">
            <w:r>
              <w:rPr>
                <w:webHidden/>
              </w:rPr>
              <w:fldChar w:fldCharType="begin"/>
            </w:r>
            <w:r>
              <w:rPr>
                <w:webHidden/>
              </w:rPr>
              <w:instrText xml:space="preserve">PAGEREF _Toc21 \h</w:instrText>
            </w:r>
            <w:r>
              <w:rPr>
                <w:webHidden/>
              </w:rPr>
              <w:fldChar w:fldCharType="separate"/>
            </w:r>
            <w:r>
              <w:rPr>
                <w:rStyle w:val="IndexLink"/>
              </w:rPr>
              <w:t>4. Rapport des problèmes actuels</w:t>
              <w:tab/>
            </w:r>
            <w:r>
              <w:rPr>
                <w:webHidden/>
              </w:rPr>
              <w:fldChar w:fldCharType="end"/>
            </w:r>
          </w:hyperlink>
        </w:p>
        <w:p>
          <w:pPr>
            <w:pStyle w:val="TOC2"/>
            <w:tabs>
              <w:tab w:val="clear" w:pos="720"/>
              <w:tab w:val="right" w:pos="9638" w:leader="dot"/>
            </w:tabs>
            <w:ind w:start="220"/>
            <w:rPr/>
          </w:pPr>
          <w:hyperlink w:anchor="_Toc22">
            <w:r>
              <w:rPr>
                <w:webHidden/>
              </w:rPr>
              <w:fldChar w:fldCharType="begin"/>
            </w:r>
            <w:r>
              <w:rPr>
                <w:webHidden/>
              </w:rPr>
              <w:instrText xml:space="preserve">PAGEREF _Toc22 \h</w:instrText>
            </w:r>
            <w:r>
              <w:rPr>
                <w:webHidden/>
              </w:rPr>
              <w:fldChar w:fldCharType="separate"/>
            </w:r>
            <w:r>
              <w:rPr>
                <w:rStyle w:val="IndexLink"/>
              </w:rPr>
              <w:t>4.1 Échelle de gravité</w:t>
              <w:tab/>
            </w:r>
            <w:r>
              <w:rPr>
                <w:webHidden/>
              </w:rPr>
              <w:fldChar w:fldCharType="end"/>
            </w:r>
          </w:hyperlink>
        </w:p>
        <w:p>
          <w:pPr>
            <w:pStyle w:val="TOC2"/>
            <w:tabs>
              <w:tab w:val="clear" w:pos="720"/>
              <w:tab w:val="right" w:pos="9638" w:leader="dot"/>
            </w:tabs>
            <w:ind w:start="220"/>
            <w:rPr/>
          </w:pPr>
          <w:hyperlink w:anchor="_Toc23">
            <w:r>
              <w:rPr>
                <w:webHidden/>
              </w:rPr>
              <w:fldChar w:fldCharType="begin"/>
            </w:r>
            <w:r>
              <w:rPr>
                <w:webHidden/>
              </w:rPr>
              <w:instrText xml:space="preserve">PAGEREF _Toc23 \h</w:instrText>
            </w:r>
            <w:r>
              <w:rPr>
                <w:webHidden/>
              </w:rPr>
              <w:fldChar w:fldCharType="separate"/>
            </w:r>
            <w:r>
              <w:rPr>
                <w:rStyle w:val="IndexLink"/>
              </w:rPr>
              <w:t>4.2 Conformité</w:t>
              <w:tab/>
            </w:r>
            <w:r>
              <w:rPr>
                <w:webHidden/>
              </w:rPr>
              <w:fldChar w:fldCharType="end"/>
            </w:r>
          </w:hyperlink>
        </w:p>
        <w:p>
          <w:pPr>
            <w:pStyle w:val="TOC2"/>
            <w:tabs>
              <w:tab w:val="clear" w:pos="720"/>
              <w:tab w:val="right" w:pos="9638" w:leader="dot"/>
            </w:tabs>
            <w:ind w:start="220"/>
            <w:rPr/>
          </w:pPr>
          <w:hyperlink w:anchor="_Toc24">
            <w:r>
              <w:rPr>
                <w:webHidden/>
              </w:rPr>
              <w:fldChar w:fldCharType="begin"/>
            </w:r>
            <w:r>
              <w:rPr>
                <w:webHidden/>
              </w:rPr>
              <w:instrText xml:space="preserve">PAGEREF _Toc24 \h</w:instrText>
            </w:r>
            <w:r>
              <w:rPr>
                <w:webHidden/>
              </w:rPr>
              <w:fldChar w:fldCharType="separate"/>
            </w:r>
            <w:r>
              <w:rPr>
                <w:rStyle w:val="IndexLink"/>
              </w:rPr>
              <w:t>4.3 Sobriété (coût et empreinte)</w:t>
              <w:tab/>
            </w:r>
            <w:r>
              <w:rPr>
                <w:webHidden/>
              </w:rPr>
              <w:fldChar w:fldCharType="end"/>
            </w:r>
          </w:hyperlink>
        </w:p>
        <w:p>
          <w:pPr>
            <w:pStyle w:val="TOC2"/>
            <w:tabs>
              <w:tab w:val="clear" w:pos="720"/>
              <w:tab w:val="right" w:pos="9638" w:leader="dot"/>
            </w:tabs>
            <w:ind w:start="220"/>
            <w:rPr/>
          </w:pPr>
          <w:hyperlink w:anchor="_Toc25">
            <w:r>
              <w:rPr>
                <w:webHidden/>
              </w:rPr>
              <w:fldChar w:fldCharType="begin"/>
            </w:r>
            <w:r>
              <w:rPr>
                <w:webHidden/>
              </w:rPr>
              <w:instrText xml:space="preserve">PAGEREF _Toc25 \h</w:instrText>
            </w:r>
            <w:r>
              <w:rPr>
                <w:webHidden/>
              </w:rPr>
              <w:fldChar w:fldCharType="separate"/>
            </w:r>
            <w:r>
              <w:rPr>
                <w:rStyle w:val="IndexLink"/>
              </w:rPr>
              <w:t>4.4 Fiabilité et supervision</w:t>
              <w:tab/>
            </w:r>
            <w:r>
              <w:rPr>
                <w:webHidden/>
              </w:rPr>
              <w:fldChar w:fldCharType="end"/>
            </w:r>
          </w:hyperlink>
        </w:p>
        <w:p>
          <w:pPr>
            <w:pStyle w:val="TOC2"/>
            <w:tabs>
              <w:tab w:val="clear" w:pos="720"/>
              <w:tab w:val="right" w:pos="9638" w:leader="dot"/>
            </w:tabs>
            <w:ind w:start="220"/>
            <w:rPr/>
          </w:pPr>
          <w:hyperlink w:anchor="_Toc26">
            <w:r>
              <w:rPr>
                <w:webHidden/>
              </w:rPr>
              <w:fldChar w:fldCharType="begin"/>
            </w:r>
            <w:r>
              <w:rPr>
                <w:webHidden/>
              </w:rPr>
              <w:instrText xml:space="preserve">PAGEREF _Toc26 \h</w:instrText>
            </w:r>
            <w:r>
              <w:rPr>
                <w:webHidden/>
              </w:rPr>
              <w:fldChar w:fldCharType="separate"/>
            </w:r>
            <w:r>
              <w:rPr>
                <w:rStyle w:val="IndexLink"/>
              </w:rPr>
              <w:t>4.5 Sécurité applicative</w:t>
              <w:tab/>
            </w:r>
            <w:r>
              <w:rPr>
                <w:webHidden/>
              </w:rPr>
              <w:fldChar w:fldCharType="end"/>
            </w:r>
          </w:hyperlink>
        </w:p>
        <w:p>
          <w:pPr>
            <w:pStyle w:val="TOC2"/>
            <w:tabs>
              <w:tab w:val="clear" w:pos="720"/>
              <w:tab w:val="right" w:pos="9638" w:leader="dot"/>
            </w:tabs>
            <w:ind w:start="220"/>
            <w:rPr/>
          </w:pPr>
          <w:hyperlink w:anchor="_Toc27">
            <w:r>
              <w:rPr>
                <w:webHidden/>
              </w:rPr>
              <w:fldChar w:fldCharType="begin"/>
            </w:r>
            <w:r>
              <w:rPr>
                <w:webHidden/>
              </w:rPr>
              <w:instrText xml:space="preserve">PAGEREF _Toc27 \h</w:instrText>
            </w:r>
            <w:r>
              <w:rPr>
                <w:webHidden/>
              </w:rPr>
              <w:fldChar w:fldCharType="separate"/>
            </w:r>
            <w:r>
              <w:rPr>
                <w:rStyle w:val="IndexLink"/>
              </w:rPr>
              <w:t>4.6 Points positifs à conserver</w:t>
              <w:tab/>
            </w:r>
            <w:r>
              <w:rPr>
                <w:webHidden/>
              </w:rPr>
              <w:fldChar w:fldCharType="end"/>
            </w:r>
          </w:hyperlink>
        </w:p>
        <w:p>
          <w:pPr>
            <w:pStyle w:val="TOC2"/>
            <w:tabs>
              <w:tab w:val="clear" w:pos="720"/>
              <w:tab w:val="right" w:pos="9638" w:leader="dot"/>
            </w:tabs>
            <w:ind w:start="220"/>
            <w:rPr/>
          </w:pPr>
          <w:hyperlink w:anchor="_Toc28">
            <w:r>
              <w:rPr>
                <w:webHidden/>
              </w:rPr>
              <w:fldChar w:fldCharType="begin"/>
            </w:r>
            <w:r>
              <w:rPr>
                <w:webHidden/>
              </w:rPr>
              <w:instrText xml:space="preserve">PAGEREF _Toc28 \h</w:instrText>
            </w:r>
            <w:r>
              <w:rPr>
                <w:webHidden/>
              </w:rPr>
              <w:fldChar w:fldCharType="separate"/>
            </w:r>
            <w:r>
              <w:rPr>
                <w:rStyle w:val="IndexLink"/>
              </w:rPr>
              <w:t>4.7 Plan d’action priorisé</w:t>
              <w:tab/>
            </w:r>
            <w:r>
              <w:rPr>
                <w:webHidden/>
              </w:rPr>
              <w:fldChar w:fldCharType="end"/>
            </w:r>
          </w:hyperlink>
        </w:p>
        <w:p>
          <w:pPr>
            <w:pStyle w:val="TOC2"/>
            <w:tabs>
              <w:tab w:val="clear" w:pos="720"/>
              <w:tab w:val="right" w:pos="9638" w:leader="dot"/>
            </w:tabs>
            <w:ind w:start="220"/>
            <w:rPr/>
          </w:pPr>
          <w:hyperlink w:anchor="_Toc29">
            <w:r>
              <w:rPr>
                <w:webHidden/>
              </w:rPr>
              <w:fldChar w:fldCharType="begin"/>
            </w:r>
            <w:r>
              <w:rPr>
                <w:webHidden/>
              </w:rPr>
              <w:instrText xml:space="preserve">PAGEREF _Toc29 \h</w:instrText>
            </w:r>
            <w:r>
              <w:rPr>
                <w:webHidden/>
              </w:rPr>
              <w:fldChar w:fldCharType="separate"/>
            </w:r>
            <w:r>
              <w:rPr>
                <w:rStyle w:val="IndexLink"/>
              </w:rPr>
              <w:t>4.8 Suite : analyse consommation, coût et empreinte carbone</w:t>
              <w:tab/>
            </w:r>
            <w:r>
              <w:rPr>
                <w:webHidden/>
              </w:rPr>
              <w:fldChar w:fldCharType="end"/>
            </w:r>
          </w:hyperlink>
          <w:r>
            <w:rPr>
              <w:rStyle w:val="IndexLink"/>
            </w:rPr>
            <w:fldChar w:fldCharType="end"/>
          </w:r>
        </w:p>
      </w:sdtContent>
    </w:sdt>
    <w:p>
      <w:pPr>
        <w:pStyle w:val="Heading1"/>
        <w:rPr/>
      </w:pPr>
      <w:r>
        <w:br w:type="page"/>
      </w:r>
      <w:bookmarkStart w:id="1" w:name="_Toc2"/>
      <w:r>
        <w:rPr/>
        <w:t>Synthèse</w:t>
      </w:r>
      <w:bookmarkEnd w:id="1"/>
    </w:p>
    <w:p>
      <w:pPr>
        <w:pStyle w:val="Normal"/>
        <w:spacing w:lineRule="auto" w:line="276" w:before="0" w:after="120"/>
        <w:rPr/>
      </w:pPr>
      <w:r>
        <w:rPr/>
        <w:t xml:space="preserve">ChocoBot a été développé en urgence et fonctionne, mais il n’est aujourd’hui </w:t>
      </w:r>
      <w:r>
        <w:rPr>
          <w:b/>
          <w:bCs/>
        </w:rPr>
        <w:t>ni conforme, ni sobre, ni supervisé</w:t>
      </w:r>
      <w:r>
        <w:rPr/>
        <w:t>. L’audit du code source (app.py, chatbot.py, llm.py, db.py, pages web) et la veille réglementaire conduisent aux constats suivants :</w:t>
      </w:r>
    </w:p>
    <w:p>
      <w:pPr>
        <w:pStyle w:val="ListParagraph"/>
        <w:numPr>
          <w:ilvl w:val="0"/>
          <w:numId w:val="4"/>
        </w:numPr>
        <w:spacing w:lineRule="auto" w:line="264" w:before="0" w:after="60"/>
        <w:rPr/>
      </w:pPr>
      <w:r>
        <w:rPr>
          <w:b/>
          <w:bCs/>
        </w:rPr>
        <w:t>AI Act :</w:t>
      </w:r>
      <w:r>
        <w:rPr/>
        <w:t xml:space="preserve"> ChocoBot est un système d’IA à </w:t>
      </w:r>
      <w:r>
        <w:rPr>
          <w:b/>
          <w:bCs/>
        </w:rPr>
        <w:t>risque limité</w:t>
      </w:r>
      <w:r>
        <w:rPr/>
        <w:t xml:space="preserve"> (chatbot en interaction avec le public). L’obligation principale — informer l’utilisateur qu’il parle à une IA (article 50) — s’applique depuis le </w:t>
      </w:r>
      <w:r>
        <w:rPr>
          <w:b/>
          <w:bCs/>
        </w:rPr>
        <w:t>2 août 2026</w:t>
      </w:r>
      <w:r>
        <w:rPr/>
        <w:t xml:space="preserve">. Elle n’est </w:t>
      </w:r>
      <w:r>
        <w:rPr>
          <w:b/>
          <w:bCs/>
        </w:rPr>
        <w:t>pas respectée</w:t>
      </w:r>
      <w:r>
        <w:rPr/>
        <w:t xml:space="preserve"> : le bot se présente comme « Clémence, conseillère ». </w:t>
      </w:r>
    </w:p>
    <w:p>
      <w:pPr>
        <w:pStyle w:val="ListParagraph"/>
        <w:numPr>
          <w:ilvl w:val="0"/>
          <w:numId w:val="1"/>
        </w:numPr>
        <w:spacing w:lineRule="auto" w:line="264" w:before="0" w:after="60"/>
        <w:rPr/>
      </w:pPr>
      <w:r>
        <w:rPr>
          <w:b/>
          <w:bCs/>
        </w:rPr>
        <w:t>RGPD :</w:t>
      </w:r>
      <w:r>
        <w:rPr/>
        <w:t xml:space="preserve"> l’application collecte des </w:t>
      </w:r>
      <w:r>
        <w:rPr>
          <w:b/>
          <w:bCs/>
        </w:rPr>
        <w:t>données de santé</w:t>
      </w:r>
      <w:r>
        <w:rPr/>
        <w:t xml:space="preserve"> (allergies) et des </w:t>
      </w:r>
      <w:r>
        <w:rPr>
          <w:b/>
          <w:bCs/>
        </w:rPr>
        <w:t>données concernant des enfants</w:t>
      </w:r>
      <w:r>
        <w:rPr/>
        <w:t xml:space="preserve"> (âge), sans information, sans consentement, sans durée de conservation, et les expose dans un </w:t>
      </w:r>
      <w:r>
        <w:rPr>
          <w:b/>
          <w:bCs/>
        </w:rPr>
        <w:t>back-office accessible sans mot de passe</w:t>
      </w:r>
      <w:r>
        <w:rPr/>
        <w:t>. Le registre des traitements est obligatoire et inexistant ; une analyse d’impact (AIPD) est très probablement requise.</w:t>
      </w:r>
    </w:p>
    <w:p>
      <w:pPr>
        <w:pStyle w:val="ListParagraph"/>
        <w:numPr>
          <w:ilvl w:val="0"/>
          <w:numId w:val="1"/>
        </w:numPr>
        <w:spacing w:lineRule="auto" w:line="264" w:before="0" w:after="60"/>
        <w:rPr/>
      </w:pPr>
      <w:r>
        <w:rPr>
          <w:b/>
          <w:bCs/>
        </w:rPr>
        <w:t>Sécurité alimentaire :</w:t>
      </w:r>
      <w:r>
        <w:rPr/>
        <w:t xml:space="preserve"> le respect des allergies repose uniquement sur le modèle de langage, sans vérification. Une recommandation erronée peut causer un dommage corporel et engager la responsabilité de la Maison Delcourt.</w:t>
      </w:r>
    </w:p>
    <w:p>
      <w:pPr>
        <w:pStyle w:val="ListParagraph"/>
        <w:numPr>
          <w:ilvl w:val="0"/>
          <w:numId w:val="1"/>
        </w:numPr>
        <w:spacing w:lineRule="auto" w:line="264" w:before="0" w:after="60"/>
        <w:rPr/>
      </w:pPr>
      <w:r>
        <w:rPr>
          <w:b/>
          <w:bCs/>
        </w:rPr>
        <w:t>Sobriété :</w:t>
      </w:r>
      <w:r>
        <w:rPr/>
        <w:t xml:space="preserve"> le gros modèle (llama3.2:3b) est appelé à chaque message, avec le catalogue complet, tout l’historique et des réponses volontairement longues (jusqu’à 1 500 tokens). Le petit modèle est configuré mais jamais utilisé, il n’y a ni cache ni mesure.</w:t>
      </w:r>
    </w:p>
    <w:p>
      <w:pPr>
        <w:pStyle w:val="ListParagraph"/>
        <w:numPr>
          <w:ilvl w:val="0"/>
          <w:numId w:val="1"/>
        </w:numPr>
        <w:spacing w:lineRule="auto" w:line="264" w:before="0" w:after="60"/>
        <w:rPr/>
      </w:pPr>
      <w:r>
        <w:rPr>
          <w:b/>
          <w:bCs/>
        </w:rPr>
        <w:t>Fiabilité :</w:t>
      </w:r>
      <w:r>
        <w:rPr/>
        <w:t xml:space="preserve"> les erreurs sont avalées sans trace ; aucune journalisation, aucune alerte, un contrôle de santé qui répond toujours « ok ». En cas de panne, personne n’est prévenu ni ne peut diagnostiquer.</w:t>
      </w:r>
    </w:p>
    <w:p>
      <w:pPr>
        <w:pStyle w:val="Normal"/>
        <w:spacing w:before="0" w:after="80"/>
        <w:rPr/>
      </w:pPr>
      <w:r>
        <w:rPr/>
      </w:r>
    </w:p>
    <w:tbl>
      <w:tblPr>
        <w:tblW w:w="9638" w:type="dxa"/>
        <w:jc w:val="start"/>
        <w:tblInd w:w="0" w:type="dxa"/>
        <w:tblLayout w:type="fixed"/>
        <w:tblCellMar>
          <w:top w:w="70" w:type="dxa"/>
          <w:start w:w="100" w:type="dxa"/>
          <w:bottom w:w="70" w:type="dxa"/>
          <w:end w:w="100" w:type="dxa"/>
        </w:tblCellMar>
      </w:tblPr>
      <w:tblGrid>
        <w:gridCol w:w="4200"/>
        <w:gridCol w:w="2000"/>
        <w:gridCol w:w="1700"/>
        <w:gridCol w:w="1738"/>
      </w:tblGrid>
      <w:tr>
        <w:trPr>
          <w:tblHeader w:val="true"/>
        </w:trPr>
        <w:tc>
          <w:tcPr>
            <w:tcW w:w="42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Axe</w:t>
            </w:r>
          </w:p>
        </w:tc>
        <w:tc>
          <w:tcPr>
            <w:tcW w:w="20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Problèmes relevés</w:t>
            </w:r>
          </w:p>
        </w:tc>
        <w:tc>
          <w:tcPr>
            <w:tcW w:w="17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dont critiques</w:t>
            </w:r>
          </w:p>
        </w:tc>
        <w:tc>
          <w:tcPr>
            <w:tcW w:w="1738"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Priorité</w:t>
            </w:r>
          </w:p>
        </w:tc>
      </w:tr>
      <w:tr>
        <w:trPr>
          <w:cantSplit/>
        </w:trPr>
        <w:tc>
          <w:tcPr>
            <w:tcW w:w="4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Conformité (RGPD / AI Act / consommation)</w:t>
            </w:r>
          </w:p>
        </w:tc>
        <w:tc>
          <w:tcPr>
            <w:tcW w:w="2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12</w:t>
            </w:r>
          </w:p>
        </w:tc>
        <w:tc>
          <w:tcPr>
            <w:tcW w:w="17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5</w:t>
            </w:r>
          </w:p>
        </w:tc>
        <w:tc>
          <w:tcPr>
            <w:tcW w:w="17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1</w:t>
            </w:r>
          </w:p>
        </w:tc>
      </w:tr>
      <w:tr>
        <w:trPr>
          <w:cantSplit/>
        </w:trPr>
        <w:tc>
          <w:tcPr>
            <w:tcW w:w="4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Fiabilité et supervision</w:t>
            </w:r>
          </w:p>
        </w:tc>
        <w:tc>
          <w:tcPr>
            <w:tcW w:w="20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9</w:t>
            </w:r>
          </w:p>
        </w:tc>
        <w:tc>
          <w:tcPr>
            <w:tcW w:w="17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2</w:t>
            </w:r>
          </w:p>
        </w:tc>
        <w:tc>
          <w:tcPr>
            <w:tcW w:w="17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2</w:t>
            </w:r>
          </w:p>
        </w:tc>
      </w:tr>
      <w:tr>
        <w:trPr>
          <w:cantSplit/>
        </w:trPr>
        <w:tc>
          <w:tcPr>
            <w:tcW w:w="42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Sobriété (coût / empreinte)</w:t>
            </w:r>
          </w:p>
        </w:tc>
        <w:tc>
          <w:tcPr>
            <w:tcW w:w="2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8</w:t>
            </w:r>
          </w:p>
        </w:tc>
        <w:tc>
          <w:tcPr>
            <w:tcW w:w="17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0</w:t>
            </w:r>
          </w:p>
        </w:tc>
        <w:tc>
          <w:tcPr>
            <w:tcW w:w="17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3</w:t>
            </w:r>
          </w:p>
        </w:tc>
      </w:tr>
      <w:tr>
        <w:trPr>
          <w:cantSplit/>
        </w:trPr>
        <w:tc>
          <w:tcPr>
            <w:tcW w:w="42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Sécurité applicative</w:t>
            </w:r>
          </w:p>
        </w:tc>
        <w:tc>
          <w:tcPr>
            <w:tcW w:w="20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4</w:t>
            </w:r>
          </w:p>
        </w:tc>
        <w:tc>
          <w:tcPr>
            <w:tcW w:w="17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0</w:t>
            </w:r>
          </w:p>
        </w:tc>
        <w:tc>
          <w:tcPr>
            <w:tcW w:w="17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4</w:t>
            </w:r>
          </w:p>
        </w:tc>
      </w:tr>
    </w:tbl>
    <w:p>
      <w:pPr>
        <w:pStyle w:val="Normal"/>
        <w:spacing w:before="0" w:after="80"/>
        <w:rPr/>
      </w:pPr>
      <w:r>
        <w:rPr/>
      </w:r>
    </w:p>
    <w:tbl>
      <w:tblPr>
        <w:tblW w:w="9638" w:type="dxa"/>
        <w:jc w:val="start"/>
        <w:tblInd w:w="0" w:type="dxa"/>
        <w:tblLayout w:type="fixed"/>
        <w:tblCellMar>
          <w:top w:w="120" w:type="dxa"/>
          <w:start w:w="200" w:type="dxa"/>
          <w:bottom w:w="120" w:type="dxa"/>
          <w:end w:w="200" w:type="dxa"/>
        </w:tblCellMar>
      </w:tblPr>
      <w:tblGrid>
        <w:gridCol w:w="9638"/>
      </w:tblGrid>
      <w:tr>
        <w:trPr/>
        <w:tc>
          <w:tcPr>
            <w:tcW w:w="9638" w:type="dxa"/>
            <w:tcBorders>
              <w:top w:val="single" w:sz="4" w:space="0" w:color="B8893B"/>
              <w:start w:val="single" w:sz="24" w:space="0" w:color="B8893B"/>
              <w:bottom w:val="single" w:sz="4" w:space="0" w:color="B8893B"/>
              <w:end w:val="single" w:sz="4" w:space="0" w:color="B8893B"/>
            </w:tcBorders>
            <w:shd w:color="auto" w:fill="F6ECDC" w:val="clear"/>
          </w:tcPr>
          <w:p>
            <w:pPr>
              <w:pStyle w:val="Normal"/>
              <w:spacing w:before="0" w:after="80"/>
              <w:rPr/>
            </w:pPr>
            <w:r>
              <w:rPr>
                <w:b/>
                <w:bCs/>
                <w:color w:val="4A2A1C"/>
              </w:rPr>
              <w:t>Ce qu’il faut faire en premier (avant toute mise en ligne)</w:t>
            </w:r>
          </w:p>
          <w:p>
            <w:pPr>
              <w:pStyle w:val="Normal"/>
              <w:spacing w:lineRule="auto" w:line="264" w:before="0" w:after="60"/>
              <w:rPr/>
            </w:pPr>
            <w:r>
              <w:rPr/>
              <w:t>1. Protéger ou retirer le back-office, et purger les données déjà collectées sans base légale.</w:t>
            </w:r>
          </w:p>
          <w:p>
            <w:pPr>
              <w:pStyle w:val="Normal"/>
              <w:spacing w:lineRule="auto" w:line="264" w:before="0" w:after="60"/>
              <w:rPr/>
            </w:pPr>
            <w:r>
              <w:rPr/>
              <w:t>2. Afficher clairement « Assistant virtuel (IA) » et une mention d’information RGPD.</w:t>
            </w:r>
          </w:p>
          <w:p>
            <w:pPr>
              <w:pStyle w:val="Normal"/>
              <w:spacing w:lineRule="auto" w:line="264" w:before="0" w:after="60"/>
              <w:rPr/>
            </w:pPr>
            <w:r>
              <w:rPr/>
              <w:t>3. Supprimer les champs email / nom / âge des enfants ; traiter les allergies en session, sans stockage, avec un filtrage du catalogue en code.</w:t>
            </w:r>
          </w:p>
          <w:p>
            <w:pPr>
              <w:pStyle w:val="Normal"/>
              <w:spacing w:lineRule="auto" w:line="264" w:before="0" w:after="60"/>
              <w:rPr/>
            </w:pPr>
            <w:r>
              <w:rPr/>
              <w:t>4. Mettre en place journalisation + suivi d’erreurs (Sentry) avec alertes.</w:t>
            </w:r>
          </w:p>
          <w:p>
            <w:pPr>
              <w:pStyle w:val="Normal"/>
              <w:spacing w:lineRule="auto" w:line="264" w:before="0" w:after="60"/>
              <w:rPr/>
            </w:pPr>
            <w:r>
              <w:rPr/>
              <w:t>5. Router les questions simples vers une réponse statique ou le petit modèle, raccourcir les réponses et limiter l’historique.</w:t>
            </w:r>
          </w:p>
        </w:tc>
      </w:tr>
    </w:tbl>
    <w:p>
      <w:pPr>
        <w:pStyle w:val="Heading1"/>
        <w:rPr/>
      </w:pPr>
      <w:r>
        <w:br w:type="page"/>
      </w:r>
      <w:bookmarkStart w:id="2" w:name="_Toc3"/>
      <w:r>
        <w:rPr/>
        <w:t>1. Contexte, périmètre et méthode</w:t>
      </w:r>
      <w:bookmarkEnd w:id="2"/>
    </w:p>
    <w:p>
      <w:pPr>
        <w:pStyle w:val="Heading2"/>
        <w:rPr/>
      </w:pPr>
      <w:bookmarkStart w:id="3" w:name="_Toc4"/>
      <w:r>
        <w:rPr/>
        <w:t>1.1 Le client et le besoin</w:t>
      </w:r>
      <w:bookmarkEnd w:id="3"/>
    </w:p>
    <w:p>
      <w:pPr>
        <w:pStyle w:val="Normal"/>
        <w:spacing w:lineRule="auto" w:line="276" w:before="0" w:after="120"/>
        <w:rPr/>
      </w:pPr>
      <w:r>
        <w:rPr/>
        <w:t xml:space="preserve">La Maison Delcourt, chocolatier artisanal lillois (3 boutiques et un site e-commerce), a mis en place ChocoBot pour conseiller ses clients sur le choix de coffrets en fonction de leurs goûts, de leur budget et de leurs allergies. Avant le Black Friday, la direction a identifié trois difficultés : une collecte de données sans cadre, une facture et une empreinte environnementale en hausse, et l’absence de suivi des pannes. Le cabinet dispose de 3 jours pour rendre le projet </w:t>
      </w:r>
      <w:r>
        <w:rPr>
          <w:b/>
          <w:bCs/>
        </w:rPr>
        <w:t>conforme, sobre et fiable</w:t>
      </w:r>
      <w:r>
        <w:rPr/>
        <w:t xml:space="preserve"> avant la rencontre avec le prestataire.</w:t>
      </w:r>
    </w:p>
    <w:p>
      <w:pPr>
        <w:pStyle w:val="Heading2"/>
        <w:rPr/>
      </w:pPr>
      <w:bookmarkStart w:id="4" w:name="_Toc5"/>
      <w:r>
        <w:rPr/>
        <w:t>1.2 Périmètre de ce livrable</w:t>
      </w:r>
      <w:bookmarkEnd w:id="4"/>
    </w:p>
    <w:p>
      <w:pPr>
        <w:pStyle w:val="ListParagraph"/>
        <w:numPr>
          <w:ilvl w:val="0"/>
          <w:numId w:val="1"/>
        </w:numPr>
        <w:spacing w:lineRule="auto" w:line="264" w:before="0" w:after="60"/>
        <w:rPr/>
      </w:pPr>
      <w:r>
        <w:rPr/>
        <w:t xml:space="preserve">Une </w:t>
      </w:r>
      <w:r>
        <w:rPr>
          <w:b/>
          <w:bCs/>
        </w:rPr>
        <w:t>veille</w:t>
      </w:r>
      <w:r>
        <w:rPr/>
        <w:t xml:space="preserve"> des textes applicables (RGPD, loi Informatique et Libertés, AI Act, et textes connexes : information sur les allergènes, droit de la consommation, sobriété numérique).</w:t>
      </w:r>
    </w:p>
    <w:p>
      <w:pPr>
        <w:pStyle w:val="ListParagraph"/>
        <w:numPr>
          <w:ilvl w:val="0"/>
          <w:numId w:val="1"/>
        </w:numPr>
        <w:spacing w:lineRule="auto" w:line="264" w:before="0" w:after="60"/>
        <w:rPr/>
      </w:pPr>
      <w:r>
        <w:rPr/>
        <w:t xml:space="preserve">Un </w:t>
      </w:r>
      <w:r>
        <w:rPr>
          <w:b/>
          <w:bCs/>
        </w:rPr>
        <w:t>audit de conformité</w:t>
      </w:r>
      <w:r>
        <w:rPr/>
        <w:t xml:space="preserve"> : classification AI Act, inventaire des données, projet de registre de traitement, fiche de conformité, préparation au contrôle CNIL.</w:t>
      </w:r>
    </w:p>
    <w:p>
      <w:pPr>
        <w:pStyle w:val="ListParagraph"/>
        <w:numPr>
          <w:ilvl w:val="0"/>
          <w:numId w:val="1"/>
        </w:numPr>
        <w:spacing w:lineRule="auto" w:line="264" w:before="0" w:after="60"/>
        <w:rPr/>
      </w:pPr>
      <w:r>
        <w:rPr/>
        <w:t xml:space="preserve">Un </w:t>
      </w:r>
      <w:r>
        <w:rPr>
          <w:b/>
          <w:bCs/>
        </w:rPr>
        <w:t>rapport des problèmes actuels</w:t>
      </w:r>
      <w:r>
        <w:rPr/>
        <w:t xml:space="preserve"> sur les axes conformité, sobriété, fiabilité et sécurité, avec preuves dans le code et recommandations priorisées.</w:t>
      </w:r>
    </w:p>
    <w:p>
      <w:pPr>
        <w:pStyle w:val="Normal"/>
        <w:spacing w:lineRule="auto" w:line="276" w:before="0" w:after="120"/>
        <w:rPr/>
      </w:pPr>
      <w:r>
        <w:rPr/>
        <w:t>L’analyse chiffrée consommation / coût / empreinte carbone et la modification du chatbot font l’objet des livrables suivants.</w:t>
      </w:r>
    </w:p>
    <w:p>
      <w:pPr>
        <w:pStyle w:val="Heading2"/>
        <w:rPr/>
      </w:pPr>
      <w:bookmarkStart w:id="5" w:name="_Toc6"/>
      <w:r>
        <w:rPr/>
        <w:t>1.3 Méthode</w:t>
      </w:r>
      <w:bookmarkEnd w:id="5"/>
    </w:p>
    <w:p>
      <w:pPr>
        <w:pStyle w:val="ListParagraph"/>
        <w:numPr>
          <w:ilvl w:val="0"/>
          <w:numId w:val="5"/>
        </w:numPr>
        <w:spacing w:lineRule="auto" w:line="264" w:before="0" w:after="60"/>
        <w:rPr/>
      </w:pPr>
      <w:r>
        <w:rPr/>
        <w:t>Lecture complète du code source et des pages web de l’application (version reçue le 6 octobre 2026).</w:t>
      </w:r>
    </w:p>
    <w:p>
      <w:pPr>
        <w:pStyle w:val="ListParagraph"/>
        <w:numPr>
          <w:ilvl w:val="0"/>
          <w:numId w:val="2"/>
        </w:numPr>
        <w:spacing w:lineRule="auto" w:line="264" w:before="0" w:after="60"/>
        <w:rPr/>
      </w:pPr>
      <w:r>
        <w:rPr/>
        <w:t xml:space="preserve">Utilisation de l’application en local (Ollama + llama3.2:3b) et du script de charge </w:t>
      </w:r>
      <w:r>
        <w:rPr>
          <w:rFonts w:eastAsia="Consolas" w:cs="Consolas" w:ascii="Consolas" w:hAnsi="Consolas"/>
          <w:color w:val="7A2E1A"/>
          <w:sz w:val="19"/>
          <w:szCs w:val="19"/>
        </w:rPr>
        <w:t>load_test.py</w:t>
      </w:r>
      <w:r>
        <w:rPr/>
        <w:t>.</w:t>
      </w:r>
    </w:p>
    <w:p>
      <w:pPr>
        <w:pStyle w:val="ListParagraph"/>
        <w:numPr>
          <w:ilvl w:val="0"/>
          <w:numId w:val="2"/>
        </w:numPr>
        <w:spacing w:lineRule="auto" w:line="264" w:before="0" w:after="60"/>
        <w:rPr/>
      </w:pPr>
      <w:r>
        <w:rPr/>
        <w:t>Recherche dans les textes officiels (EUR-Lex, Légifrance) et les publications de la CNIL ; sources listées en fin de partie 2.</w:t>
      </w:r>
    </w:p>
    <w:p>
      <w:pPr>
        <w:pStyle w:val="ListParagraph"/>
        <w:numPr>
          <w:ilvl w:val="0"/>
          <w:numId w:val="2"/>
        </w:numPr>
        <w:spacing w:lineRule="auto" w:line="264" w:before="0" w:after="60"/>
        <w:rPr/>
      </w:pPr>
      <w:r>
        <w:rPr/>
        <w:t xml:space="preserve">Chaque problème est rattaché à une </w:t>
      </w:r>
      <w:r>
        <w:rPr>
          <w:b/>
          <w:bCs/>
        </w:rPr>
        <w:t>preuve</w:t>
      </w:r>
      <w:r>
        <w:rPr/>
        <w:t xml:space="preserve"> (fichier:ligne), un </w:t>
      </w:r>
      <w:r>
        <w:rPr>
          <w:b/>
          <w:bCs/>
        </w:rPr>
        <w:t>risque</w:t>
      </w:r>
      <w:r>
        <w:rPr/>
        <w:t xml:space="preserve">, une </w:t>
      </w:r>
      <w:r>
        <w:rPr>
          <w:b/>
          <w:bCs/>
        </w:rPr>
        <w:t>gravité</w:t>
      </w:r>
      <w:r>
        <w:rPr/>
        <w:t xml:space="preserve"> et une </w:t>
      </w:r>
      <w:r>
        <w:rPr>
          <w:b/>
          <w:bCs/>
        </w:rPr>
        <w:t>recommandation</w:t>
      </w:r>
      <w:r>
        <w:rPr/>
        <w:t>.</w:t>
      </w:r>
    </w:p>
    <w:p>
      <w:pPr>
        <w:pStyle w:val="Heading2"/>
        <w:rPr/>
      </w:pPr>
      <w:bookmarkStart w:id="6" w:name="_Toc7"/>
      <w:r>
        <w:rPr/>
        <w:t>1.4 Description technique de ChocoBot</w:t>
      </w:r>
      <w:bookmarkEnd w:id="6"/>
    </w:p>
    <w:tbl>
      <w:tblPr>
        <w:tblW w:w="9638" w:type="dxa"/>
        <w:jc w:val="start"/>
        <w:tblInd w:w="0" w:type="dxa"/>
        <w:tblLayout w:type="fixed"/>
        <w:tblCellMar>
          <w:top w:w="70" w:type="dxa"/>
          <w:start w:w="100" w:type="dxa"/>
          <w:bottom w:w="70" w:type="dxa"/>
          <w:end w:w="100" w:type="dxa"/>
        </w:tblCellMar>
      </w:tblPr>
      <w:tblGrid>
        <w:gridCol w:w="1700"/>
        <w:gridCol w:w="2000"/>
        <w:gridCol w:w="3199"/>
        <w:gridCol w:w="2739"/>
      </w:tblGrid>
      <w:tr>
        <w:trPr>
          <w:tblHeader w:val="true"/>
        </w:trPr>
        <w:tc>
          <w:tcPr>
            <w:tcW w:w="17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Composant</w:t>
            </w:r>
          </w:p>
        </w:tc>
        <w:tc>
          <w:tcPr>
            <w:tcW w:w="20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Fichier</w:t>
            </w:r>
          </w:p>
        </w:tc>
        <w:tc>
          <w:tcPr>
            <w:tcW w:w="319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Rôle</w:t>
            </w:r>
          </w:p>
        </w:tc>
        <w:tc>
          <w:tcPr>
            <w:tcW w:w="273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Remarque</w:t>
            </w:r>
          </w:p>
        </w:tc>
      </w:tr>
      <w:tr>
        <w:trPr>
          <w:cantSplit/>
        </w:trPr>
        <w:tc>
          <w:tcPr>
            <w:tcW w:w="17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Interface de chat</w:t>
            </w:r>
          </w:p>
        </w:tc>
        <w:tc>
          <w:tcPr>
            <w:tcW w:w="2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static/index.html</w:t>
            </w:r>
          </w:p>
        </w:tc>
        <w:tc>
          <w:tcPr>
            <w:tcW w:w="31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Page de chat + formulaire « Pour mieux vous conseiller »</w:t>
            </w:r>
          </w:p>
        </w:tc>
        <w:tc>
          <w:tcPr>
            <w:tcW w:w="27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Identifiant de session aléatoire stocké dans le localStorage du navigateur</w:t>
            </w:r>
          </w:p>
        </w:tc>
      </w:tr>
      <w:tr>
        <w:trPr>
          <w:cantSplit/>
        </w:trPr>
        <w:tc>
          <w:tcPr>
            <w:tcW w:w="17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API</w:t>
            </w:r>
          </w:p>
        </w:tc>
        <w:tc>
          <w:tcPr>
            <w:tcW w:w="20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app.py (FastAPI)</w:t>
            </w:r>
          </w:p>
        </w:tc>
        <w:tc>
          <w:tcPr>
            <w:tcW w:w="31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Routes /chat, /profile, /admin, /admin/data, /health, /docs</w:t>
            </w:r>
          </w:p>
        </w:tc>
        <w:tc>
          <w:tcPr>
            <w:tcW w:w="27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Aucune authentification</w:t>
            </w:r>
          </w:p>
        </w:tc>
      </w:tr>
      <w:tr>
        <w:trPr>
          <w:cantSplit/>
        </w:trPr>
        <w:tc>
          <w:tcPr>
            <w:tcW w:w="17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Logique de conversation</w:t>
            </w:r>
          </w:p>
        </w:tc>
        <w:tc>
          <w:tcPr>
            <w:tcW w:w="2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chatbot.py</w:t>
            </w:r>
          </w:p>
        </w:tc>
        <w:tc>
          <w:tcPr>
            <w:tcW w:w="31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Construit le prompt (persona, catalogue, profil client, historique) et appelle le modèle</w:t>
            </w:r>
          </w:p>
        </w:tc>
        <w:tc>
          <w:tcPr>
            <w:tcW w:w="27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Gros modèle à chaque message</w:t>
            </w:r>
          </w:p>
        </w:tc>
      </w:tr>
      <w:tr>
        <w:trPr>
          <w:cantSplit/>
        </w:trPr>
        <w:tc>
          <w:tcPr>
            <w:tcW w:w="17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Appel au modèle</w:t>
            </w:r>
          </w:p>
        </w:tc>
        <w:tc>
          <w:tcPr>
            <w:tcW w:w="20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llm.py</w:t>
            </w:r>
          </w:p>
        </w:tc>
        <w:tc>
          <w:tcPr>
            <w:tcW w:w="31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Client compatible OpenAI vers Ollama local</w:t>
            </w:r>
          </w:p>
        </w:tc>
        <w:tc>
          <w:tcPr>
            <w:tcW w:w="27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Modèles llama3.2:3b (gros) et :1b (petit, inutilisé) ; simulation de pannes</w:t>
            </w:r>
          </w:p>
        </w:tc>
      </w:tr>
      <w:tr>
        <w:trPr>
          <w:cantSplit/>
        </w:trPr>
        <w:tc>
          <w:tcPr>
            <w:tcW w:w="17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Stockage</w:t>
            </w:r>
          </w:p>
        </w:tc>
        <w:tc>
          <w:tcPr>
            <w:tcW w:w="2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db.py → chocobot.db (SQLite)</w:t>
            </w:r>
          </w:p>
        </w:tc>
        <w:tc>
          <w:tcPr>
            <w:tcW w:w="31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Tables customers et messages</w:t>
            </w:r>
          </w:p>
        </w:tc>
        <w:tc>
          <w:tcPr>
            <w:tcW w:w="27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Aucune purge, aucune durée</w:t>
            </w:r>
          </w:p>
        </w:tc>
      </w:tr>
      <w:tr>
        <w:trPr>
          <w:cantSplit/>
        </w:trPr>
        <w:tc>
          <w:tcPr>
            <w:tcW w:w="17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Back-office</w:t>
            </w:r>
          </w:p>
        </w:tc>
        <w:tc>
          <w:tcPr>
            <w:tcW w:w="20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static/admin.html</w:t>
            </w:r>
          </w:p>
        </w:tc>
        <w:tc>
          <w:tcPr>
            <w:tcW w:w="31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Liste des clients et des 200 derniers messages</w:t>
            </w:r>
          </w:p>
        </w:tc>
        <w:tc>
          <w:tcPr>
            <w:tcW w:w="27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Public</w:t>
            </w:r>
          </w:p>
        </w:tc>
      </w:tr>
      <w:tr>
        <w:trPr>
          <w:cantSplit/>
        </w:trPr>
        <w:tc>
          <w:tcPr>
            <w:tcW w:w="17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Catalogue</w:t>
            </w:r>
          </w:p>
        </w:tc>
        <w:tc>
          <w:tcPr>
            <w:tcW w:w="2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data/catalog.json</w:t>
            </w:r>
          </w:p>
        </w:tc>
        <w:tc>
          <w:tcPr>
            <w:tcW w:w="31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7 coffrets avec prix et allergènes</w:t>
            </w:r>
          </w:p>
        </w:tc>
        <w:tc>
          <w:tcPr>
            <w:tcW w:w="27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Pas d’information sur horaires, livraison, traces</w:t>
            </w:r>
          </w:p>
        </w:tc>
      </w:tr>
    </w:tbl>
    <w:p>
      <w:pPr>
        <w:pStyle w:val="Normal"/>
        <w:spacing w:before="0" w:after="80"/>
        <w:rPr/>
      </w:pPr>
      <w:r>
        <w:rPr/>
      </w:r>
    </w:p>
    <w:p>
      <w:pPr>
        <w:pStyle w:val="Normal"/>
        <w:spacing w:lineRule="auto" w:line="276" w:before="0" w:after="120"/>
        <w:rPr/>
      </w:pPr>
      <w:r>
        <w:rPr/>
        <w:t xml:space="preserve">Point notable : le modèle tourne </w:t>
      </w:r>
      <w:r>
        <w:rPr>
          <w:b/>
          <w:bCs/>
        </w:rPr>
        <w:t>en local</w:t>
      </w:r>
      <w:r>
        <w:rPr/>
        <w:t xml:space="preserve"> via Ollama. Aucune donnée n’est donc envoyée à un fournisseur d’IA externe, ce qui simplifie fortement la conformité (pas de sous-traitant IA, pas de transfert hors UE). Ce point devra être réévalué si le prestataire propose de passer à une API cloud.</w:t>
      </w:r>
      <w:r>
        <w:br w:type="page"/>
      </w:r>
    </w:p>
    <w:p>
      <w:pPr>
        <w:pStyle w:val="Heading1"/>
        <w:rPr/>
      </w:pPr>
      <w:bookmarkStart w:id="7" w:name="_Toc8"/>
      <w:r>
        <w:rPr/>
        <w:t>2. Veille réglementaire</w:t>
      </w:r>
      <w:bookmarkEnd w:id="7"/>
    </w:p>
    <w:p>
      <w:pPr>
        <w:pStyle w:val="Normal"/>
        <w:spacing w:lineRule="auto" w:line="276" w:before="0" w:after="120"/>
        <w:rPr/>
      </w:pPr>
      <w:r>
        <w:rPr/>
        <w:t>Cette partie présente les textes susceptibles de concerner la Maison Delcourt, leur contenu utile, et ce qu’ils impliquent concrètement pour ChocoBot.</w:t>
      </w:r>
    </w:p>
    <w:p>
      <w:pPr>
        <w:pStyle w:val="Heading2"/>
        <w:rPr/>
      </w:pPr>
      <w:bookmarkStart w:id="8" w:name="_Toc9"/>
      <w:r>
        <w:rPr/>
        <w:t>2.1 RGPD — Règlement (UE) 2016/679</w:t>
      </w:r>
      <w:bookmarkEnd w:id="8"/>
    </w:p>
    <w:p>
      <w:pPr>
        <w:pStyle w:val="Normal"/>
        <w:spacing w:lineRule="auto" w:line="276" w:before="0" w:after="120"/>
        <w:rPr/>
      </w:pPr>
      <w:r>
        <w:rPr/>
        <w:t>Applicable depuis le 25 mai 2018, le RGPD encadre tout traitement de données personnelles, c’est-à-dire toute information se rapportant à une personne physique identifiée ou identifiable, directement (nom, email) ou indirectement (identifiant de session, contenu d’une conversation).</w:t>
      </w:r>
    </w:p>
    <w:p>
      <w:pPr>
        <w:pStyle w:val="Heading3"/>
        <w:rPr/>
      </w:pPr>
      <w:r>
        <w:rPr/>
        <w:t>Rôles</w:t>
      </w:r>
    </w:p>
    <w:p>
      <w:pPr>
        <w:pStyle w:val="ListParagraph"/>
        <w:numPr>
          <w:ilvl w:val="0"/>
          <w:numId w:val="1"/>
        </w:numPr>
        <w:spacing w:lineRule="auto" w:line="264" w:before="0" w:after="60"/>
        <w:rPr/>
      </w:pPr>
      <w:r>
        <w:rPr>
          <w:b/>
          <w:bCs/>
        </w:rPr>
        <w:t>Responsable de traitement :</w:t>
      </w:r>
      <w:r>
        <w:rPr/>
        <w:t xml:space="preserve"> la Maison Delcourt (elle détermine pourquoi et comment les données sont traitées).</w:t>
      </w:r>
    </w:p>
    <w:p>
      <w:pPr>
        <w:pStyle w:val="ListParagraph"/>
        <w:numPr>
          <w:ilvl w:val="0"/>
          <w:numId w:val="1"/>
        </w:numPr>
        <w:spacing w:lineRule="auto" w:line="264" w:before="0" w:after="60"/>
        <w:rPr/>
      </w:pPr>
      <w:r>
        <w:rPr>
          <w:b/>
          <w:bCs/>
        </w:rPr>
        <w:t>Sous-traitant (art. 28) :</w:t>
      </w:r>
      <w:r>
        <w:rPr/>
        <w:t xml:space="preserve"> le prestataire qui héberge ou maintient l’application, et tout fournisseur d’IA en cloud le cas échéant. Un contrat de sous-traitance est obligatoire.</w:t>
      </w:r>
    </w:p>
    <w:p>
      <w:pPr>
        <w:pStyle w:val="ListParagraph"/>
        <w:numPr>
          <w:ilvl w:val="0"/>
          <w:numId w:val="1"/>
        </w:numPr>
        <w:spacing w:lineRule="auto" w:line="264" w:before="0" w:after="60"/>
        <w:rPr/>
      </w:pPr>
      <w:r>
        <w:rPr>
          <w:b/>
          <w:bCs/>
        </w:rPr>
        <w:t>Transferts hors UE (chapitre V) :</w:t>
      </w:r>
      <w:r>
        <w:rPr/>
        <w:t xml:space="preserve"> aucun aujourd’hui (modèle local). À encadrer si une API américaine est utilisée (clauses contractuelles types ou Data Privacy Framework).</w:t>
      </w:r>
    </w:p>
    <w:p>
      <w:pPr>
        <w:pStyle w:val="Heading3"/>
        <w:rPr/>
      </w:pPr>
      <w:r>
        <w:rPr/>
        <w:t>Les principes (art. 5) appliqués à ChocoBot</w:t>
      </w:r>
    </w:p>
    <w:tbl>
      <w:tblPr>
        <w:tblW w:w="9638" w:type="dxa"/>
        <w:jc w:val="start"/>
        <w:tblInd w:w="0" w:type="dxa"/>
        <w:tblLayout w:type="fixed"/>
        <w:tblCellMar>
          <w:top w:w="70" w:type="dxa"/>
          <w:start w:w="100" w:type="dxa"/>
          <w:bottom w:w="70" w:type="dxa"/>
          <w:end w:w="100" w:type="dxa"/>
        </w:tblCellMar>
      </w:tblPr>
      <w:tblGrid>
        <w:gridCol w:w="2399"/>
        <w:gridCol w:w="3501"/>
        <w:gridCol w:w="3738"/>
      </w:tblGrid>
      <w:tr>
        <w:trPr>
          <w:tblHeader w:val="true"/>
        </w:trPr>
        <w:tc>
          <w:tcPr>
            <w:tcW w:w="239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Principe</w:t>
            </w:r>
          </w:p>
        </w:tc>
        <w:tc>
          <w:tcPr>
            <w:tcW w:w="3501"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Ce que dit le texte</w:t>
            </w:r>
          </w:p>
        </w:tc>
        <w:tc>
          <w:tcPr>
            <w:tcW w:w="3738"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ChocoBot aujourd’hui</w:t>
            </w:r>
          </w:p>
        </w:tc>
      </w:tr>
      <w:tr>
        <w:trPr>
          <w:cantSplit/>
        </w:trPr>
        <w:tc>
          <w:tcPr>
            <w:tcW w:w="23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Licéité, loyauté, transparence</w:t>
            </w:r>
          </w:p>
        </w:tc>
        <w:tc>
          <w:tcPr>
            <w:tcW w:w="35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Traitement fondé sur une base légale et expliqué à la personne</w:t>
            </w:r>
          </w:p>
        </w:tc>
        <w:tc>
          <w:tcPr>
            <w:tcW w:w="37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Aucune information, aucune base légale définie</w:t>
            </w:r>
          </w:p>
        </w:tc>
      </w:tr>
      <w:tr>
        <w:trPr>
          <w:cantSplit/>
        </w:trPr>
        <w:tc>
          <w:tcPr>
            <w:tcW w:w="23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Limitation des finalités</w:t>
            </w:r>
          </w:p>
        </w:tc>
        <w:tc>
          <w:tcPr>
            <w:tcW w:w="35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Finalités déterminées, explicites et légitimes</w:t>
            </w:r>
          </w:p>
        </w:tc>
        <w:tc>
          <w:tcPr>
            <w:tcW w:w="37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Finalité non écrite ; le back-office sert à « voir qui a écrit quoi »</w:t>
            </w:r>
          </w:p>
        </w:tc>
      </w:tr>
      <w:tr>
        <w:trPr>
          <w:cantSplit/>
        </w:trPr>
        <w:tc>
          <w:tcPr>
            <w:tcW w:w="23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Minimisation</w:t>
            </w:r>
          </w:p>
        </w:tc>
        <w:tc>
          <w:tcPr>
            <w:tcW w:w="35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Seules les données nécessaires à la finalité</w:t>
            </w:r>
          </w:p>
        </w:tc>
        <w:tc>
          <w:tcPr>
            <w:tcW w:w="37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Email, nom et âge des enfants inutiles au conseil</w:t>
            </w:r>
          </w:p>
        </w:tc>
      </w:tr>
      <w:tr>
        <w:trPr>
          <w:cantSplit/>
        </w:trPr>
        <w:tc>
          <w:tcPr>
            <w:tcW w:w="23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Exactitude</w:t>
            </w:r>
          </w:p>
        </w:tc>
        <w:tc>
          <w:tcPr>
            <w:tcW w:w="35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Données exactes et tenues à jour</w:t>
            </w:r>
          </w:p>
        </w:tc>
        <w:tc>
          <w:tcPr>
            <w:tcW w:w="37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Le bot peut inventer des informations (horaires, livraison)</w:t>
            </w:r>
          </w:p>
        </w:tc>
      </w:tr>
      <w:tr>
        <w:trPr>
          <w:cantSplit/>
        </w:trPr>
        <w:tc>
          <w:tcPr>
            <w:tcW w:w="23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Limitation de la conservation</w:t>
            </w:r>
          </w:p>
        </w:tc>
        <w:tc>
          <w:tcPr>
            <w:tcW w:w="35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Durée proportionnée à la finalité</w:t>
            </w:r>
          </w:p>
        </w:tc>
        <w:tc>
          <w:tcPr>
            <w:tcW w:w="37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Conservation illimitée</w:t>
            </w:r>
          </w:p>
        </w:tc>
      </w:tr>
      <w:tr>
        <w:trPr>
          <w:cantSplit/>
        </w:trPr>
        <w:tc>
          <w:tcPr>
            <w:tcW w:w="23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Intégrité et confidentialité</w:t>
            </w:r>
          </w:p>
        </w:tc>
        <w:tc>
          <w:tcPr>
            <w:tcW w:w="35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Sécurité appropriée</w:t>
            </w:r>
          </w:p>
        </w:tc>
        <w:tc>
          <w:tcPr>
            <w:tcW w:w="37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Back-office public, données en clair dans les logs</w:t>
            </w:r>
          </w:p>
        </w:tc>
      </w:tr>
      <w:tr>
        <w:trPr>
          <w:cantSplit/>
        </w:trPr>
        <w:tc>
          <w:tcPr>
            <w:tcW w:w="23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Responsabilité (accountability)</w:t>
            </w:r>
          </w:p>
        </w:tc>
        <w:tc>
          <w:tcPr>
            <w:tcW w:w="35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Pouvoir démontrer la conformité</w:t>
            </w:r>
          </w:p>
        </w:tc>
        <w:tc>
          <w:tcPr>
            <w:tcW w:w="37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Ni registre, ni AIPD, ni documentation</w:t>
            </w:r>
          </w:p>
        </w:tc>
      </w:tr>
    </w:tbl>
    <w:p>
      <w:pPr>
        <w:pStyle w:val="Normal"/>
        <w:spacing w:before="0" w:after="80"/>
        <w:rPr/>
      </w:pPr>
      <w:r>
        <w:rPr/>
      </w:r>
    </w:p>
    <w:p>
      <w:pPr>
        <w:pStyle w:val="Heading3"/>
        <w:rPr/>
      </w:pPr>
      <w:r>
        <w:rPr/>
        <w:t>Base légale (art. 6)</w:t>
      </w:r>
    </w:p>
    <w:p>
      <w:pPr>
        <w:pStyle w:val="Normal"/>
        <w:spacing w:lineRule="auto" w:line="276" w:before="0" w:after="120"/>
        <w:rPr/>
      </w:pPr>
      <w:r>
        <w:rPr/>
        <w:t>Le conseil personnalisé demandé par le client peut reposer sur l’</w:t>
      </w:r>
      <w:r>
        <w:rPr>
          <w:b/>
          <w:bCs/>
        </w:rPr>
        <w:t>exécution de mesures précontractuelles prises à sa demande</w:t>
      </w:r>
      <w:r>
        <w:rPr/>
        <w:t xml:space="preserve"> (art. 6.1.b). Toute réutilisation à des fins commerciales (newsletter, relance par email) exige un </w:t>
      </w:r>
      <w:r>
        <w:rPr>
          <w:b/>
          <w:bCs/>
        </w:rPr>
        <w:t>consentement distinct</w:t>
      </w:r>
      <w:r>
        <w:rPr/>
        <w:t xml:space="preserve"> (art. 6.1.a et article L34-5 du Code des postes et des communications électroniques pour la prospection par email). L’amélioration du service à partir des conversations peut relever de l’</w:t>
      </w:r>
      <w:r>
        <w:rPr>
          <w:b/>
          <w:bCs/>
        </w:rPr>
        <w:t>intérêt légitime</w:t>
      </w:r>
      <w:r>
        <w:rPr/>
        <w:t xml:space="preserve"> (art. 6.1.f) à condition d’être documentée et de prévoir un droit d’opposition.</w:t>
      </w:r>
    </w:p>
    <w:p>
      <w:pPr>
        <w:pStyle w:val="Heading3"/>
        <w:rPr/>
      </w:pPr>
      <w:r>
        <w:rPr/>
        <w:t>Données sensibles (art. 9) : les allergies</w:t>
      </w:r>
    </w:p>
    <w:p>
      <w:pPr>
        <w:pStyle w:val="Normal"/>
        <w:spacing w:lineRule="auto" w:line="276" w:before="0" w:after="120"/>
        <w:rPr/>
      </w:pPr>
      <w:r>
        <w:rPr/>
        <w:t xml:space="preserve">Une allergie alimentaire est une information sur l’état de santé d’une personne : c’est une </w:t>
      </w:r>
      <w:r>
        <w:rPr>
          <w:b/>
          <w:bCs/>
        </w:rPr>
        <w:t>donnée de santé</w:t>
      </w:r>
      <w:r>
        <w:rPr/>
        <w:t xml:space="preserve">, donc une catégorie particulière dont le traitement est </w:t>
      </w:r>
      <w:r>
        <w:rPr>
          <w:b/>
          <w:bCs/>
        </w:rPr>
        <w:t>interdit par principe</w:t>
      </w:r>
      <w:r>
        <w:rPr/>
        <w:t xml:space="preserve">. La jurisprudence de la CJUE interprète largement cette notion (arrêt OT, C-184/20, 2022 ; arrêt Lindenapotheke, C-21/23, 2024, sur des données saisies lors d’une commande en ligne). L’exception utilisable ici est le </w:t>
      </w:r>
      <w:r>
        <w:rPr>
          <w:b/>
          <w:bCs/>
        </w:rPr>
        <w:t>consentement explicite</w:t>
      </w:r>
      <w:r>
        <w:rPr/>
        <w:t xml:space="preserve"> (art. 9.2.a).</w:t>
      </w:r>
    </w:p>
    <w:tbl>
      <w:tblPr>
        <w:tblW w:w="9638" w:type="dxa"/>
        <w:jc w:val="start"/>
        <w:tblInd w:w="0" w:type="dxa"/>
        <w:tblLayout w:type="fixed"/>
        <w:tblCellMar>
          <w:top w:w="120" w:type="dxa"/>
          <w:start w:w="200" w:type="dxa"/>
          <w:bottom w:w="120" w:type="dxa"/>
          <w:end w:w="200" w:type="dxa"/>
        </w:tblCellMar>
      </w:tblPr>
      <w:tblGrid>
        <w:gridCol w:w="9638"/>
      </w:tblGrid>
      <w:tr>
        <w:trPr/>
        <w:tc>
          <w:tcPr>
            <w:tcW w:w="9638" w:type="dxa"/>
            <w:tcBorders>
              <w:top w:val="single" w:sz="4" w:space="0" w:color="B8893B"/>
              <w:start w:val="single" w:sz="24" w:space="0" w:color="B8893B"/>
              <w:bottom w:val="single" w:sz="4" w:space="0" w:color="B8893B"/>
              <w:end w:val="single" w:sz="4" w:space="0" w:color="B8893B"/>
            </w:tcBorders>
            <w:shd w:color="auto" w:fill="F6ECDC" w:val="clear"/>
          </w:tcPr>
          <w:p>
            <w:pPr>
              <w:pStyle w:val="Normal"/>
              <w:spacing w:before="0" w:after="80"/>
              <w:rPr/>
            </w:pPr>
            <w:r>
              <w:rPr>
                <w:b/>
                <w:bCs/>
                <w:color w:val="4A2A1C"/>
              </w:rPr>
              <w:t>Conséquence pour ChocoBot</w:t>
            </w:r>
          </w:p>
          <w:p>
            <w:pPr>
              <w:pStyle w:val="Normal"/>
              <w:spacing w:lineRule="auto" w:line="264" w:before="0" w:after="60"/>
              <w:rPr/>
            </w:pPr>
            <w:r>
              <w:rPr/>
              <w:t xml:space="preserve">La solution la plus simple et la plus défendable est de </w:t>
            </w:r>
            <w:r>
              <w:rPr>
                <w:b/>
                <w:bCs/>
              </w:rPr>
              <w:t>ne pas stocker</w:t>
            </w:r>
            <w:r>
              <w:rPr/>
              <w:t xml:space="preserve"> les allergies : elles servent uniquement, pendant la session, à filtrer le catalogue. Si un stockage est vraiment nécessaire, il faut un consentement explicite (case non pré-cochée), une durée courte et une sécurité renforcée.</w:t>
            </w:r>
          </w:p>
          <w:p>
            <w:pPr>
              <w:pStyle w:val="Normal"/>
              <w:spacing w:lineRule="auto" w:line="264" w:before="0" w:after="60"/>
              <w:rPr/>
            </w:pPr>
            <w:r>
              <w:rPr/>
              <w:t>Le texte libre de la conversation peut aussi contenir des données de santé (« mon fils est allergique aux noisettes ») : les messages doivent donc avoir une durée de conservation courte.</w:t>
            </w:r>
          </w:p>
        </w:tc>
      </w:tr>
    </w:tbl>
    <w:p>
      <w:pPr>
        <w:pStyle w:val="Normal"/>
        <w:spacing w:before="0" w:after="80"/>
        <w:rPr/>
      </w:pPr>
      <w:r>
        <w:rPr/>
      </w:r>
    </w:p>
    <w:p>
      <w:pPr>
        <w:pStyle w:val="Heading3"/>
        <w:rPr/>
      </w:pPr>
      <w:r>
        <w:rPr/>
        <w:t>Données concernant des enfants</w:t>
      </w:r>
    </w:p>
    <w:p>
      <w:pPr>
        <w:pStyle w:val="Normal"/>
        <w:spacing w:lineRule="auto" w:line="276" w:before="0" w:after="120"/>
        <w:rPr/>
      </w:pPr>
      <w:r>
        <w:rPr/>
        <w:t xml:space="preserve">Le formulaire demande l’« âge des enfants » : ce sont des données sur des </w:t>
      </w:r>
      <w:r>
        <w:rPr>
          <w:b/>
          <w:bCs/>
        </w:rPr>
        <w:t>mineurs tiers</w:t>
      </w:r>
      <w:r>
        <w:rPr/>
        <w:t xml:space="preserve">, qui n’ont pas consenti et ne sont pas utilisateurs du service. Elles ne sont pas nécessaires (une simple option « cadeau pour enfant » suffit). Par ailleurs, en France, un mineur de moins de </w:t>
      </w:r>
      <w:r>
        <w:rPr>
          <w:b/>
          <w:bCs/>
        </w:rPr>
        <w:t>15 ans</w:t>
      </w:r>
      <w:r>
        <w:rPr/>
        <w:t xml:space="preserve"> ne peut consentir seul au traitement de ses données pour un service en ligne (art. 8 RGPD et art. 45 de la loi Informatique et Libertés) : le service ne doit pas s’appuyer sur le consentement si l’utilisateur peut être un enfant.</w:t>
      </w:r>
    </w:p>
    <w:p>
      <w:pPr>
        <w:pStyle w:val="Heading3"/>
        <w:rPr/>
      </w:pPr>
      <w:r>
        <w:rPr/>
        <w:t>Information des personnes (art. 12 à 14)</w:t>
      </w:r>
    </w:p>
    <w:p>
      <w:pPr>
        <w:pStyle w:val="Normal"/>
        <w:spacing w:lineRule="auto" w:line="276" w:before="0" w:after="120"/>
        <w:rPr/>
      </w:pPr>
      <w:r>
        <w:rPr/>
        <w:t>Au moment de la collecte, la personne doit recevoir, de façon concise et compréhensible : l’identité et les coordonnées du responsable, les finalités et la base légale, les destinataires, la durée de conservation, ses droits et la façon de les exercer, le droit d’introduire une réclamation auprès de la CNIL. Une mention courte sous le formulaire, avec un lien vers une politique de confidentialité complète, est la pratique attendue.</w:t>
      </w:r>
    </w:p>
    <w:p>
      <w:pPr>
        <w:pStyle w:val="Heading3"/>
        <w:rPr/>
      </w:pPr>
      <w:r>
        <w:rPr/>
        <w:t>Droits des personnes (art. 15 à 22)</w:t>
      </w:r>
    </w:p>
    <w:p>
      <w:pPr>
        <w:pStyle w:val="Normal"/>
        <w:spacing w:lineRule="auto" w:line="276" w:before="0" w:after="120"/>
        <w:rPr/>
      </w:pPr>
      <w:r>
        <w:rPr/>
        <w:t xml:space="preserve">Accès, rectification, effacement, limitation, opposition et portabilité, avec une réponse sous </w:t>
      </w:r>
      <w:r>
        <w:rPr>
          <w:b/>
          <w:bCs/>
        </w:rPr>
        <w:t>un mois</w:t>
      </w:r>
      <w:r>
        <w:rPr/>
        <w:t>. ChocoBot n’offre aucun moyen d’exercer ces droits : le bouton « Nouvelle conversation » change seulement l’identifiant côté navigateur, les données restent en base. L’article 22 (décision entièrement automatisée produisant des effets juridiques) ne s’applique pas : une recommandation de coffret n’a pas d’effet juridique.</w:t>
      </w:r>
    </w:p>
    <w:p>
      <w:pPr>
        <w:pStyle w:val="Heading3"/>
        <w:rPr/>
      </w:pPr>
      <w:r>
        <w:rPr/>
        <w:t>Durées de conservation</w:t>
      </w:r>
    </w:p>
    <w:p>
      <w:pPr>
        <w:pStyle w:val="Normal"/>
        <w:spacing w:lineRule="auto" w:line="276" w:before="0" w:after="120"/>
        <w:rPr/>
      </w:pPr>
      <w:r>
        <w:rPr/>
        <w:t xml:space="preserve">Le RGPD ne fixe pas de durées : le responsable les définit selon la finalité. Les référentiels de la CNIL donnent des repères : pour la gestion commerciale, les données de prospects peuvent être conservées </w:t>
      </w:r>
      <w:r>
        <w:rPr>
          <w:b/>
          <w:bCs/>
        </w:rPr>
        <w:t>3 ans</w:t>
      </w:r>
      <w:r>
        <w:rPr/>
        <w:t xml:space="preserve"> après le dernier contact ; pour la journalisation, la CNIL recommande en général </w:t>
      </w:r>
      <w:r>
        <w:rPr>
          <w:b/>
          <w:bCs/>
        </w:rPr>
        <w:t>6 mois à 1 an</w:t>
      </w:r>
      <w:r>
        <w:rPr/>
        <w:t>. Pour un chatbot de conseil anonyme, des durées bien plus courtes sont justifiables (voir l’audit, partie 3).</w:t>
      </w:r>
    </w:p>
    <w:p>
      <w:pPr>
        <w:pStyle w:val="Heading3"/>
        <w:rPr/>
      </w:pPr>
      <w:r>
        <w:rPr/>
        <w:t>Sécurité et violations (art. 32 à 34)</w:t>
      </w:r>
    </w:p>
    <w:p>
      <w:pPr>
        <w:pStyle w:val="Normal"/>
        <w:spacing w:lineRule="auto" w:line="276" w:before="0" w:after="120"/>
        <w:rPr/>
      </w:pPr>
      <w:r>
        <w:rPr/>
        <w:t xml:space="preserve">Le responsable doit mettre en œuvre des mesures adaptées au risque (contrôle d’accès, journalisation, chiffrement). Une violation de données (par exemple, l’accès d’un tiers au back-office) doit être </w:t>
      </w:r>
      <w:r>
        <w:rPr>
          <w:b/>
          <w:bCs/>
        </w:rPr>
        <w:t>notifiée à la CNIL sous 72 heures</w:t>
      </w:r>
      <w:r>
        <w:rPr/>
        <w:t xml:space="preserve"> et, si le risque est élevé — ce qui est le cas avec des données de santé —, communiquée aux personnes concernées.</w:t>
      </w:r>
    </w:p>
    <w:p>
      <w:pPr>
        <w:pStyle w:val="Heading3"/>
        <w:rPr/>
      </w:pPr>
      <w:r>
        <w:rPr/>
        <w:t>Registre des traitements (art. 30)</w:t>
      </w:r>
    </w:p>
    <w:p>
      <w:pPr>
        <w:pStyle w:val="Normal"/>
        <w:spacing w:lineRule="auto" w:line="276" w:before="0" w:after="120"/>
        <w:rPr/>
      </w:pPr>
      <w:r>
        <w:rPr/>
        <w:t xml:space="preserve">Les entreprises de moins de 250 salariés sont dispensées de registre </w:t>
      </w:r>
      <w:r>
        <w:rPr>
          <w:b/>
          <w:bCs/>
        </w:rPr>
        <w:t>sauf</w:t>
      </w:r>
      <w:r>
        <w:rPr/>
        <w:t xml:space="preserve"> si le traitement n’est pas occasionnel ou porte sur des données sensibles. ChocoBot cumule les deux : </w:t>
      </w:r>
      <w:r>
        <w:rPr>
          <w:b/>
          <w:bCs/>
        </w:rPr>
        <w:t>le registre est obligatoire</w:t>
      </w:r>
      <w:r>
        <w:rPr/>
        <w:t>. Un projet est proposé en partie 3.3.</w:t>
      </w:r>
    </w:p>
    <w:p>
      <w:pPr>
        <w:pStyle w:val="Heading3"/>
        <w:rPr/>
      </w:pPr>
      <w:r>
        <w:rPr/>
        <w:t>Analyse d’impact (AIPD, art. 35)</w:t>
      </w:r>
    </w:p>
    <w:p>
      <w:pPr>
        <w:pStyle w:val="Normal"/>
        <w:spacing w:lineRule="auto" w:line="276" w:before="0" w:after="120"/>
        <w:rPr/>
      </w:pPr>
      <w:r>
        <w:rPr/>
        <w:t xml:space="preserve">Selon les lignes directrices européennes, une AIPD est en principe requise dès que </w:t>
      </w:r>
      <w:r>
        <w:rPr>
          <w:b/>
          <w:bCs/>
        </w:rPr>
        <w:t>deux critères</w:t>
      </w:r>
      <w:r>
        <w:rPr/>
        <w:t xml:space="preserve"> sur neuf sont remplis. ChocoBot en remplit au moins trois : </w:t>
      </w:r>
      <w:r>
        <w:rPr>
          <w:b/>
          <w:bCs/>
        </w:rPr>
        <w:t>données sensibles</w:t>
      </w:r>
      <w:r>
        <w:rPr/>
        <w:t xml:space="preserve"> (santé), </w:t>
      </w:r>
      <w:r>
        <w:rPr>
          <w:b/>
          <w:bCs/>
        </w:rPr>
        <w:t>personnes vulnérables</w:t>
      </w:r>
      <w:r>
        <w:rPr/>
        <w:t xml:space="preserve"> (enfants) et </w:t>
      </w:r>
      <w:r>
        <w:rPr>
          <w:b/>
          <w:bCs/>
        </w:rPr>
        <w:t>usage innovant</w:t>
      </w:r>
      <w:r>
        <w:rPr/>
        <w:t xml:space="preserve"> (IA générative). L’AIPD est donc très probablement obligatoire si l’application conserve ces données. Minimiser la collecte (ne plus stocker allergies ni âges) réduit fortement ce besoin.</w:t>
      </w:r>
    </w:p>
    <w:p>
      <w:pPr>
        <w:pStyle w:val="Heading3"/>
        <w:rPr/>
      </w:pPr>
      <w:r>
        <w:rPr/>
        <w:t>Sanctions</w:t>
      </w:r>
    </w:p>
    <w:p>
      <w:pPr>
        <w:pStyle w:val="Normal"/>
        <w:spacing w:lineRule="auto" w:line="276" w:before="0" w:after="120"/>
        <w:rPr/>
      </w:pPr>
      <w:r>
        <w:rPr/>
        <w:t xml:space="preserve">Jusqu’à </w:t>
      </w:r>
      <w:r>
        <w:rPr>
          <w:b/>
          <w:bCs/>
        </w:rPr>
        <w:t>20 millions d’euros ou 4 % du chiffre d’affaires annuel mondial</w:t>
      </w:r>
      <w:r>
        <w:rPr/>
        <w:t xml:space="preserve"> (art. 83). La CNIL dispose aussi d’une procédure simplifiée (amendes jusqu’à 20 000 €) très utilisée pour les PME, ainsi que de mises en demeure publiques.</w:t>
      </w:r>
    </w:p>
    <w:p>
      <w:pPr>
        <w:pStyle w:val="Heading2"/>
        <w:rPr/>
      </w:pPr>
      <w:bookmarkStart w:id="9" w:name="_Toc10"/>
      <w:r>
        <w:rPr/>
        <w:t>2.2 Loi Informatique et Libertés et doctrine de la CNIL</w:t>
      </w:r>
      <w:bookmarkEnd w:id="9"/>
    </w:p>
    <w:p>
      <w:pPr>
        <w:pStyle w:val="ListParagraph"/>
        <w:numPr>
          <w:ilvl w:val="0"/>
          <w:numId w:val="1"/>
        </w:numPr>
        <w:spacing w:lineRule="auto" w:line="264" w:before="0" w:after="60"/>
        <w:rPr/>
      </w:pPr>
      <w:r>
        <w:rPr>
          <w:b/>
          <w:bCs/>
        </w:rPr>
        <w:t>Loi n° 78-17 du 6 janvier 1978 modifiée :</w:t>
      </w:r>
      <w:r>
        <w:rPr/>
        <w:t xml:space="preserve"> complète le RGPD en droit français (âge du consentement numérique à 15 ans, pouvoirs de la CNIL).</w:t>
      </w:r>
    </w:p>
    <w:p>
      <w:pPr>
        <w:pStyle w:val="ListParagraph"/>
        <w:numPr>
          <w:ilvl w:val="0"/>
          <w:numId w:val="1"/>
        </w:numPr>
        <w:spacing w:lineRule="auto" w:line="264" w:before="0" w:after="60"/>
        <w:rPr/>
      </w:pPr>
      <w:r>
        <w:rPr>
          <w:b/>
          <w:bCs/>
        </w:rPr>
        <w:t>Article 82 (traceurs) :</w:t>
      </w:r>
      <w:r>
        <w:rPr/>
        <w:t xml:space="preserve"> l’identifiant </w:t>
      </w:r>
      <w:r>
        <w:rPr>
          <w:rFonts w:eastAsia="Consolas" w:cs="Consolas" w:ascii="Consolas" w:hAnsi="Consolas"/>
          <w:color w:val="7A2E1A"/>
          <w:sz w:val="19"/>
          <w:szCs w:val="19"/>
        </w:rPr>
        <w:t>sid</w:t>
      </w:r>
      <w:r>
        <w:rPr/>
        <w:t xml:space="preserve"> écrit dans le localStorage est un traceur. Il est </w:t>
      </w:r>
      <w:r>
        <w:rPr>
          <w:b/>
          <w:bCs/>
        </w:rPr>
        <w:t>exempté de consentement</w:t>
      </w:r>
      <w:r>
        <w:rPr/>
        <w:t xml:space="preserve"> s’il est strictement nécessaire au service demandé (faire fonctionner la conversation), mais l’utilisateur doit en être informé.</w:t>
      </w:r>
    </w:p>
    <w:p>
      <w:pPr>
        <w:pStyle w:val="ListParagraph"/>
        <w:numPr>
          <w:ilvl w:val="0"/>
          <w:numId w:val="1"/>
        </w:numPr>
        <w:spacing w:lineRule="auto" w:line="264" w:before="0" w:after="60"/>
        <w:rPr/>
      </w:pPr>
      <w:r>
        <w:rPr>
          <w:b/>
          <w:bCs/>
        </w:rPr>
        <w:t>Recommandations IA de la CNIL</w:t>
      </w:r>
      <w:r>
        <w:rPr/>
        <w:t xml:space="preserve"> (fiches pratiques publiées depuis 2024) : minimisation des données d’entraînement et d’usage, information des personnes, gestion des droits, sécurité des systèmes d’IA.</w:t>
      </w:r>
    </w:p>
    <w:p>
      <w:pPr>
        <w:pStyle w:val="ListParagraph"/>
        <w:numPr>
          <w:ilvl w:val="0"/>
          <w:numId w:val="1"/>
        </w:numPr>
        <w:spacing w:lineRule="auto" w:line="264" w:before="0" w:after="60"/>
        <w:rPr/>
      </w:pPr>
      <w:r>
        <w:rPr>
          <w:b/>
          <w:bCs/>
        </w:rPr>
        <w:t>Guide de la sécurité des données personnelles</w:t>
      </w:r>
      <w:r>
        <w:rPr/>
        <w:t xml:space="preserve"> (édition 2024) : authentification, gestion des habilitations, traçabilité, sauvegardes.</w:t>
      </w:r>
    </w:p>
    <w:p>
      <w:pPr>
        <w:pStyle w:val="ListParagraph"/>
        <w:numPr>
          <w:ilvl w:val="0"/>
          <w:numId w:val="1"/>
        </w:numPr>
        <w:spacing w:lineRule="auto" w:line="264" w:before="0" w:after="60"/>
        <w:rPr/>
      </w:pPr>
      <w:r>
        <w:rPr>
          <w:b/>
          <w:bCs/>
        </w:rPr>
        <w:t>Contrôles CNIL :</w:t>
      </w:r>
      <w:r>
        <w:rPr/>
        <w:t xml:space="preserve"> sur place, sur pièces, en ligne ou sur audition. Les contrôleurs demandent typiquement le registre, les mentions d’information, les durées de conservation, les mesures de sécurité, l’AIPD et les contrats de sous-traitance (voir partie 3.5).</w:t>
      </w:r>
    </w:p>
    <w:p>
      <w:pPr>
        <w:pStyle w:val="Heading2"/>
        <w:rPr/>
      </w:pPr>
      <w:bookmarkStart w:id="10" w:name="_Toc11"/>
      <w:r>
        <w:rPr/>
        <w:t>2.3 AI Act — Règlement (UE) 2024/1689</w:t>
      </w:r>
      <w:bookmarkEnd w:id="10"/>
    </w:p>
    <w:p>
      <w:pPr>
        <w:pStyle w:val="Normal"/>
        <w:spacing w:lineRule="auto" w:line="276" w:before="0" w:after="120"/>
        <w:rPr/>
      </w:pPr>
      <w:r>
        <w:rPr/>
        <w:t xml:space="preserve">Premier cadre juridique général sur l’intelligence artificielle, l’AI Act repose sur une </w:t>
      </w:r>
      <w:r>
        <w:rPr>
          <w:b/>
          <w:bCs/>
        </w:rPr>
        <w:t>approche par les risques</w:t>
      </w:r>
      <w:r>
        <w:rPr/>
        <w:t xml:space="preserve"> : plus un usage est risqué pour la santé, la sécurité ou les droits fondamentaux, plus les obligations sont lourdes.</w:t>
      </w:r>
    </w:p>
    <w:tbl>
      <w:tblPr>
        <w:tblW w:w="9638" w:type="dxa"/>
        <w:jc w:val="start"/>
        <w:tblInd w:w="0" w:type="dxa"/>
        <w:tblLayout w:type="fixed"/>
        <w:tblCellMar>
          <w:top w:w="70" w:type="dxa"/>
          <w:start w:w="100" w:type="dxa"/>
          <w:bottom w:w="70" w:type="dxa"/>
          <w:end w:w="100" w:type="dxa"/>
        </w:tblCellMar>
      </w:tblPr>
      <w:tblGrid>
        <w:gridCol w:w="2399"/>
        <w:gridCol w:w="4301"/>
        <w:gridCol w:w="2938"/>
      </w:tblGrid>
      <w:tr>
        <w:trPr>
          <w:tblHeader w:val="true"/>
        </w:trPr>
        <w:tc>
          <w:tcPr>
            <w:tcW w:w="239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Niveau de risque</w:t>
            </w:r>
          </w:p>
        </w:tc>
        <w:tc>
          <w:tcPr>
            <w:tcW w:w="4301"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Exemples</w:t>
            </w:r>
          </w:p>
        </w:tc>
        <w:tc>
          <w:tcPr>
            <w:tcW w:w="2938"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Régime</w:t>
            </w:r>
          </w:p>
        </w:tc>
      </w:tr>
      <w:tr>
        <w:trPr>
          <w:cantSplit/>
        </w:trPr>
        <w:tc>
          <w:tcPr>
            <w:tcW w:w="23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Inacceptable (art. 5)</w:t>
            </w:r>
          </w:p>
        </w:tc>
        <w:tc>
          <w:tcPr>
            <w:tcW w:w="43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Notation sociale, manipulation subliminale, exploitation des vulnérabilités (âge, handicap), reconnaissance des émotions au travail</w:t>
            </w:r>
          </w:p>
        </w:tc>
        <w:tc>
          <w:tcPr>
            <w:tcW w:w="29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Interdit</w:t>
            </w:r>
          </w:p>
        </w:tc>
      </w:tr>
      <w:tr>
        <w:trPr>
          <w:cantSplit/>
        </w:trPr>
        <w:tc>
          <w:tcPr>
            <w:tcW w:w="23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Haut risque (art. 6, annexes I et III)</w:t>
            </w:r>
          </w:p>
        </w:tc>
        <w:tc>
          <w:tcPr>
            <w:tcW w:w="43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Recrutement, crédit, éducation, accès aux services essentiels, biométrie, dispositifs médicaux</w:t>
            </w:r>
          </w:p>
        </w:tc>
        <w:tc>
          <w:tcPr>
            <w:tcW w:w="29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Gestion des risques, documentation, contrôle humain, marquage CE, enregistrement</w:t>
            </w:r>
          </w:p>
        </w:tc>
      </w:tr>
      <w:tr>
        <w:trPr>
          <w:cantSplit/>
        </w:trPr>
        <w:tc>
          <w:tcPr>
            <w:tcW w:w="23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Risque limité (art. 50)</w:t>
            </w:r>
          </w:p>
        </w:tc>
        <w:tc>
          <w:tcPr>
            <w:tcW w:w="43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b/>
                <w:bCs/>
                <w:sz w:val="19"/>
                <w:szCs w:val="19"/>
              </w:rPr>
              <w:t>Chatbots</w:t>
            </w:r>
            <w:r>
              <w:rPr>
                <w:sz w:val="19"/>
                <w:szCs w:val="19"/>
              </w:rPr>
              <w:t>, contenus générés (deepfakes), reconnaissance des émotions</w:t>
            </w:r>
          </w:p>
        </w:tc>
        <w:tc>
          <w:tcPr>
            <w:tcW w:w="29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 xml:space="preserve">Obligations de </w:t>
            </w:r>
            <w:r>
              <w:rPr>
                <w:b/>
                <w:bCs/>
                <w:sz w:val="19"/>
                <w:szCs w:val="19"/>
              </w:rPr>
              <w:t>transparence</w:t>
            </w:r>
          </w:p>
        </w:tc>
      </w:tr>
      <w:tr>
        <w:trPr>
          <w:cantSplit/>
        </w:trPr>
        <w:tc>
          <w:tcPr>
            <w:tcW w:w="23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Risque minimal</w:t>
            </w:r>
          </w:p>
        </w:tc>
        <w:tc>
          <w:tcPr>
            <w:tcW w:w="43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Filtres anti-spam, jeux vidéo, recommandations simples</w:t>
            </w:r>
          </w:p>
        </w:tc>
        <w:tc>
          <w:tcPr>
            <w:tcW w:w="29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Aucune obligation spécifique (codes de conduite volontaires)</w:t>
            </w:r>
          </w:p>
        </w:tc>
      </w:tr>
    </w:tbl>
    <w:p>
      <w:pPr>
        <w:pStyle w:val="Normal"/>
        <w:spacing w:before="0" w:after="80"/>
        <w:rPr/>
      </w:pPr>
      <w:r>
        <w:rPr/>
      </w:r>
    </w:p>
    <w:p>
      <w:pPr>
        <w:pStyle w:val="Heading3"/>
        <w:rPr/>
      </w:pPr>
      <w:r>
        <w:rPr/>
        <w:t>Calendrier d’application</w:t>
      </w:r>
    </w:p>
    <w:tbl>
      <w:tblPr>
        <w:tblW w:w="9638" w:type="dxa"/>
        <w:jc w:val="start"/>
        <w:tblInd w:w="0" w:type="dxa"/>
        <w:tblLayout w:type="fixed"/>
        <w:tblCellMar>
          <w:top w:w="70" w:type="dxa"/>
          <w:start w:w="100" w:type="dxa"/>
          <w:bottom w:w="70" w:type="dxa"/>
          <w:end w:w="100" w:type="dxa"/>
        </w:tblCellMar>
      </w:tblPr>
      <w:tblGrid>
        <w:gridCol w:w="1700"/>
        <w:gridCol w:w="4600"/>
        <w:gridCol w:w="3338"/>
      </w:tblGrid>
      <w:tr>
        <w:trPr>
          <w:tblHeader w:val="true"/>
        </w:trPr>
        <w:tc>
          <w:tcPr>
            <w:tcW w:w="17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Date</w:t>
            </w:r>
          </w:p>
        </w:tc>
        <w:tc>
          <w:tcPr>
            <w:tcW w:w="46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Ce qui s’applique</w:t>
            </w:r>
          </w:p>
        </w:tc>
        <w:tc>
          <w:tcPr>
            <w:tcW w:w="3338"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Impact ChocoBot</w:t>
            </w:r>
          </w:p>
        </w:tc>
      </w:tr>
      <w:tr>
        <w:trPr>
          <w:cantSplit/>
        </w:trPr>
        <w:tc>
          <w:tcPr>
            <w:tcW w:w="17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1er août 2024</w:t>
            </w:r>
          </w:p>
        </w:tc>
        <w:tc>
          <w:tcPr>
            <w:tcW w:w="46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Entrée en vigueur du règlement</w:t>
            </w:r>
          </w:p>
        </w:tc>
        <w:tc>
          <w:tcPr>
            <w:tcW w:w="33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w:t>
            </w:r>
          </w:p>
        </w:tc>
      </w:tr>
      <w:tr>
        <w:trPr>
          <w:cantSplit/>
        </w:trPr>
        <w:tc>
          <w:tcPr>
            <w:tcW w:w="17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2 février 2025</w:t>
            </w:r>
          </w:p>
        </w:tc>
        <w:tc>
          <w:tcPr>
            <w:tcW w:w="46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 xml:space="preserve">Pratiques interdites (art. 5) ; obligation de </w:t>
            </w:r>
            <w:r>
              <w:rPr>
                <w:b/>
                <w:bCs/>
                <w:sz w:val="19"/>
                <w:szCs w:val="19"/>
              </w:rPr>
              <w:t>maîtrise de l’IA</w:t>
            </w:r>
            <w:r>
              <w:rPr>
                <w:sz w:val="19"/>
                <w:szCs w:val="19"/>
              </w:rPr>
              <w:t xml:space="preserve"> du personnel (art. 4)</w:t>
            </w:r>
          </w:p>
        </w:tc>
        <w:tc>
          <w:tcPr>
            <w:tcW w:w="33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Former l’équipe qui utilise le back-office</w:t>
            </w:r>
          </w:p>
        </w:tc>
      </w:tr>
      <w:tr>
        <w:trPr>
          <w:cantSplit/>
        </w:trPr>
        <w:tc>
          <w:tcPr>
            <w:tcW w:w="17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2 août 2025</w:t>
            </w:r>
          </w:p>
        </w:tc>
        <w:tc>
          <w:tcPr>
            <w:tcW w:w="46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Modèles d’IA à usage général (GPAI), gouvernance, régime de sanctions</w:t>
            </w:r>
          </w:p>
        </w:tc>
        <w:tc>
          <w:tcPr>
            <w:tcW w:w="33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Concerne Meta (fournisseur de Llama), pas directement Delcourt</w:t>
            </w:r>
          </w:p>
        </w:tc>
      </w:tr>
      <w:tr>
        <w:trPr>
          <w:cantSplit/>
        </w:trPr>
        <w:tc>
          <w:tcPr>
            <w:tcW w:w="17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2 août 2026</w:t>
            </w:r>
          </w:p>
        </w:tc>
        <w:tc>
          <w:tcPr>
            <w:tcW w:w="46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 xml:space="preserve">Majorité des obligations, dont la </w:t>
            </w:r>
            <w:r>
              <w:rPr>
                <w:b/>
                <w:bCs/>
                <w:sz w:val="19"/>
                <w:szCs w:val="19"/>
              </w:rPr>
              <w:t>transparence (art. 50)</w:t>
            </w:r>
            <w:r>
              <w:rPr>
                <w:sz w:val="19"/>
                <w:szCs w:val="19"/>
              </w:rPr>
              <w:t xml:space="preserve"> et le haut risque de l’annexe III</w:t>
            </w:r>
          </w:p>
        </w:tc>
        <w:tc>
          <w:tcPr>
            <w:tcW w:w="33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b/>
                <w:bCs/>
                <w:sz w:val="19"/>
                <w:szCs w:val="19"/>
              </w:rPr>
              <w:t>Déjà applicable</w:t>
            </w:r>
            <w:r>
              <w:rPr>
                <w:sz w:val="19"/>
                <w:szCs w:val="19"/>
              </w:rPr>
              <w:t xml:space="preserve"> : information « vous parlez à une IA »</w:t>
            </w:r>
          </w:p>
        </w:tc>
      </w:tr>
      <w:tr>
        <w:trPr>
          <w:cantSplit/>
        </w:trPr>
        <w:tc>
          <w:tcPr>
            <w:tcW w:w="17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2 août 2027</w:t>
            </w:r>
          </w:p>
        </w:tc>
        <w:tc>
          <w:tcPr>
            <w:tcW w:w="46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Haut risque lié aux produits réglementés (annexe I)</w:t>
            </w:r>
          </w:p>
        </w:tc>
        <w:tc>
          <w:tcPr>
            <w:tcW w:w="33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Non concerné</w:t>
            </w:r>
          </w:p>
        </w:tc>
      </w:tr>
    </w:tbl>
    <w:p>
      <w:pPr>
        <w:pStyle w:val="Normal"/>
        <w:spacing w:before="0" w:after="80"/>
        <w:rPr/>
      </w:pPr>
      <w:r>
        <w:rPr/>
      </w:r>
    </w:p>
    <w:p>
      <w:pPr>
        <w:pStyle w:val="Normal"/>
        <w:spacing w:lineRule="auto" w:line="276" w:before="0" w:after="120"/>
        <w:rPr>
          <w:i/>
          <w:iCs/>
        </w:rPr>
      </w:pPr>
      <w:r>
        <w:rPr>
          <w:i/>
          <w:iCs/>
        </w:rPr>
      </w:r>
    </w:p>
    <w:p>
      <w:pPr>
        <w:pStyle w:val="Normal"/>
        <w:spacing w:lineRule="auto" w:line="276" w:before="0" w:after="120"/>
        <w:rPr>
          <w:i/>
          <w:iCs/>
        </w:rPr>
      </w:pPr>
      <w:r>
        <w:rPr>
          <w:i/>
          <w:iCs/>
        </w:rPr>
      </w:r>
    </w:p>
    <w:p>
      <w:pPr>
        <w:pStyle w:val="Normal"/>
        <w:spacing w:lineRule="auto" w:line="276" w:before="0" w:after="120"/>
        <w:rPr>
          <w:i/>
          <w:iCs/>
        </w:rPr>
      </w:pPr>
      <w:r>
        <w:rPr>
          <w:i/>
          <w:iCs/>
        </w:rPr>
      </w:r>
    </w:p>
    <w:p>
      <w:pPr>
        <w:pStyle w:val="Heading3"/>
        <w:rPr/>
      </w:pPr>
      <w:r>
        <w:rPr/>
        <w:t>Classification de ChocoBot</w:t>
      </w:r>
    </w:p>
    <w:tbl>
      <w:tblPr>
        <w:tblW w:w="9638" w:type="dxa"/>
        <w:jc w:val="start"/>
        <w:tblInd w:w="0" w:type="dxa"/>
        <w:tblLayout w:type="fixed"/>
        <w:tblCellMar>
          <w:top w:w="120" w:type="dxa"/>
          <w:start w:w="200" w:type="dxa"/>
          <w:bottom w:w="120" w:type="dxa"/>
          <w:end w:w="200" w:type="dxa"/>
        </w:tblCellMar>
      </w:tblPr>
      <w:tblGrid>
        <w:gridCol w:w="9638"/>
      </w:tblGrid>
      <w:tr>
        <w:trPr/>
        <w:tc>
          <w:tcPr>
            <w:tcW w:w="9638" w:type="dxa"/>
            <w:tcBorders>
              <w:top w:val="single" w:sz="4" w:space="0" w:color="B8893B"/>
              <w:start w:val="single" w:sz="24" w:space="0" w:color="B8893B"/>
              <w:bottom w:val="single" w:sz="4" w:space="0" w:color="B8893B"/>
              <w:end w:val="single" w:sz="4" w:space="0" w:color="B8893B"/>
            </w:tcBorders>
            <w:shd w:color="auto" w:fill="F6ECDC" w:val="clear"/>
          </w:tcPr>
          <w:p>
            <w:pPr>
              <w:pStyle w:val="Normal"/>
              <w:spacing w:before="0" w:after="80"/>
              <w:rPr/>
            </w:pPr>
            <w:r>
              <w:rPr>
                <w:b/>
                <w:bCs/>
                <w:color w:val="4A2A1C"/>
              </w:rPr>
              <w:t>ChocoBot = système d’IA à risque limité</w:t>
            </w:r>
          </w:p>
          <w:p>
            <w:pPr>
              <w:pStyle w:val="Normal"/>
              <w:spacing w:lineRule="auto" w:line="264" w:before="0" w:after="60"/>
              <w:rPr/>
            </w:pPr>
            <w:r>
              <w:rPr>
                <w:b/>
                <w:bCs/>
              </w:rPr>
              <w:t>Pas une pratique interdite :</w:t>
            </w:r>
            <w:r>
              <w:rPr/>
              <w:t xml:space="preserve"> il ne note pas socialement, ne fait pas de reconnaissance biométrique et ne manipule pas de façon subliminale. Vigilance toutefois : un ton commercial qui pousse un public vulnérable (enfants) à l’achat pourrait s’en approcher.</w:t>
            </w:r>
          </w:p>
          <w:p>
            <w:pPr>
              <w:pStyle w:val="Normal"/>
              <w:spacing w:lineRule="auto" w:line="264" w:before="0" w:after="60"/>
              <w:rPr/>
            </w:pPr>
            <w:r>
              <w:rPr>
                <w:b/>
                <w:bCs/>
              </w:rPr>
              <w:t>Pas un système à haut risque :</w:t>
            </w:r>
            <w:r>
              <w:rPr/>
              <w:t xml:space="preserve"> le conseil en coffrets ne figure dans aucun domaine de l’annexe III et n’est pas un composant de sécurité d’un produit réglementé.</w:t>
            </w:r>
          </w:p>
          <w:p>
            <w:pPr>
              <w:pStyle w:val="Normal"/>
              <w:spacing w:lineRule="auto" w:line="264" w:before="0" w:after="60"/>
              <w:rPr/>
            </w:pPr>
            <w:r>
              <w:rPr>
                <w:b/>
                <w:bCs/>
              </w:rPr>
              <w:t>Risque limité :</w:t>
            </w:r>
            <w:r>
              <w:rPr/>
              <w:t xml:space="preserve"> système destiné à interagir directement avec des personnes physiques → </w:t>
            </w:r>
            <w:r>
              <w:rPr>
                <w:b/>
                <w:bCs/>
              </w:rPr>
              <w:t>article 50.1</w:t>
            </w:r>
            <w:r>
              <w:rPr/>
              <w:t xml:space="preserve"> : les personnes doivent être informées qu’elles interagissent avec une IA, au plus tard lors de la première interaction, de manière claire et distinguable (art. 50.5).</w:t>
            </w:r>
          </w:p>
        </w:tc>
      </w:tr>
    </w:tbl>
    <w:p>
      <w:pPr>
        <w:pStyle w:val="Normal"/>
        <w:spacing w:before="0" w:after="80"/>
        <w:rPr/>
      </w:pPr>
      <w:r>
        <w:rPr/>
      </w:r>
    </w:p>
    <w:p>
      <w:pPr>
        <w:pStyle w:val="Heading3"/>
        <w:rPr/>
      </w:pPr>
      <w:r>
        <w:rPr/>
        <w:t>Rôles et obligations</w:t>
      </w:r>
    </w:p>
    <w:p>
      <w:pPr>
        <w:pStyle w:val="ListParagraph"/>
        <w:numPr>
          <w:ilvl w:val="0"/>
          <w:numId w:val="1"/>
        </w:numPr>
        <w:spacing w:lineRule="auto" w:line="264" w:before="0" w:after="60"/>
        <w:rPr/>
      </w:pPr>
      <w:r>
        <w:rPr>
          <w:b/>
          <w:bCs/>
        </w:rPr>
        <w:t>Maison Delcourt = fournisseur</w:t>
      </w:r>
      <w:r>
        <w:rPr/>
        <w:t xml:space="preserve"> du système ChocoBot (développé et mis en service sous son nom) </w:t>
      </w:r>
      <w:r>
        <w:rPr>
          <w:b/>
          <w:bCs/>
        </w:rPr>
        <w:t>et déployeur</w:t>
      </w:r>
      <w:r>
        <w:rPr/>
        <w:t xml:space="preserve"> (elle l’utilise auprès de ses clients). Elle porte l’obligation de transparence de l’art. 50.1.</w:t>
      </w:r>
    </w:p>
    <w:p>
      <w:pPr>
        <w:pStyle w:val="ListParagraph"/>
        <w:numPr>
          <w:ilvl w:val="0"/>
          <w:numId w:val="1"/>
        </w:numPr>
        <w:spacing w:lineRule="auto" w:line="264" w:before="0" w:after="60"/>
        <w:rPr/>
      </w:pPr>
      <w:r>
        <w:rPr>
          <w:b/>
          <w:bCs/>
        </w:rPr>
        <w:t>Meta = fournisseur du modèle à usage général</w:t>
      </w:r>
      <w:r>
        <w:rPr/>
        <w:t xml:space="preserve"> Llama 3.2 (obligations des art. 53 et suivants, allégées pour les modèles diffusés sous licence ouverte). La licence « Llama 3.2 Community License » et sa politique d’usage acceptable doivent être respectées (mention « Built with Llama »).</w:t>
      </w:r>
    </w:p>
    <w:p>
      <w:pPr>
        <w:pStyle w:val="ListParagraph"/>
        <w:numPr>
          <w:ilvl w:val="0"/>
          <w:numId w:val="1"/>
        </w:numPr>
        <w:spacing w:lineRule="auto" w:line="264" w:before="0" w:after="60"/>
        <w:rPr/>
      </w:pPr>
      <w:r>
        <w:rPr>
          <w:b/>
          <w:bCs/>
        </w:rPr>
        <w:t>Maîtrise de l’IA (art. 4) :</w:t>
      </w:r>
      <w:r>
        <w:rPr/>
        <w:t xml:space="preserve"> le personnel qui exploite le chatbot et le back-office doit avoir un niveau de connaissance suffisant (limites du modèle, hallucinations, gestion des données).</w:t>
      </w:r>
    </w:p>
    <w:p>
      <w:pPr>
        <w:pStyle w:val="ListParagraph"/>
        <w:numPr>
          <w:ilvl w:val="0"/>
          <w:numId w:val="1"/>
        </w:numPr>
        <w:spacing w:lineRule="auto" w:line="264" w:before="0" w:after="60"/>
        <w:rPr/>
      </w:pPr>
      <w:r>
        <w:rPr>
          <w:b/>
          <w:bCs/>
        </w:rPr>
        <w:t>Contenu généré (art. 50.2) :</w:t>
      </w:r>
      <w:r>
        <w:rPr/>
        <w:t xml:space="preserve"> les fournisseurs de systèmes générant du texte doivent permettre de détecter son origine artificielle. Pour un texte conversationnel affiché dans un chat déjà signalé comme IA, la portée pratique de cette obligation reste débattue (code de bonnes pratiques en cours) : à surveiller.</w:t>
      </w:r>
    </w:p>
    <w:p>
      <w:pPr>
        <w:pStyle w:val="Heading3"/>
        <w:rPr/>
      </w:pPr>
      <w:r>
        <w:rPr/>
        <w:t>Sanctions</w:t>
      </w:r>
    </w:p>
    <w:p>
      <w:pPr>
        <w:pStyle w:val="Normal"/>
        <w:spacing w:lineRule="auto" w:line="276" w:before="0" w:after="120"/>
        <w:rPr/>
      </w:pPr>
      <w:r>
        <w:rPr/>
        <w:t xml:space="preserve">Non-respect des obligations de transparence : jusqu’à </w:t>
      </w:r>
      <w:r>
        <w:rPr>
          <w:b/>
          <w:bCs/>
        </w:rPr>
        <w:t>15 millions d’euros ou 3 % du chiffre d’affaires mondial</w:t>
      </w:r>
      <w:r>
        <w:rPr/>
        <w:t xml:space="preserve"> ; pour les PME, le montant le plus faible des deux est retenu (art. 99). Les autorités de surveillance du marché désignées en France (dont la DGCCRF et la CNIL selon les domaines) sont chargées du contrôle — répartition exacte à vérifier.</w:t>
      </w:r>
    </w:p>
    <w:p>
      <w:pPr>
        <w:pStyle w:val="Heading2"/>
        <w:rPr/>
      </w:pPr>
      <w:bookmarkStart w:id="11" w:name="_Toc12"/>
      <w:r>
        <w:rPr/>
        <w:t>2.4 Autres textes applicables</w:t>
      </w:r>
      <w:bookmarkEnd w:id="11"/>
    </w:p>
    <w:p>
      <w:pPr>
        <w:pStyle w:val="Heading3"/>
        <w:rPr/>
      </w:pPr>
      <w:r>
        <w:rPr/>
        <w:t>Information sur les allergènes — Règlement INCO (UE) n° 1169/2011</w:t>
      </w:r>
    </w:p>
    <w:p>
      <w:pPr>
        <w:pStyle w:val="Normal"/>
        <w:spacing w:lineRule="auto" w:line="276" w:before="0" w:after="120"/>
        <w:rPr/>
      </w:pPr>
      <w:r>
        <w:rPr/>
        <w:t xml:space="preserve">Le règlement impose d’indiquer la présence des </w:t>
      </w:r>
      <w:r>
        <w:rPr>
          <w:b/>
          <w:bCs/>
        </w:rPr>
        <w:t>14 allergènes majeurs</w:t>
      </w:r>
      <w:r>
        <w:rPr/>
        <w:t xml:space="preserve"> (annexe II : gluten, œufs, lait, fruits à coque, soja, arachides, sésame, etc.). Pour la </w:t>
      </w:r>
      <w:r>
        <w:rPr>
          <w:b/>
          <w:bCs/>
        </w:rPr>
        <w:t>vente à distance</w:t>
      </w:r>
      <w:r>
        <w:rPr/>
        <w:t xml:space="preserve"> (art. 14), les informations obligatoires doivent être disponibles </w:t>
      </w:r>
      <w:r>
        <w:rPr>
          <w:b/>
          <w:bCs/>
        </w:rPr>
        <w:t>avant la conclusion de l’achat</w:t>
      </w:r>
      <w:r>
        <w:rPr/>
        <w:t xml:space="preserve">. Le chatbot ne peut donc pas être la seule source d’information sur les allergènes : il doit reprendre exactement la fiche produit, renvoyer vers celle-ci, et ne jamais affirmer qu’un produit est « sans risque ». Le catalogue actuel ne mentionne pas les </w:t>
      </w:r>
      <w:r>
        <w:rPr>
          <w:b/>
          <w:bCs/>
        </w:rPr>
        <w:t>traces</w:t>
      </w:r>
      <w:r>
        <w:rPr/>
        <w:t xml:space="preserve"> (contaminations croisées), essentielles pour un chocolatier.</w:t>
      </w:r>
    </w:p>
    <w:p>
      <w:pPr>
        <w:pStyle w:val="Heading3"/>
        <w:rPr/>
      </w:pPr>
      <w:r>
        <w:rPr/>
        <w:t>Droit de la consommation</w:t>
      </w:r>
    </w:p>
    <w:p>
      <w:pPr>
        <w:pStyle w:val="ListParagraph"/>
        <w:numPr>
          <w:ilvl w:val="0"/>
          <w:numId w:val="1"/>
        </w:numPr>
        <w:spacing w:lineRule="auto" w:line="264" w:before="0" w:after="60"/>
        <w:rPr/>
      </w:pPr>
      <w:r>
        <w:rPr>
          <w:b/>
          <w:bCs/>
        </w:rPr>
        <w:t>Information précontractuelle (art. L111-1 du Code de la consommation) :</w:t>
      </w:r>
      <w:r>
        <w:rPr/>
        <w:t xml:space="preserve"> prix, caractéristiques essentielles, modalités de livraison.</w:t>
      </w:r>
    </w:p>
    <w:p>
      <w:pPr>
        <w:pStyle w:val="ListParagraph"/>
        <w:numPr>
          <w:ilvl w:val="0"/>
          <w:numId w:val="1"/>
        </w:numPr>
        <w:spacing w:lineRule="auto" w:line="264" w:before="0" w:after="60"/>
        <w:rPr/>
      </w:pPr>
      <w:r>
        <w:rPr>
          <w:b/>
          <w:bCs/>
        </w:rPr>
        <w:t>Pratiques commerciales trompeuses (art. L121-2) :</w:t>
      </w:r>
      <w:r>
        <w:rPr/>
        <w:t xml:space="preserve"> une information fausse sur le prix, la composition ou la disponibilité est sanctionnable, même si elle est produite par une IA. Le professionnel reste responsable des réponses de son chatbot (cf. l’affaire Moffatt c. Air Canada, 2024, au Canada, où la compagnie a été tenue d’honorer une politique inventée par son chatbot).</w:t>
      </w:r>
    </w:p>
    <w:p>
      <w:pPr>
        <w:pStyle w:val="ListParagraph"/>
        <w:numPr>
          <w:ilvl w:val="0"/>
          <w:numId w:val="1"/>
        </w:numPr>
        <w:spacing w:lineRule="auto" w:line="264" w:before="0" w:after="60"/>
        <w:rPr/>
      </w:pPr>
      <w:r>
        <w:rPr/>
        <w:t xml:space="preserve">Conséquence : les boutons « Quels sont vos horaires ? » et « Livraison ? » appellent le modèle </w:t>
      </w:r>
      <w:r>
        <w:rPr>
          <w:b/>
          <w:bCs/>
        </w:rPr>
        <w:t>sans lui fournir l’information</w:t>
      </w:r>
      <w:r>
        <w:rPr/>
        <w:t xml:space="preserve"> ; il ne peut qu’inventer.</w:t>
      </w:r>
    </w:p>
    <w:p>
      <w:pPr>
        <w:pStyle w:val="Heading3"/>
        <w:rPr/>
      </w:pPr>
      <w:r>
        <w:rPr/>
        <w:t>Responsabilité du fait des produits défectueux</w:t>
      </w:r>
    </w:p>
    <w:p>
      <w:pPr>
        <w:pStyle w:val="Normal"/>
        <w:spacing w:lineRule="auto" w:line="276" w:before="0" w:after="120"/>
        <w:rPr/>
      </w:pPr>
      <w:r>
        <w:rPr/>
        <w:t xml:space="preserve">La nouvelle directive (UE) 2024/2853, à transposer au plus tard le </w:t>
      </w:r>
      <w:r>
        <w:rPr>
          <w:b/>
          <w:bCs/>
        </w:rPr>
        <w:t>9 décembre 2026</w:t>
      </w:r>
      <w:r>
        <w:rPr/>
        <w:t xml:space="preserve">, inclut explicitement les </w:t>
      </w:r>
      <w:r>
        <w:rPr>
          <w:b/>
          <w:bCs/>
        </w:rPr>
        <w:t>logiciels et systèmes d’IA</w:t>
      </w:r>
      <w:r>
        <w:rPr/>
        <w:t xml:space="preserve"> dans la notion de produit. Un conseil erroné sur un allergène ayant causé un dommage corporel pourrait, à terme, être examiné sous ce régime. À surveiller.</w:t>
      </w:r>
    </w:p>
    <w:p>
      <w:pPr>
        <w:pStyle w:val="Heading3"/>
        <w:rPr/>
      </w:pPr>
      <w:r>
        <w:rPr/>
        <w:t>Sobriété numérique</w:t>
      </w:r>
    </w:p>
    <w:p>
      <w:pPr>
        <w:pStyle w:val="ListParagraph"/>
        <w:numPr>
          <w:ilvl w:val="0"/>
          <w:numId w:val="1"/>
        </w:numPr>
        <w:spacing w:lineRule="auto" w:line="264" w:before="0" w:after="60"/>
        <w:rPr/>
      </w:pPr>
      <w:r>
        <w:rPr>
          <w:b/>
          <w:bCs/>
        </w:rPr>
        <w:t>Loi REEN n° 2021-1485 du 15 novembre 2021</w:t>
      </w:r>
      <w:r>
        <w:rPr/>
        <w:t xml:space="preserve"> (réduction de l’empreinte environnementale du numérique) : fixe le cadre français de sobriété ; obligations directes surtout pour les acteurs publics et les grands opérateurs.</w:t>
      </w:r>
    </w:p>
    <w:p>
      <w:pPr>
        <w:pStyle w:val="ListParagraph"/>
        <w:numPr>
          <w:ilvl w:val="0"/>
          <w:numId w:val="1"/>
        </w:numPr>
        <w:spacing w:lineRule="auto" w:line="264" w:before="0" w:after="60"/>
        <w:rPr/>
      </w:pPr>
      <w:r>
        <w:rPr>
          <w:b/>
          <w:bCs/>
        </w:rPr>
        <w:t>RGESN</w:t>
      </w:r>
      <w:r>
        <w:rPr/>
        <w:t xml:space="preserve"> (Référentiel général d’écoconception de services numériques, Arcep / Arcom avec l’ADEME, la CNIL et la DINUM, 2024) : non obligatoire pour une PME privée, mais référence reconnue pour démontrer une démarche d’écoconception.</w:t>
      </w:r>
    </w:p>
    <w:p>
      <w:pPr>
        <w:pStyle w:val="ListParagraph"/>
        <w:numPr>
          <w:ilvl w:val="0"/>
          <w:numId w:val="1"/>
        </w:numPr>
        <w:spacing w:lineRule="auto" w:line="264" w:before="0" w:after="60"/>
        <w:rPr/>
      </w:pPr>
      <w:r>
        <w:rPr>
          <w:b/>
          <w:bCs/>
        </w:rPr>
        <w:t>AFNOR SPEC 2314</w:t>
      </w:r>
      <w:r>
        <w:rPr/>
        <w:t xml:space="preserve"> (2024) : référentiel pour mesurer et réduire l’impact environnemental de l’IA (« IA frugale ») ; utile pour structurer l’analyse consommation / carbone du livrable suivant.</w:t>
      </w:r>
    </w:p>
    <w:p>
      <w:pPr>
        <w:pStyle w:val="ListParagraph"/>
        <w:numPr>
          <w:ilvl w:val="0"/>
          <w:numId w:val="1"/>
        </w:numPr>
        <w:spacing w:lineRule="auto" w:line="264" w:before="0" w:after="60"/>
        <w:rPr/>
      </w:pPr>
      <w:r>
        <w:rPr>
          <w:b/>
          <w:bCs/>
        </w:rPr>
        <w:t>CSRD :</w:t>
      </w:r>
      <w:r>
        <w:rPr/>
        <w:t xml:space="preserve"> non applicable à une entreprise de cette taille, mais les grands clients B2B (comités d’entreprise, cadeaux d’affaires) peuvent demander des indicateurs carbone.</w:t>
      </w:r>
    </w:p>
    <w:p>
      <w:pPr>
        <w:pStyle w:val="Heading2"/>
        <w:rPr/>
      </w:pPr>
      <w:bookmarkStart w:id="12" w:name="_Toc13"/>
      <w:r>
        <w:rPr/>
        <w:t>2.5 Tableau de synthèse de la veille</w:t>
      </w:r>
      <w:bookmarkEnd w:id="12"/>
    </w:p>
    <w:tbl>
      <w:tblPr>
        <w:tblW w:w="9638" w:type="dxa"/>
        <w:jc w:val="start"/>
        <w:tblInd w:w="0" w:type="dxa"/>
        <w:tblLayout w:type="fixed"/>
        <w:tblCellMar>
          <w:top w:w="70" w:type="dxa"/>
          <w:start w:w="100" w:type="dxa"/>
          <w:bottom w:w="70" w:type="dxa"/>
          <w:end w:w="100" w:type="dxa"/>
        </w:tblCellMar>
      </w:tblPr>
      <w:tblGrid>
        <w:gridCol w:w="1899"/>
        <w:gridCol w:w="2201"/>
        <w:gridCol w:w="3737"/>
        <w:gridCol w:w="1801"/>
      </w:tblGrid>
      <w:tr>
        <w:trPr>
          <w:tblHeader w:val="true"/>
        </w:trPr>
        <w:tc>
          <w:tcPr>
            <w:tcW w:w="189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Texte</w:t>
            </w:r>
          </w:p>
        </w:tc>
        <w:tc>
          <w:tcPr>
            <w:tcW w:w="2201"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Exigence clé</w:t>
            </w:r>
          </w:p>
        </w:tc>
        <w:tc>
          <w:tcPr>
            <w:tcW w:w="3737"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Application à ChocoBot</w:t>
            </w:r>
          </w:p>
        </w:tc>
        <w:tc>
          <w:tcPr>
            <w:tcW w:w="1801"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Statut actuel</w:t>
            </w:r>
          </w:p>
        </w:tc>
      </w:tr>
      <w:tr>
        <w:trPr>
          <w:cantSplit/>
        </w:trPr>
        <w:tc>
          <w:tcPr>
            <w:tcW w:w="18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RGPD art. 5.1.c</w:t>
            </w:r>
          </w:p>
        </w:tc>
        <w:tc>
          <w:tcPr>
            <w:tcW w:w="22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Minimisation</w:t>
            </w:r>
          </w:p>
        </w:tc>
        <w:tc>
          <w:tcPr>
            <w:tcW w:w="3737"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Supprimer email, nom, âge des enfants</w:t>
            </w:r>
          </w:p>
        </w:tc>
        <w:tc>
          <w:tcPr>
            <w:tcW w:w="18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r>
      <w:tr>
        <w:trPr>
          <w:cantSplit/>
        </w:trPr>
        <w:tc>
          <w:tcPr>
            <w:tcW w:w="18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RGPD art. 5.1.e</w:t>
            </w:r>
          </w:p>
        </w:tc>
        <w:tc>
          <w:tcPr>
            <w:tcW w:w="22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Durée de conservation</w:t>
            </w:r>
          </w:p>
        </w:tc>
        <w:tc>
          <w:tcPr>
            <w:tcW w:w="3737"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Purge automatique des messages et profils</w:t>
            </w:r>
          </w:p>
        </w:tc>
        <w:tc>
          <w:tcPr>
            <w:tcW w:w="18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r>
      <w:tr>
        <w:trPr>
          <w:cantSplit/>
        </w:trPr>
        <w:tc>
          <w:tcPr>
            <w:tcW w:w="18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RGPD art. 9</w:t>
            </w:r>
          </w:p>
        </w:tc>
        <w:tc>
          <w:tcPr>
            <w:tcW w:w="22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Données de santé</w:t>
            </w:r>
          </w:p>
        </w:tc>
        <w:tc>
          <w:tcPr>
            <w:tcW w:w="3737"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Allergies : en session uniquement, ou consentement explicite</w:t>
            </w:r>
          </w:p>
        </w:tc>
        <w:tc>
          <w:tcPr>
            <w:tcW w:w="18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r>
      <w:tr>
        <w:trPr>
          <w:cantSplit/>
        </w:trPr>
        <w:tc>
          <w:tcPr>
            <w:tcW w:w="18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RGPD art. 13</w:t>
            </w:r>
          </w:p>
        </w:tc>
        <w:tc>
          <w:tcPr>
            <w:tcW w:w="22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Information</w:t>
            </w:r>
          </w:p>
        </w:tc>
        <w:tc>
          <w:tcPr>
            <w:tcW w:w="3737"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Mention sous le formulaire + politique de confidentialité</w:t>
            </w:r>
          </w:p>
        </w:tc>
        <w:tc>
          <w:tcPr>
            <w:tcW w:w="18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r>
      <w:tr>
        <w:trPr>
          <w:cantSplit/>
        </w:trPr>
        <w:tc>
          <w:tcPr>
            <w:tcW w:w="18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RGPD art. 15-21</w:t>
            </w:r>
          </w:p>
        </w:tc>
        <w:tc>
          <w:tcPr>
            <w:tcW w:w="22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Droits des personnes</w:t>
            </w:r>
          </w:p>
        </w:tc>
        <w:tc>
          <w:tcPr>
            <w:tcW w:w="3737"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Bouton « Effacer mes données » + contact</w:t>
            </w:r>
          </w:p>
        </w:tc>
        <w:tc>
          <w:tcPr>
            <w:tcW w:w="18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r>
      <w:tr>
        <w:trPr>
          <w:cantSplit/>
        </w:trPr>
        <w:tc>
          <w:tcPr>
            <w:tcW w:w="18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RGPD art. 30</w:t>
            </w:r>
          </w:p>
        </w:tc>
        <w:tc>
          <w:tcPr>
            <w:tcW w:w="22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Registre</w:t>
            </w:r>
          </w:p>
        </w:tc>
        <w:tc>
          <w:tcPr>
            <w:tcW w:w="3737"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Rédiger le registre</w:t>
            </w:r>
          </w:p>
        </w:tc>
        <w:tc>
          <w:tcPr>
            <w:tcW w:w="18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r>
      <w:tr>
        <w:trPr>
          <w:cantSplit/>
        </w:trPr>
        <w:tc>
          <w:tcPr>
            <w:tcW w:w="18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RGPD art. 32</w:t>
            </w:r>
          </w:p>
        </w:tc>
        <w:tc>
          <w:tcPr>
            <w:tcW w:w="22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Sécurité</w:t>
            </w:r>
          </w:p>
        </w:tc>
        <w:tc>
          <w:tcPr>
            <w:tcW w:w="3737"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Authentifier le back-office, retirer les données des logs</w:t>
            </w:r>
          </w:p>
        </w:tc>
        <w:tc>
          <w:tcPr>
            <w:tcW w:w="18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r>
      <w:tr>
        <w:trPr>
          <w:cantSplit/>
        </w:trPr>
        <w:tc>
          <w:tcPr>
            <w:tcW w:w="18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RGPD art. 35</w:t>
            </w:r>
          </w:p>
        </w:tc>
        <w:tc>
          <w:tcPr>
            <w:tcW w:w="22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AIPD</w:t>
            </w:r>
          </w:p>
        </w:tc>
        <w:tc>
          <w:tcPr>
            <w:tcW w:w="3737"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À réaliser si données sensibles conservées</w:t>
            </w:r>
          </w:p>
        </w:tc>
        <w:tc>
          <w:tcPr>
            <w:tcW w:w="18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r>
      <w:tr>
        <w:trPr>
          <w:cantSplit/>
        </w:trPr>
        <w:tc>
          <w:tcPr>
            <w:tcW w:w="18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Loi I&amp;L art. 82</w:t>
            </w:r>
          </w:p>
        </w:tc>
        <w:tc>
          <w:tcPr>
            <w:tcW w:w="22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Traceurs</w:t>
            </w:r>
          </w:p>
        </w:tc>
        <w:tc>
          <w:tcPr>
            <w:tcW w:w="3737"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Informer sur l’identifiant de session (exempté de consentement)</w:t>
            </w:r>
          </w:p>
        </w:tc>
        <w:tc>
          <w:tcPr>
            <w:tcW w:w="1801"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Partiel</w:t>
            </w:r>
          </w:p>
        </w:tc>
      </w:tr>
      <w:tr>
        <w:trPr>
          <w:cantSplit/>
        </w:trPr>
        <w:tc>
          <w:tcPr>
            <w:tcW w:w="18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AI Act art. 50.1</w:t>
            </w:r>
          </w:p>
        </w:tc>
        <w:tc>
          <w:tcPr>
            <w:tcW w:w="22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Transparence chatbot</w:t>
            </w:r>
          </w:p>
        </w:tc>
        <w:tc>
          <w:tcPr>
            <w:tcW w:w="3737"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Afficher « Assistant virtuel (IA) »</w:t>
            </w:r>
          </w:p>
        </w:tc>
        <w:tc>
          <w:tcPr>
            <w:tcW w:w="18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r>
      <w:tr>
        <w:trPr>
          <w:cantSplit/>
        </w:trPr>
        <w:tc>
          <w:tcPr>
            <w:tcW w:w="18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AI Act art. 4</w:t>
            </w:r>
          </w:p>
        </w:tc>
        <w:tc>
          <w:tcPr>
            <w:tcW w:w="22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Maîtrise de l’IA</w:t>
            </w:r>
          </w:p>
        </w:tc>
        <w:tc>
          <w:tcPr>
            <w:tcW w:w="3737"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Sensibiliser l’équipe</w:t>
            </w:r>
          </w:p>
        </w:tc>
        <w:tc>
          <w:tcPr>
            <w:tcW w:w="18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r>
      <w:tr>
        <w:trPr>
          <w:cantSplit/>
        </w:trPr>
        <w:tc>
          <w:tcPr>
            <w:tcW w:w="18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INCO art. 9 et 14</w:t>
            </w:r>
          </w:p>
        </w:tc>
        <w:tc>
          <w:tcPr>
            <w:tcW w:w="22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Allergènes</w:t>
            </w:r>
          </w:p>
        </w:tc>
        <w:tc>
          <w:tcPr>
            <w:tcW w:w="3737"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Filtrage en code + renvoi vers la fiche produit</w:t>
            </w:r>
          </w:p>
        </w:tc>
        <w:tc>
          <w:tcPr>
            <w:tcW w:w="1801"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Partiel</w:t>
            </w:r>
          </w:p>
        </w:tc>
      </w:tr>
      <w:tr>
        <w:trPr>
          <w:cantSplit/>
        </w:trPr>
        <w:tc>
          <w:tcPr>
            <w:tcW w:w="18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Code conso. L121-2</w:t>
            </w:r>
          </w:p>
        </w:tc>
        <w:tc>
          <w:tcPr>
            <w:tcW w:w="22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Pas d’information trompeuse</w:t>
            </w:r>
          </w:p>
        </w:tc>
        <w:tc>
          <w:tcPr>
            <w:tcW w:w="3737"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Fournir les vraies informations ou rediriger</w:t>
            </w:r>
          </w:p>
        </w:tc>
        <w:tc>
          <w:tcPr>
            <w:tcW w:w="1801"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r>
      <w:tr>
        <w:trPr>
          <w:cantSplit/>
        </w:trPr>
        <w:tc>
          <w:tcPr>
            <w:tcW w:w="18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Chapitre V RGPD</w:t>
            </w:r>
          </w:p>
        </w:tc>
        <w:tc>
          <w:tcPr>
            <w:tcW w:w="22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Transferts hors UE</w:t>
            </w:r>
          </w:p>
        </w:tc>
        <w:tc>
          <w:tcPr>
            <w:tcW w:w="3737"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Modèle local : aucun transfert</w:t>
            </w:r>
          </w:p>
        </w:tc>
        <w:tc>
          <w:tcPr>
            <w:tcW w:w="1801"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Conforme</w:t>
            </w:r>
          </w:p>
        </w:tc>
      </w:tr>
    </w:tbl>
    <w:p>
      <w:pPr>
        <w:pStyle w:val="Normal"/>
        <w:spacing w:before="0" w:after="80"/>
        <w:rPr/>
      </w:pPr>
      <w:r>
        <w:rPr/>
      </w:r>
    </w:p>
    <w:p>
      <w:pPr>
        <w:pStyle w:val="Heading2"/>
        <w:rPr/>
      </w:pPr>
      <w:bookmarkStart w:id="13" w:name="_Toc14"/>
      <w:r>
        <w:rPr/>
        <w:t>2.6 Sources</w:t>
      </w:r>
      <w:bookmarkEnd w:id="13"/>
    </w:p>
    <w:p>
      <w:pPr>
        <w:pStyle w:val="ListParagraph"/>
        <w:numPr>
          <w:ilvl w:val="0"/>
          <w:numId w:val="1"/>
        </w:numPr>
        <w:spacing w:before="0" w:after="60"/>
        <w:rPr/>
      </w:pPr>
      <w:r>
        <w:rPr/>
        <w:t xml:space="preserve">RGPD — Règlement (UE) 2016/679 : </w:t>
      </w:r>
      <w:hyperlink r:id="rId2">
        <w:r>
          <w:rPr>
            <w:rStyle w:val="Hyperlink"/>
          </w:rPr>
          <w:t>https://eur-lex.europa.eu/eli/reg/2016/679/oj</w:t>
        </w:r>
      </w:hyperlink>
    </w:p>
    <w:p>
      <w:pPr>
        <w:pStyle w:val="ListParagraph"/>
        <w:numPr>
          <w:ilvl w:val="0"/>
          <w:numId w:val="1"/>
        </w:numPr>
        <w:spacing w:before="0" w:after="60"/>
        <w:rPr/>
      </w:pPr>
      <w:r>
        <w:rPr/>
        <w:t xml:space="preserve">AI Act — Règlement (UE) 2024/1689 : </w:t>
      </w:r>
      <w:hyperlink r:id="rId3">
        <w:r>
          <w:rPr>
            <w:rStyle w:val="Hyperlink"/>
          </w:rPr>
          <w:t>https://eur-lex.europa.eu/eli/reg/2024/1689/oj</w:t>
        </w:r>
      </w:hyperlink>
    </w:p>
    <w:p>
      <w:pPr>
        <w:pStyle w:val="ListParagraph"/>
        <w:numPr>
          <w:ilvl w:val="0"/>
          <w:numId w:val="1"/>
        </w:numPr>
        <w:spacing w:before="0" w:after="60"/>
        <w:rPr/>
      </w:pPr>
      <w:r>
        <w:rPr/>
        <w:t xml:space="preserve">Règlement INCO (UE) 1169/2011 : </w:t>
      </w:r>
      <w:hyperlink r:id="rId4">
        <w:r>
          <w:rPr>
            <w:rStyle w:val="Hyperlink"/>
          </w:rPr>
          <w:t>https://eur-lex.europa.eu/eli/reg/2011/1169/oj</w:t>
        </w:r>
      </w:hyperlink>
    </w:p>
    <w:p>
      <w:pPr>
        <w:pStyle w:val="ListParagraph"/>
        <w:numPr>
          <w:ilvl w:val="0"/>
          <w:numId w:val="1"/>
        </w:numPr>
        <w:spacing w:before="0" w:after="60"/>
        <w:rPr/>
      </w:pPr>
      <w:r>
        <w:rPr/>
        <w:t xml:space="preserve">Directive (UE) 2024/2853 produits défectueux : </w:t>
      </w:r>
      <w:hyperlink r:id="rId5">
        <w:r>
          <w:rPr>
            <w:rStyle w:val="Hyperlink"/>
          </w:rPr>
          <w:t>https://eur-lex.europa.eu/eli/dir/2024/2853/oj</w:t>
        </w:r>
      </w:hyperlink>
    </w:p>
    <w:p>
      <w:pPr>
        <w:pStyle w:val="ListParagraph"/>
        <w:numPr>
          <w:ilvl w:val="0"/>
          <w:numId w:val="1"/>
        </w:numPr>
        <w:spacing w:before="0" w:after="60"/>
        <w:rPr/>
      </w:pPr>
      <w:r>
        <w:rPr/>
        <w:t xml:space="preserve">Loi Informatique et Libertés et Code de la consommation (Légifrance) : </w:t>
      </w:r>
      <w:hyperlink r:id="rId6">
        <w:r>
          <w:rPr>
            <w:rStyle w:val="Hyperlink"/>
          </w:rPr>
          <w:t>https://www.legifrance.gouv.fr</w:t>
        </w:r>
      </w:hyperlink>
    </w:p>
    <w:p>
      <w:pPr>
        <w:pStyle w:val="ListParagraph"/>
        <w:numPr>
          <w:ilvl w:val="0"/>
          <w:numId w:val="1"/>
        </w:numPr>
        <w:spacing w:before="0" w:after="60"/>
        <w:rPr/>
      </w:pPr>
      <w:r>
        <w:rPr/>
        <w:t xml:space="preserve">CNIL — dossier intelligence artificielle : </w:t>
      </w:r>
      <w:hyperlink r:id="rId7">
        <w:r>
          <w:rPr>
            <w:rStyle w:val="Hyperlink"/>
          </w:rPr>
          <w:t>https://www.cnil.fr/fr/intelligence-artificielle</w:t>
        </w:r>
      </w:hyperlink>
    </w:p>
    <w:p>
      <w:pPr>
        <w:pStyle w:val="ListParagraph"/>
        <w:numPr>
          <w:ilvl w:val="0"/>
          <w:numId w:val="1"/>
        </w:numPr>
        <w:spacing w:before="0" w:after="60"/>
        <w:rPr/>
      </w:pPr>
      <w:r>
        <w:rPr/>
        <w:t xml:space="preserve">CNIL — registre, AIPD, durées de conservation, guide sécurité : </w:t>
      </w:r>
      <w:hyperlink r:id="rId8">
        <w:r>
          <w:rPr>
            <w:rStyle w:val="Hyperlink"/>
          </w:rPr>
          <w:t>https://www.cnil.fr</w:t>
        </w:r>
      </w:hyperlink>
    </w:p>
    <w:p>
      <w:pPr>
        <w:pStyle w:val="ListParagraph"/>
        <w:numPr>
          <w:ilvl w:val="0"/>
          <w:numId w:val="1"/>
        </w:numPr>
        <w:spacing w:before="0" w:after="60"/>
        <w:rPr/>
      </w:pPr>
      <w:r>
        <w:rPr/>
        <w:t xml:space="preserve">RGESN — référentiel d’écoconception : </w:t>
      </w:r>
      <w:hyperlink r:id="rId9">
        <w:r>
          <w:rPr>
            <w:rStyle w:val="Hyperlink"/>
          </w:rPr>
          <w:t>https://ecoresponsable.numerique.gouv.fr</w:t>
        </w:r>
      </w:hyperlink>
    </w:p>
    <w:p>
      <w:pPr>
        <w:pStyle w:val="ListParagraph"/>
        <w:numPr>
          <w:ilvl w:val="0"/>
          <w:numId w:val="1"/>
        </w:numPr>
        <w:spacing w:before="0" w:after="60"/>
        <w:rPr/>
      </w:pPr>
      <w:r>
        <w:rPr/>
        <w:t xml:space="preserve">AI Act — version consolidée navigable (non officielle) : </w:t>
      </w:r>
      <w:hyperlink r:id="rId10">
        <w:r>
          <w:rPr>
            <w:rStyle w:val="Hyperlink"/>
          </w:rPr>
          <w:t>https://artificialintelligenceact.eu</w:t>
        </w:r>
      </w:hyperlink>
      <w:r>
        <w:br w:type="page"/>
      </w:r>
    </w:p>
    <w:p>
      <w:pPr>
        <w:pStyle w:val="Heading1"/>
        <w:rPr/>
      </w:pPr>
      <w:bookmarkStart w:id="14" w:name="_Toc15"/>
      <w:r>
        <w:rPr/>
        <w:t>3. Audit de conformité</w:t>
      </w:r>
      <w:bookmarkEnd w:id="14"/>
    </w:p>
    <w:p>
      <w:pPr>
        <w:pStyle w:val="Heading2"/>
        <w:rPr/>
      </w:pPr>
      <w:bookmarkStart w:id="15" w:name="_Toc16"/>
      <w:r>
        <w:rPr/>
        <w:t>3.1 Classification AI Act</w:t>
      </w:r>
      <w:bookmarkEnd w:id="15"/>
    </w:p>
    <w:tbl>
      <w:tblPr>
        <w:tblW w:w="9638" w:type="dxa"/>
        <w:jc w:val="start"/>
        <w:tblInd w:w="0" w:type="dxa"/>
        <w:tblLayout w:type="fixed"/>
        <w:tblCellMar>
          <w:top w:w="70" w:type="dxa"/>
          <w:start w:w="100" w:type="dxa"/>
          <w:bottom w:w="70" w:type="dxa"/>
          <w:end w:w="100" w:type="dxa"/>
        </w:tblCellMar>
      </w:tblPr>
      <w:tblGrid>
        <w:gridCol w:w="3000"/>
        <w:gridCol w:w="1600"/>
        <w:gridCol w:w="5038"/>
      </w:tblGrid>
      <w:tr>
        <w:trPr>
          <w:tblHeader w:val="true"/>
        </w:trPr>
        <w:tc>
          <w:tcPr>
            <w:tcW w:w="30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Question</w:t>
            </w:r>
          </w:p>
        </w:tc>
        <w:tc>
          <w:tcPr>
            <w:tcW w:w="16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Réponse</w:t>
            </w:r>
          </w:p>
        </w:tc>
        <w:tc>
          <w:tcPr>
            <w:tcW w:w="5038"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Justification</w:t>
            </w:r>
          </w:p>
        </w:tc>
      </w:tr>
      <w:tr>
        <w:trPr>
          <w:cantSplit/>
        </w:trPr>
        <w:tc>
          <w:tcPr>
            <w:tcW w:w="3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Est-ce un système d’IA (art. 3.1) ?</w:t>
            </w:r>
          </w:p>
        </w:tc>
        <w:tc>
          <w:tcPr>
            <w:tcW w:w="16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Oui</w:t>
            </w:r>
          </w:p>
        </w:tc>
        <w:tc>
          <w:tcPr>
            <w:tcW w:w="50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Système fondé sur un modèle de langage qui génère des recommandations à partir des entrées de l’utilisateur</w:t>
            </w:r>
          </w:p>
        </w:tc>
      </w:tr>
      <w:tr>
        <w:trPr>
          <w:cantSplit/>
        </w:trPr>
        <w:tc>
          <w:tcPr>
            <w:tcW w:w="30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Pratique interdite (art. 5) ?</w:t>
            </w:r>
          </w:p>
        </w:tc>
        <w:tc>
          <w:tcPr>
            <w:tcW w:w="16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Non</w:t>
            </w:r>
          </w:p>
        </w:tc>
        <w:tc>
          <w:tcPr>
            <w:tcW w:w="50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Pas de manipulation subliminale, de notation sociale ni de biométrie</w:t>
            </w:r>
          </w:p>
        </w:tc>
      </w:tr>
      <w:tr>
        <w:trPr>
          <w:cantSplit/>
        </w:trPr>
        <w:tc>
          <w:tcPr>
            <w:tcW w:w="3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Haut risque (annexes I et III) ?</w:t>
            </w:r>
          </w:p>
        </w:tc>
        <w:tc>
          <w:tcPr>
            <w:tcW w:w="16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Non</w:t>
            </w:r>
          </w:p>
        </w:tc>
        <w:tc>
          <w:tcPr>
            <w:tcW w:w="50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Le conseil commercial en chocolats ne figure dans aucun domaine listé</w:t>
            </w:r>
          </w:p>
        </w:tc>
      </w:tr>
      <w:tr>
        <w:trPr>
          <w:cantSplit/>
        </w:trPr>
        <w:tc>
          <w:tcPr>
            <w:tcW w:w="30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Interaction avec des personnes (art. 50.1) ?</w:t>
            </w:r>
          </w:p>
        </w:tc>
        <w:tc>
          <w:tcPr>
            <w:tcW w:w="16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Oui</w:t>
            </w:r>
          </w:p>
        </w:tc>
        <w:tc>
          <w:tcPr>
            <w:tcW w:w="50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Chatbot ouvert au public sur le site</w:t>
            </w:r>
          </w:p>
        </w:tc>
      </w:tr>
      <w:tr>
        <w:trPr>
          <w:cantSplit/>
        </w:trPr>
        <w:tc>
          <w:tcPr>
            <w:tcW w:w="3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Niveau retenu</w:t>
            </w:r>
          </w:p>
        </w:tc>
        <w:tc>
          <w:tcPr>
            <w:tcW w:w="16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b/>
                <w:bCs/>
                <w:sz w:val="19"/>
                <w:szCs w:val="19"/>
              </w:rPr>
              <w:t>Risque limité</w:t>
            </w:r>
          </w:p>
        </w:tc>
        <w:tc>
          <w:tcPr>
            <w:tcW w:w="50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Obligation de transparence + bonnes pratiques volontaires</w:t>
            </w:r>
          </w:p>
        </w:tc>
      </w:tr>
    </w:tbl>
    <w:p>
      <w:pPr>
        <w:pStyle w:val="Normal"/>
        <w:spacing w:before="0" w:after="80"/>
        <w:rPr/>
      </w:pPr>
      <w:r>
        <w:rPr/>
      </w:r>
    </w:p>
    <w:p>
      <w:pPr>
        <w:pStyle w:val="Heading2"/>
        <w:rPr/>
      </w:pPr>
      <w:bookmarkStart w:id="16" w:name="_Toc17"/>
      <w:r>
        <w:rPr/>
        <w:t>3.2 Inventaire des données personnelles</w:t>
      </w:r>
      <w:bookmarkEnd w:id="16"/>
    </w:p>
    <w:tbl>
      <w:tblPr>
        <w:tblW w:w="9638" w:type="dxa"/>
        <w:jc w:val="start"/>
        <w:tblInd w:w="0" w:type="dxa"/>
        <w:tblLayout w:type="fixed"/>
        <w:tblCellMar>
          <w:top w:w="70" w:type="dxa"/>
          <w:start w:w="100" w:type="dxa"/>
          <w:bottom w:w="70" w:type="dxa"/>
          <w:end w:w="100" w:type="dxa"/>
        </w:tblCellMar>
      </w:tblPr>
      <w:tblGrid>
        <w:gridCol w:w="1499"/>
        <w:gridCol w:w="1700"/>
        <w:gridCol w:w="1501"/>
        <w:gridCol w:w="2300"/>
        <w:gridCol w:w="2638"/>
      </w:tblGrid>
      <w:tr>
        <w:trPr>
          <w:tblHeader w:val="true"/>
        </w:trPr>
        <w:tc>
          <w:tcPr>
            <w:tcW w:w="149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Donnée</w:t>
            </w:r>
          </w:p>
        </w:tc>
        <w:tc>
          <w:tcPr>
            <w:tcW w:w="17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Catégorie</w:t>
            </w:r>
          </w:p>
        </w:tc>
        <w:tc>
          <w:tcPr>
            <w:tcW w:w="1501"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Nécessaire ?</w:t>
            </w:r>
          </w:p>
        </w:tc>
        <w:tc>
          <w:tcPr>
            <w:tcW w:w="23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Aujourd’hui</w:t>
            </w:r>
          </w:p>
        </w:tc>
        <w:tc>
          <w:tcPr>
            <w:tcW w:w="2638"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Décision proposée</w:t>
            </w:r>
          </w:p>
        </w:tc>
      </w:tr>
      <w:tr>
        <w:trPr>
          <w:cantSplit/>
        </w:trPr>
        <w:tc>
          <w:tcPr>
            <w:tcW w:w="14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Prénom et nom</w:t>
            </w:r>
          </w:p>
        </w:tc>
        <w:tc>
          <w:tcPr>
            <w:tcW w:w="17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Identifiante</w:t>
            </w:r>
          </w:p>
        </w:tc>
        <w:tc>
          <w:tcPr>
            <w:tcW w:w="15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Non (confort)</w:t>
            </w:r>
          </w:p>
        </w:tc>
        <w:tc>
          <w:tcPr>
            <w:tcW w:w="23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Stocké sans limite, envoyé au LLM, visible au back-office</w:t>
            </w:r>
          </w:p>
        </w:tc>
        <w:tc>
          <w:tcPr>
            <w:tcW w:w="26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Supprimer le champ</w:t>
            </w:r>
          </w:p>
        </w:tc>
      </w:tr>
      <w:tr>
        <w:trPr>
          <w:cantSplit/>
        </w:trPr>
        <w:tc>
          <w:tcPr>
            <w:tcW w:w="14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Email</w:t>
            </w:r>
          </w:p>
        </w:tc>
        <w:tc>
          <w:tcPr>
            <w:tcW w:w="17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Identifiante, contact</w:t>
            </w:r>
          </w:p>
        </w:tc>
        <w:tc>
          <w:tcPr>
            <w:tcW w:w="15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Non</w:t>
            </w:r>
          </w:p>
        </w:tc>
        <w:tc>
          <w:tcPr>
            <w:tcW w:w="23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Idem</w:t>
            </w:r>
          </w:p>
        </w:tc>
        <w:tc>
          <w:tcPr>
            <w:tcW w:w="26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Supprimer ; newsletter uniquement via consentement séparé</w:t>
            </w:r>
          </w:p>
        </w:tc>
      </w:tr>
      <w:tr>
        <w:trPr>
          <w:cantSplit/>
        </w:trPr>
        <w:tc>
          <w:tcPr>
            <w:tcW w:w="14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Allergies</w:t>
            </w:r>
          </w:p>
        </w:tc>
        <w:tc>
          <w:tcPr>
            <w:tcW w:w="17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b/>
                <w:bCs/>
                <w:sz w:val="19"/>
                <w:szCs w:val="19"/>
              </w:rPr>
              <w:t>Santé (art. 9)</w:t>
            </w:r>
          </w:p>
        </w:tc>
        <w:tc>
          <w:tcPr>
            <w:tcW w:w="15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Oui, pendant la session</w:t>
            </w:r>
          </w:p>
        </w:tc>
        <w:tc>
          <w:tcPr>
            <w:tcW w:w="23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Stockées sans limite ni consentement</w:t>
            </w:r>
          </w:p>
        </w:tc>
        <w:tc>
          <w:tcPr>
            <w:tcW w:w="26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 xml:space="preserve">Liste fermée des 14 allergènes, utilisée en session pour filtrer le catalogue, </w:t>
            </w:r>
            <w:r>
              <w:rPr>
                <w:b/>
                <w:bCs/>
                <w:sz w:val="19"/>
                <w:szCs w:val="19"/>
              </w:rPr>
              <w:t>jamais stockée</w:t>
            </w:r>
          </w:p>
        </w:tc>
      </w:tr>
      <w:tr>
        <w:trPr>
          <w:cantSplit/>
        </w:trPr>
        <w:tc>
          <w:tcPr>
            <w:tcW w:w="14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Âge des enfants</w:t>
            </w:r>
          </w:p>
        </w:tc>
        <w:tc>
          <w:tcPr>
            <w:tcW w:w="17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b/>
                <w:bCs/>
                <w:sz w:val="19"/>
                <w:szCs w:val="19"/>
              </w:rPr>
              <w:t>Mineurs tiers</w:t>
            </w:r>
          </w:p>
        </w:tc>
        <w:tc>
          <w:tcPr>
            <w:tcW w:w="15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Non</w:t>
            </w:r>
          </w:p>
        </w:tc>
        <w:tc>
          <w:tcPr>
            <w:tcW w:w="23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Stocké sans limite</w:t>
            </w:r>
          </w:p>
        </w:tc>
        <w:tc>
          <w:tcPr>
            <w:tcW w:w="26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Remplacer par une case « cadeau pour enfant »</w:t>
            </w:r>
          </w:p>
        </w:tc>
      </w:tr>
      <w:tr>
        <w:trPr>
          <w:cantSplit/>
        </w:trPr>
        <w:tc>
          <w:tcPr>
            <w:tcW w:w="14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Contenu des messages</w:t>
            </w:r>
          </w:p>
        </w:tc>
        <w:tc>
          <w:tcPr>
            <w:tcW w:w="17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Libre, peut contenir des données de santé</w:t>
            </w:r>
          </w:p>
        </w:tc>
        <w:tc>
          <w:tcPr>
            <w:tcW w:w="15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Oui, pour la conversation en cours</w:t>
            </w:r>
          </w:p>
        </w:tc>
        <w:tc>
          <w:tcPr>
            <w:tcW w:w="23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Stocké sans limite, visible au back-office</w:t>
            </w:r>
          </w:p>
        </w:tc>
        <w:tc>
          <w:tcPr>
            <w:tcW w:w="26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30 jours max puis suppression ; masquage des emails / téléphones</w:t>
            </w:r>
          </w:p>
        </w:tc>
      </w:tr>
      <w:tr>
        <w:trPr>
          <w:cantSplit/>
        </w:trPr>
        <w:tc>
          <w:tcPr>
            <w:tcW w:w="14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Identifiant de session</w:t>
            </w:r>
          </w:p>
        </w:tc>
        <w:tc>
          <w:tcPr>
            <w:tcW w:w="17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Identifiant en ligne (traceur)</w:t>
            </w:r>
          </w:p>
        </w:tc>
        <w:tc>
          <w:tcPr>
            <w:tcW w:w="15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Oui (technique)</w:t>
            </w:r>
          </w:p>
        </w:tc>
        <w:tc>
          <w:tcPr>
            <w:tcW w:w="23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Sans durée</w:t>
            </w:r>
          </w:p>
        </w:tc>
        <w:tc>
          <w:tcPr>
            <w:tcW w:w="26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Même durée que les messages ; information de l’utilisateur</w:t>
            </w:r>
          </w:p>
        </w:tc>
      </w:tr>
      <w:tr>
        <w:trPr>
          <w:cantSplit/>
        </w:trPr>
        <w:tc>
          <w:tcPr>
            <w:tcW w:w="14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Horodatages</w:t>
            </w:r>
          </w:p>
        </w:tc>
        <w:tc>
          <w:tcPr>
            <w:tcW w:w="17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Métadonnées</w:t>
            </w:r>
          </w:p>
        </w:tc>
        <w:tc>
          <w:tcPr>
            <w:tcW w:w="15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Oui</w:t>
            </w:r>
          </w:p>
        </w:tc>
        <w:tc>
          <w:tcPr>
            <w:tcW w:w="23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Sans durée</w:t>
            </w:r>
          </w:p>
        </w:tc>
        <w:tc>
          <w:tcPr>
            <w:tcW w:w="26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Suivent la donnée à laquelle ils sont attachés</w:t>
            </w:r>
          </w:p>
        </w:tc>
      </w:tr>
      <w:tr>
        <w:trPr>
          <w:cantSplit/>
        </w:trPr>
        <w:tc>
          <w:tcPr>
            <w:tcW w:w="14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Logs console</w:t>
            </w:r>
          </w:p>
        </w:tc>
        <w:tc>
          <w:tcPr>
            <w:tcW w:w="17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Copie de toutes les données</w:t>
            </w:r>
          </w:p>
        </w:tc>
        <w:tc>
          <w:tcPr>
            <w:tcW w:w="15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Non</w:t>
            </w:r>
          </w:p>
        </w:tc>
        <w:tc>
          <w:tcPr>
            <w:tcW w:w="23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Profil complet imprimé à chaque message</w:t>
            </w:r>
          </w:p>
        </w:tc>
        <w:tc>
          <w:tcPr>
            <w:tcW w:w="26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Logs sans données personnelles, conservés 6 mois</w:t>
            </w:r>
          </w:p>
        </w:tc>
      </w:tr>
    </w:tbl>
    <w:p>
      <w:pPr>
        <w:pStyle w:val="Normal"/>
        <w:spacing w:before="0" w:after="80"/>
        <w:rPr/>
      </w:pPr>
      <w:r>
        <w:rPr/>
      </w:r>
    </w:p>
    <w:p>
      <w:pPr>
        <w:pStyle w:val="Heading2"/>
        <w:rPr/>
      </w:pPr>
      <w:bookmarkStart w:id="17" w:name="_Toc18"/>
      <w:r>
        <w:rPr/>
        <w:t>3.3 Projet de registre des activités de traitement (art. 30)</w:t>
      </w:r>
      <w:bookmarkEnd w:id="17"/>
    </w:p>
    <w:p>
      <w:pPr>
        <w:pStyle w:val="Normal"/>
        <w:spacing w:lineRule="auto" w:line="276" w:before="0" w:after="120"/>
        <w:rPr/>
      </w:pPr>
      <w:r>
        <w:rPr>
          <w:i/>
          <w:iCs/>
        </w:rPr>
        <w:t>Version cible, après corrections. À compléter avec les informations administratives de la Maison Delcourt.</w:t>
      </w:r>
    </w:p>
    <w:tbl>
      <w:tblPr>
        <w:tblW w:w="9638" w:type="dxa"/>
        <w:jc w:val="start"/>
        <w:tblInd w:w="0" w:type="dxa"/>
        <w:tblLayout w:type="fixed"/>
        <w:tblCellMar>
          <w:top w:w="70" w:type="dxa"/>
          <w:start w:w="100" w:type="dxa"/>
          <w:bottom w:w="70" w:type="dxa"/>
          <w:end w:w="100" w:type="dxa"/>
        </w:tblCellMar>
      </w:tblPr>
      <w:tblGrid>
        <w:gridCol w:w="2600"/>
        <w:gridCol w:w="7038"/>
      </w:tblGrid>
      <w:tr>
        <w:trPr>
          <w:tblHeader w:val="true"/>
        </w:trPr>
        <w:tc>
          <w:tcPr>
            <w:tcW w:w="26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Rubrique</w:t>
            </w:r>
          </w:p>
        </w:tc>
        <w:tc>
          <w:tcPr>
            <w:tcW w:w="7038"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Contenu</w:t>
            </w:r>
          </w:p>
        </w:tc>
      </w:tr>
      <w:tr>
        <w:trPr>
          <w:cantSplit/>
        </w:trPr>
        <w:tc>
          <w:tcPr>
            <w:tcW w:w="26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Nom du traitement</w:t>
            </w:r>
          </w:p>
        </w:tc>
        <w:tc>
          <w:tcPr>
            <w:tcW w:w="70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ChocoBot — assistant de conseil en coffrets</w:t>
            </w:r>
          </w:p>
        </w:tc>
      </w:tr>
      <w:tr>
        <w:trPr>
          <w:cantSplit/>
        </w:trPr>
        <w:tc>
          <w:tcPr>
            <w:tcW w:w="26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Responsable de traitement</w:t>
            </w:r>
          </w:p>
        </w:tc>
        <w:tc>
          <w:tcPr>
            <w:tcW w:w="70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Maison Delcourt, [adresse], [SIRET] ; contact données personnelles : [email dédié]</w:t>
            </w:r>
          </w:p>
        </w:tc>
      </w:tr>
      <w:tr>
        <w:trPr>
          <w:cantSplit/>
        </w:trPr>
        <w:tc>
          <w:tcPr>
            <w:tcW w:w="26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Sous-traitants</w:t>
            </w:r>
          </w:p>
        </w:tc>
        <w:tc>
          <w:tcPr>
            <w:tcW w:w="70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[Hébergeur / prestataire de maintenance] — contrat art. 28 à signer ; outil de suivi d’erreurs (Sentry ou équivalent) configuré pour ne recevoir aucune donnée personnelle</w:t>
            </w:r>
          </w:p>
        </w:tc>
      </w:tr>
      <w:tr>
        <w:trPr>
          <w:cantSplit/>
        </w:trPr>
        <w:tc>
          <w:tcPr>
            <w:tcW w:w="26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Finalités</w:t>
            </w:r>
          </w:p>
        </w:tc>
        <w:tc>
          <w:tcPr>
            <w:tcW w:w="70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1. Conseiller le client dans le choix d’un coffret (goûts, budget, allergies).</w:t>
            </w:r>
          </w:p>
          <w:p>
            <w:pPr>
              <w:pStyle w:val="Normal"/>
              <w:spacing w:lineRule="auto" w:line="252" w:before="0" w:after="40"/>
              <w:rPr/>
            </w:pPr>
            <w:r>
              <w:rPr>
                <w:sz w:val="19"/>
                <w:szCs w:val="19"/>
              </w:rPr>
              <w:t>2. Assurer le bon fonctionnement et la sécurité du service (journalisation, suivi d’erreurs).</w:t>
            </w:r>
          </w:p>
        </w:tc>
      </w:tr>
      <w:tr>
        <w:trPr>
          <w:cantSplit/>
        </w:trPr>
        <w:tc>
          <w:tcPr>
            <w:tcW w:w="26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Bases légales</w:t>
            </w:r>
          </w:p>
        </w:tc>
        <w:tc>
          <w:tcPr>
            <w:tcW w:w="70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1. Mesures précontractuelles prises à la demande de la personne (art. 6.1.b) ; allergies traitées en session sur demande explicite de l’utilisateur, sans conservation.</w:t>
            </w:r>
          </w:p>
          <w:p>
            <w:pPr>
              <w:pStyle w:val="Normal"/>
              <w:spacing w:lineRule="auto" w:line="252" w:before="0" w:after="40"/>
              <w:rPr/>
            </w:pPr>
            <w:r>
              <w:rPr>
                <w:sz w:val="19"/>
                <w:szCs w:val="19"/>
              </w:rPr>
              <w:t>2. Intérêt légitime (art. 6.1.f).</w:t>
            </w:r>
          </w:p>
        </w:tc>
      </w:tr>
      <w:tr>
        <w:trPr>
          <w:cantSplit/>
        </w:trPr>
        <w:tc>
          <w:tcPr>
            <w:tcW w:w="26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Personnes concernées</w:t>
            </w:r>
          </w:p>
        </w:tc>
        <w:tc>
          <w:tcPr>
            <w:tcW w:w="70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Visiteurs du site et clients utilisant le chatbot</w:t>
            </w:r>
          </w:p>
        </w:tc>
      </w:tr>
      <w:tr>
        <w:trPr>
          <w:cantSplit/>
        </w:trPr>
        <w:tc>
          <w:tcPr>
            <w:tcW w:w="26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Catégories de données</w:t>
            </w:r>
          </w:p>
        </w:tc>
        <w:tc>
          <w:tcPr>
            <w:tcW w:w="70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Contenu des messages, identifiant de session aléatoire, allergènes déclarés (non conservés), horodatages, journaux techniques sans donnée personnelle</w:t>
            </w:r>
          </w:p>
        </w:tc>
      </w:tr>
      <w:tr>
        <w:trPr>
          <w:cantSplit/>
        </w:trPr>
        <w:tc>
          <w:tcPr>
            <w:tcW w:w="26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Données sensibles</w:t>
            </w:r>
          </w:p>
        </w:tc>
        <w:tc>
          <w:tcPr>
            <w:tcW w:w="70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Allergies (santé) : traitées uniquement en mémoire pendant la session, non stockées</w:t>
            </w:r>
          </w:p>
        </w:tc>
      </w:tr>
      <w:tr>
        <w:trPr>
          <w:cantSplit/>
        </w:trPr>
        <w:tc>
          <w:tcPr>
            <w:tcW w:w="26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Destinataires</w:t>
            </w:r>
          </w:p>
        </w:tc>
        <w:tc>
          <w:tcPr>
            <w:tcW w:w="70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Équipe service client habilitée (accès authentifié au back-office) ; aucun tiers</w:t>
            </w:r>
          </w:p>
        </w:tc>
      </w:tr>
      <w:tr>
        <w:trPr>
          <w:cantSplit/>
        </w:trPr>
        <w:tc>
          <w:tcPr>
            <w:tcW w:w="26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Transferts hors UE</w:t>
            </w:r>
          </w:p>
        </w:tc>
        <w:tc>
          <w:tcPr>
            <w:tcW w:w="70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 (modèle exécuté localement / hébergement UE)</w:t>
            </w:r>
          </w:p>
        </w:tc>
      </w:tr>
      <w:tr>
        <w:trPr>
          <w:cantSplit/>
        </w:trPr>
        <w:tc>
          <w:tcPr>
            <w:tcW w:w="26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Durées de conservation</w:t>
            </w:r>
          </w:p>
        </w:tc>
        <w:tc>
          <w:tcPr>
            <w:tcW w:w="70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Messages et identifiant de session : 30 jours. Journaux techniques : 6 mois. Statistiques : anonymisées, sans limite.</w:t>
            </w:r>
          </w:p>
        </w:tc>
      </w:tr>
      <w:tr>
        <w:trPr>
          <w:cantSplit/>
        </w:trPr>
        <w:tc>
          <w:tcPr>
            <w:tcW w:w="26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Mesures de sécurité</w:t>
            </w:r>
          </w:p>
        </w:tc>
        <w:tc>
          <w:tcPr>
            <w:tcW w:w="70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Authentification du back-office, HTTPS, logs sans données personnelles, purge automatique, sauvegardes, limitation de débit, accès habilités</w:t>
            </w:r>
          </w:p>
        </w:tc>
      </w:tr>
      <w:tr>
        <w:trPr>
          <w:cantSplit/>
        </w:trPr>
        <w:tc>
          <w:tcPr>
            <w:tcW w:w="26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Droits des personnes</w:t>
            </w:r>
          </w:p>
        </w:tc>
        <w:tc>
          <w:tcPr>
            <w:tcW w:w="70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Bouton « Effacer mes données » dans le chat ; demande à [email dédié] ; réponse sous 1 mois</w:t>
            </w:r>
          </w:p>
        </w:tc>
      </w:tr>
    </w:tbl>
    <w:p>
      <w:pPr>
        <w:pStyle w:val="Normal"/>
        <w:spacing w:before="0" w:after="80"/>
        <w:rPr/>
      </w:pPr>
      <w:r>
        <w:rPr/>
      </w:r>
    </w:p>
    <w:p>
      <w:pPr>
        <w:pStyle w:val="Heading2"/>
        <w:rPr/>
      </w:pPr>
      <w:bookmarkStart w:id="18" w:name="_Toc19"/>
      <w:r>
        <w:rPr/>
        <w:t>3.4 Fiche de conformité</w:t>
      </w:r>
      <w:bookmarkEnd w:id="18"/>
    </w:p>
    <w:tbl>
      <w:tblPr>
        <w:tblW w:w="9638" w:type="dxa"/>
        <w:jc w:val="start"/>
        <w:tblInd w:w="0" w:type="dxa"/>
        <w:tblLayout w:type="fixed"/>
        <w:tblCellMar>
          <w:top w:w="70" w:type="dxa"/>
          <w:start w:w="100" w:type="dxa"/>
          <w:bottom w:w="70" w:type="dxa"/>
          <w:end w:w="100" w:type="dxa"/>
        </w:tblCellMar>
      </w:tblPr>
      <w:tblGrid>
        <w:gridCol w:w="500"/>
        <w:gridCol w:w="2599"/>
        <w:gridCol w:w="1601"/>
        <w:gridCol w:w="1500"/>
        <w:gridCol w:w="3438"/>
      </w:tblGrid>
      <w:tr>
        <w:trPr>
          <w:tblHeader w:val="true"/>
        </w:trPr>
        <w:tc>
          <w:tcPr>
            <w:tcW w:w="5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w:t>
            </w:r>
          </w:p>
        </w:tc>
        <w:tc>
          <w:tcPr>
            <w:tcW w:w="259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Exigence</w:t>
            </w:r>
          </w:p>
        </w:tc>
        <w:tc>
          <w:tcPr>
            <w:tcW w:w="1601"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Référence</w:t>
            </w:r>
          </w:p>
        </w:tc>
        <w:tc>
          <w:tcPr>
            <w:tcW w:w="15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État actuel</w:t>
            </w:r>
          </w:p>
        </w:tc>
        <w:tc>
          <w:tcPr>
            <w:tcW w:w="3438"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Action corrective</w:t>
            </w:r>
          </w:p>
        </w:tc>
      </w:tr>
      <w:tr>
        <w:trPr>
          <w:cantSplit/>
        </w:trPr>
        <w:tc>
          <w:tcPr>
            <w:tcW w:w="5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1</w:t>
            </w:r>
          </w:p>
        </w:tc>
        <w:tc>
          <w:tcPr>
            <w:tcW w:w="25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Informer que l’utilisateur parle à une IA</w:t>
            </w:r>
          </w:p>
        </w:tc>
        <w:tc>
          <w:tcPr>
            <w:tcW w:w="16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AI Act art. 50.1</w:t>
            </w:r>
          </w:p>
        </w:tc>
        <w:tc>
          <w:tcPr>
            <w:tcW w:w="1500"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c>
          <w:tcPr>
            <w:tcW w:w="34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Bandeau « Assistant virtuel (IA) », suppression de la persona humaine</w:t>
            </w:r>
          </w:p>
        </w:tc>
      </w:tr>
      <w:tr>
        <w:trPr>
          <w:cantSplit/>
        </w:trPr>
        <w:tc>
          <w:tcPr>
            <w:tcW w:w="5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2</w:t>
            </w:r>
          </w:p>
        </w:tc>
        <w:tc>
          <w:tcPr>
            <w:tcW w:w="25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Mention d’information RGPD</w:t>
            </w:r>
          </w:p>
        </w:tc>
        <w:tc>
          <w:tcPr>
            <w:tcW w:w="16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RGPD art. 13</w:t>
            </w:r>
          </w:p>
        </w:tc>
        <w:tc>
          <w:tcPr>
            <w:tcW w:w="1500"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c>
          <w:tcPr>
            <w:tcW w:w="34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Texte court sous le formulaire + lien vers la politique</w:t>
            </w:r>
          </w:p>
        </w:tc>
      </w:tr>
      <w:tr>
        <w:trPr>
          <w:cantSplit/>
        </w:trPr>
        <w:tc>
          <w:tcPr>
            <w:tcW w:w="5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3</w:t>
            </w:r>
          </w:p>
        </w:tc>
        <w:tc>
          <w:tcPr>
            <w:tcW w:w="25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Minimisation des données collectées</w:t>
            </w:r>
          </w:p>
        </w:tc>
        <w:tc>
          <w:tcPr>
            <w:tcW w:w="16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RGPD art. 5.1.c</w:t>
            </w:r>
          </w:p>
        </w:tc>
        <w:tc>
          <w:tcPr>
            <w:tcW w:w="1500"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c>
          <w:tcPr>
            <w:tcW w:w="34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Retirer nom, email, âge des enfants</w:t>
            </w:r>
          </w:p>
        </w:tc>
      </w:tr>
      <w:tr>
        <w:trPr>
          <w:cantSplit/>
        </w:trPr>
        <w:tc>
          <w:tcPr>
            <w:tcW w:w="5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4</w:t>
            </w:r>
          </w:p>
        </w:tc>
        <w:tc>
          <w:tcPr>
            <w:tcW w:w="25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Traitement des données de santé</w:t>
            </w:r>
          </w:p>
        </w:tc>
        <w:tc>
          <w:tcPr>
            <w:tcW w:w="16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RGPD art. 9</w:t>
            </w:r>
          </w:p>
        </w:tc>
        <w:tc>
          <w:tcPr>
            <w:tcW w:w="1500"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c>
          <w:tcPr>
            <w:tcW w:w="34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Allergies en session uniquement, liste fermée</w:t>
            </w:r>
          </w:p>
        </w:tc>
      </w:tr>
      <w:tr>
        <w:trPr>
          <w:cantSplit/>
        </w:trPr>
        <w:tc>
          <w:tcPr>
            <w:tcW w:w="5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5</w:t>
            </w:r>
          </w:p>
        </w:tc>
        <w:tc>
          <w:tcPr>
            <w:tcW w:w="25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Durées de conservation définies et appliquées</w:t>
            </w:r>
          </w:p>
        </w:tc>
        <w:tc>
          <w:tcPr>
            <w:tcW w:w="16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RGPD art. 5.1.e</w:t>
            </w:r>
          </w:p>
        </w:tc>
        <w:tc>
          <w:tcPr>
            <w:tcW w:w="1500"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c>
          <w:tcPr>
            <w:tcW w:w="34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Purge automatique à 30 jours</w:t>
            </w:r>
          </w:p>
        </w:tc>
      </w:tr>
      <w:tr>
        <w:trPr>
          <w:cantSplit/>
        </w:trPr>
        <w:tc>
          <w:tcPr>
            <w:tcW w:w="5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6</w:t>
            </w:r>
          </w:p>
        </w:tc>
        <w:tc>
          <w:tcPr>
            <w:tcW w:w="25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Exercice des droits</w:t>
            </w:r>
          </w:p>
        </w:tc>
        <w:tc>
          <w:tcPr>
            <w:tcW w:w="16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RGPD art. 15-21</w:t>
            </w:r>
          </w:p>
        </w:tc>
        <w:tc>
          <w:tcPr>
            <w:tcW w:w="1500"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c>
          <w:tcPr>
            <w:tcW w:w="34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Route et bouton d’effacement</w:t>
            </w:r>
          </w:p>
        </w:tc>
      </w:tr>
      <w:tr>
        <w:trPr>
          <w:cantSplit/>
        </w:trPr>
        <w:tc>
          <w:tcPr>
            <w:tcW w:w="5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7</w:t>
            </w:r>
          </w:p>
        </w:tc>
        <w:tc>
          <w:tcPr>
            <w:tcW w:w="25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Sécurité du back-office</w:t>
            </w:r>
          </w:p>
        </w:tc>
        <w:tc>
          <w:tcPr>
            <w:tcW w:w="16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RGPD art. 32</w:t>
            </w:r>
          </w:p>
        </w:tc>
        <w:tc>
          <w:tcPr>
            <w:tcW w:w="1500"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c>
          <w:tcPr>
            <w:tcW w:w="34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Authentification + données masquées</w:t>
            </w:r>
          </w:p>
        </w:tc>
      </w:tr>
      <w:tr>
        <w:trPr>
          <w:cantSplit/>
        </w:trPr>
        <w:tc>
          <w:tcPr>
            <w:tcW w:w="5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8</w:t>
            </w:r>
          </w:p>
        </w:tc>
        <w:tc>
          <w:tcPr>
            <w:tcW w:w="25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Pas de données personnelles dans les logs</w:t>
            </w:r>
          </w:p>
        </w:tc>
        <w:tc>
          <w:tcPr>
            <w:tcW w:w="16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RGPD art. 32</w:t>
            </w:r>
          </w:p>
        </w:tc>
        <w:tc>
          <w:tcPr>
            <w:tcW w:w="1500"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c>
          <w:tcPr>
            <w:tcW w:w="34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Remplacer le print par un logger sans données personnelles</w:t>
            </w:r>
          </w:p>
        </w:tc>
      </w:tr>
      <w:tr>
        <w:trPr>
          <w:cantSplit/>
        </w:trPr>
        <w:tc>
          <w:tcPr>
            <w:tcW w:w="5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9</w:t>
            </w:r>
          </w:p>
        </w:tc>
        <w:tc>
          <w:tcPr>
            <w:tcW w:w="25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Registre des traitements</w:t>
            </w:r>
          </w:p>
        </w:tc>
        <w:tc>
          <w:tcPr>
            <w:tcW w:w="16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RGPD art. 30</w:t>
            </w:r>
          </w:p>
        </w:tc>
        <w:tc>
          <w:tcPr>
            <w:tcW w:w="1500"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c>
          <w:tcPr>
            <w:tcW w:w="34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Version 3.3 à valider</w:t>
            </w:r>
          </w:p>
        </w:tc>
      </w:tr>
      <w:tr>
        <w:trPr>
          <w:cantSplit/>
        </w:trPr>
        <w:tc>
          <w:tcPr>
            <w:tcW w:w="5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10</w:t>
            </w:r>
          </w:p>
        </w:tc>
        <w:tc>
          <w:tcPr>
            <w:tcW w:w="25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AIPD</w:t>
            </w:r>
          </w:p>
        </w:tc>
        <w:tc>
          <w:tcPr>
            <w:tcW w:w="16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RGPD art. 35</w:t>
            </w:r>
          </w:p>
        </w:tc>
        <w:tc>
          <w:tcPr>
            <w:tcW w:w="1500"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c>
          <w:tcPr>
            <w:tcW w:w="34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Inutile si allergies non stockées ; sinon à réaliser</w:t>
            </w:r>
          </w:p>
        </w:tc>
      </w:tr>
      <w:tr>
        <w:trPr>
          <w:cantSplit/>
        </w:trPr>
        <w:tc>
          <w:tcPr>
            <w:tcW w:w="5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11</w:t>
            </w:r>
          </w:p>
        </w:tc>
        <w:tc>
          <w:tcPr>
            <w:tcW w:w="25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Fiabilité de l’information allergènes</w:t>
            </w:r>
          </w:p>
        </w:tc>
        <w:tc>
          <w:tcPr>
            <w:tcW w:w="16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INCO, Code conso.</w:t>
            </w:r>
          </w:p>
        </w:tc>
        <w:tc>
          <w:tcPr>
            <w:tcW w:w="1500"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Partiel</w:t>
            </w:r>
          </w:p>
        </w:tc>
        <w:tc>
          <w:tcPr>
            <w:tcW w:w="34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Filtrage en code + avertissement « vérifiez la fiche produit »</w:t>
            </w:r>
          </w:p>
        </w:tc>
      </w:tr>
      <w:tr>
        <w:trPr>
          <w:cantSplit/>
        </w:trPr>
        <w:tc>
          <w:tcPr>
            <w:tcW w:w="5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12</w:t>
            </w:r>
          </w:p>
        </w:tc>
        <w:tc>
          <w:tcPr>
            <w:tcW w:w="25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Pas d’information inventée</w:t>
            </w:r>
          </w:p>
        </w:tc>
        <w:tc>
          <w:tcPr>
            <w:tcW w:w="16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Code conso. L121-2</w:t>
            </w:r>
          </w:p>
        </w:tc>
        <w:tc>
          <w:tcPr>
            <w:tcW w:w="1500"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c>
          <w:tcPr>
            <w:tcW w:w="34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Réponses statiques pour horaires / livraison</w:t>
            </w:r>
          </w:p>
        </w:tc>
      </w:tr>
      <w:tr>
        <w:trPr>
          <w:cantSplit/>
        </w:trPr>
        <w:tc>
          <w:tcPr>
            <w:tcW w:w="5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13</w:t>
            </w:r>
          </w:p>
        </w:tc>
        <w:tc>
          <w:tcPr>
            <w:tcW w:w="25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Information sur le traceur de session</w:t>
            </w:r>
          </w:p>
        </w:tc>
        <w:tc>
          <w:tcPr>
            <w:tcW w:w="16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Loi I&amp;L art. 82</w:t>
            </w:r>
          </w:p>
        </w:tc>
        <w:tc>
          <w:tcPr>
            <w:tcW w:w="1500"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Partiel</w:t>
            </w:r>
          </w:p>
        </w:tc>
        <w:tc>
          <w:tcPr>
            <w:tcW w:w="34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Ligne dans la mention d’information</w:t>
            </w:r>
          </w:p>
        </w:tc>
      </w:tr>
      <w:tr>
        <w:trPr>
          <w:cantSplit/>
        </w:trPr>
        <w:tc>
          <w:tcPr>
            <w:tcW w:w="5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14</w:t>
            </w:r>
          </w:p>
        </w:tc>
        <w:tc>
          <w:tcPr>
            <w:tcW w:w="259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Maîtrise de l’IA par l’équipe</w:t>
            </w:r>
          </w:p>
        </w:tc>
        <w:tc>
          <w:tcPr>
            <w:tcW w:w="160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AI Act art. 4</w:t>
            </w:r>
          </w:p>
        </w:tc>
        <w:tc>
          <w:tcPr>
            <w:tcW w:w="1500"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Non conforme</w:t>
            </w:r>
          </w:p>
        </w:tc>
        <w:tc>
          <w:tcPr>
            <w:tcW w:w="34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Fiche de sensibilisation d’une page</w:t>
            </w:r>
          </w:p>
        </w:tc>
      </w:tr>
      <w:tr>
        <w:trPr>
          <w:cantSplit/>
        </w:trPr>
        <w:tc>
          <w:tcPr>
            <w:tcW w:w="5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15</w:t>
            </w:r>
          </w:p>
        </w:tc>
        <w:tc>
          <w:tcPr>
            <w:tcW w:w="259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Pas de transfert hors UE</w:t>
            </w:r>
          </w:p>
        </w:tc>
        <w:tc>
          <w:tcPr>
            <w:tcW w:w="160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RGPD ch. V</w:t>
            </w:r>
          </w:p>
        </w:tc>
        <w:tc>
          <w:tcPr>
            <w:tcW w:w="1500"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Conforme</w:t>
            </w:r>
          </w:p>
        </w:tc>
        <w:tc>
          <w:tcPr>
            <w:tcW w:w="34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Maintenir le modèle local ou hébergé en UE</w:t>
            </w:r>
          </w:p>
        </w:tc>
      </w:tr>
    </w:tbl>
    <w:p>
      <w:pPr>
        <w:pStyle w:val="Normal"/>
        <w:spacing w:before="0" w:after="80"/>
        <w:rPr/>
      </w:pPr>
      <w:r>
        <w:rPr/>
      </w:r>
    </w:p>
    <w:p>
      <w:pPr>
        <w:pStyle w:val="Heading2"/>
        <w:rPr/>
      </w:pPr>
      <w:bookmarkStart w:id="19" w:name="_Toc20"/>
      <w:r>
        <w:rPr/>
        <w:t>3.5 Préparation au contrôle simulé de la CNIL</w:t>
      </w:r>
      <w:bookmarkEnd w:id="19"/>
    </w:p>
    <w:p>
      <w:pPr>
        <w:pStyle w:val="Normal"/>
        <w:spacing w:lineRule="auto" w:line="276" w:before="0" w:after="120"/>
        <w:rPr/>
      </w:pPr>
      <w:r>
        <w:rPr/>
        <w:t>Questions probables d’un contrôleur et éléments de réponse à défendre :</w:t>
      </w:r>
    </w:p>
    <w:tbl>
      <w:tblPr>
        <w:tblW w:w="9638" w:type="dxa"/>
        <w:jc w:val="start"/>
        <w:tblInd w:w="0" w:type="dxa"/>
        <w:tblLayout w:type="fixed"/>
        <w:tblCellMar>
          <w:top w:w="70" w:type="dxa"/>
          <w:start w:w="100" w:type="dxa"/>
          <w:bottom w:w="70" w:type="dxa"/>
          <w:end w:w="100" w:type="dxa"/>
        </w:tblCellMar>
      </w:tblPr>
      <w:tblGrid>
        <w:gridCol w:w="3800"/>
        <w:gridCol w:w="5838"/>
      </w:tblGrid>
      <w:tr>
        <w:trPr>
          <w:tblHeader w:val="true"/>
        </w:trPr>
        <w:tc>
          <w:tcPr>
            <w:tcW w:w="38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Question du contrôleur</w:t>
            </w:r>
          </w:p>
        </w:tc>
        <w:tc>
          <w:tcPr>
            <w:tcW w:w="5838"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Réponse / pièce à présenter</w:t>
            </w:r>
          </w:p>
        </w:tc>
      </w:tr>
      <w:tr>
        <w:trPr>
          <w:cantSplit/>
        </w:trPr>
        <w:tc>
          <w:tcPr>
            <w:tcW w:w="38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Quelles données collectez-vous et pourquoi ?</w:t>
            </w:r>
          </w:p>
        </w:tc>
        <w:tc>
          <w:tcPr>
            <w:tcW w:w="58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Inventaire 3.2 ; démonstration que chaque donnée restante est nécessaire au conseil</w:t>
            </w:r>
          </w:p>
        </w:tc>
      </w:tr>
      <w:tr>
        <w:trPr>
          <w:cantSplit/>
        </w:trPr>
        <w:tc>
          <w:tcPr>
            <w:tcW w:w="38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Pourquoi collectiez-vous l’email et l’âge des enfants ?</w:t>
            </w:r>
          </w:p>
        </w:tc>
        <w:tc>
          <w:tcPr>
            <w:tcW w:w="58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Reconnaître que c’était excessif ; montrer leur suppression et la purge de la base existante</w:t>
            </w:r>
          </w:p>
        </w:tc>
      </w:tr>
      <w:tr>
        <w:trPr>
          <w:cantSplit/>
        </w:trPr>
        <w:tc>
          <w:tcPr>
            <w:tcW w:w="38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Sur quelle base traitez-vous des données de santé ?</w:t>
            </w:r>
          </w:p>
        </w:tc>
        <w:tc>
          <w:tcPr>
            <w:tcW w:w="58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Plus de conservation : les allergènes servent uniquement au filtrage pendant la session, sur demande de l’utilisateur</w:t>
            </w:r>
          </w:p>
        </w:tc>
      </w:tr>
      <w:tr>
        <w:trPr>
          <w:cantSplit/>
        </w:trPr>
        <w:tc>
          <w:tcPr>
            <w:tcW w:w="38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Combien de temps conservez-vous les données ?</w:t>
            </w:r>
          </w:p>
        </w:tc>
        <w:tc>
          <w:tcPr>
            <w:tcW w:w="58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Registre 3.3 + code de purge automatique + preuve (requête SQL sur les données les plus anciennes)</w:t>
            </w:r>
          </w:p>
        </w:tc>
      </w:tr>
      <w:tr>
        <w:trPr>
          <w:cantSplit/>
        </w:trPr>
        <w:tc>
          <w:tcPr>
            <w:tcW w:w="38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Qui a accès au back-office ?</w:t>
            </w:r>
          </w:p>
        </w:tc>
        <w:tc>
          <w:tcPr>
            <w:tcW w:w="58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Authentification, liste des personnes habilitées, données masquées</w:t>
            </w:r>
          </w:p>
        </w:tc>
      </w:tr>
      <w:tr>
        <w:trPr>
          <w:cantSplit/>
        </w:trPr>
        <w:tc>
          <w:tcPr>
            <w:tcW w:w="38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Comment une personne exerce-t-elle ses droits ?</w:t>
            </w:r>
          </w:p>
        </w:tc>
        <w:tc>
          <w:tcPr>
            <w:tcW w:w="58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Bouton d’effacement, adresse de contact, délai d’un mois</w:t>
            </w:r>
          </w:p>
        </w:tc>
      </w:tr>
      <w:tr>
        <w:trPr>
          <w:cantSplit/>
        </w:trPr>
        <w:tc>
          <w:tcPr>
            <w:tcW w:w="38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L’utilisateur sait-il qu’il parle à une IA ?</w:t>
            </w:r>
          </w:p>
        </w:tc>
        <w:tc>
          <w:tcPr>
            <w:tcW w:w="58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Capture d’écran du bandeau et du message d’accueil</w:t>
            </w:r>
          </w:p>
        </w:tc>
      </w:tr>
      <w:tr>
        <w:trPr>
          <w:cantSplit/>
        </w:trPr>
        <w:tc>
          <w:tcPr>
            <w:tcW w:w="38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Que se passe-t-il en cas de fuite ?</w:t>
            </w:r>
          </w:p>
        </w:tc>
        <w:tc>
          <w:tcPr>
            <w:tcW w:w="58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Procédure de notification sous 72 h, journalisation et alertes (partie fiabilité)</w:t>
            </w:r>
          </w:p>
        </w:tc>
      </w:tr>
      <w:tr>
        <w:trPr>
          <w:cantSplit/>
        </w:trPr>
        <w:tc>
          <w:tcPr>
            <w:tcW w:w="38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Avez-vous réalisé une AIPD ?</w:t>
            </w:r>
          </w:p>
        </w:tc>
        <w:tc>
          <w:tcPr>
            <w:tcW w:w="58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Analyse des critères ; justification de son absence après minimisation, ou AIPD réalisée</w:t>
            </w:r>
          </w:p>
        </w:tc>
      </w:tr>
    </w:tbl>
    <w:p>
      <w:pPr>
        <w:pStyle w:val="Heading1"/>
        <w:rPr/>
      </w:pPr>
      <w:r>
        <w:br w:type="page"/>
      </w:r>
      <w:bookmarkStart w:id="20" w:name="_Toc21"/>
      <w:r>
        <w:rPr/>
        <w:t>4. Rapport des problèmes actuels</w:t>
      </w:r>
      <w:bookmarkEnd w:id="20"/>
    </w:p>
    <w:p>
      <w:pPr>
        <w:pStyle w:val="Heading2"/>
        <w:rPr/>
      </w:pPr>
      <w:bookmarkStart w:id="21" w:name="_Toc22"/>
      <w:r>
        <w:rPr/>
        <w:t>4.1 Échelle de gravité</w:t>
      </w:r>
      <w:bookmarkEnd w:id="21"/>
    </w:p>
    <w:tbl>
      <w:tblPr>
        <w:tblW w:w="9638" w:type="dxa"/>
        <w:jc w:val="start"/>
        <w:tblInd w:w="0" w:type="dxa"/>
        <w:tblLayout w:type="fixed"/>
        <w:tblCellMar>
          <w:top w:w="70" w:type="dxa"/>
          <w:start w:w="100" w:type="dxa"/>
          <w:bottom w:w="70" w:type="dxa"/>
          <w:end w:w="100" w:type="dxa"/>
        </w:tblCellMar>
      </w:tblPr>
      <w:tblGrid>
        <w:gridCol w:w="1599"/>
        <w:gridCol w:w="8039"/>
      </w:tblGrid>
      <w:tr>
        <w:trPr>
          <w:tblHeader w:val="true"/>
        </w:trPr>
        <w:tc>
          <w:tcPr>
            <w:tcW w:w="159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Gravité</w:t>
            </w:r>
          </w:p>
        </w:tc>
        <w:tc>
          <w:tcPr>
            <w:tcW w:w="803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Signification</w:t>
            </w:r>
          </w:p>
        </w:tc>
      </w:tr>
      <w:tr>
        <w:trPr>
          <w:cantSplit/>
        </w:trPr>
        <w:tc>
          <w:tcPr>
            <w:tcW w:w="1599"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Critique</w:t>
            </w:r>
          </w:p>
        </w:tc>
        <w:tc>
          <w:tcPr>
            <w:tcW w:w="80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Infraction caractérisée ou risque pour la santé / la sécurité ; à corriger avant toute mise en production</w:t>
            </w:r>
          </w:p>
        </w:tc>
      </w:tr>
      <w:tr>
        <w:trPr>
          <w:cantSplit/>
        </w:trPr>
        <w:tc>
          <w:tcPr>
            <w:tcW w:w="159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80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Non-conformité ou surcoût important ; à corriger pendant la phase d’amélioration</w:t>
            </w:r>
          </w:p>
        </w:tc>
      </w:tr>
      <w:tr>
        <w:trPr>
          <w:cantSplit/>
        </w:trPr>
        <w:tc>
          <w:tcPr>
            <w:tcW w:w="1599" w:type="dxa"/>
            <w:tcBorders>
              <w:top w:val="single" w:sz="4" w:space="0" w:color="D9CBB3"/>
              <w:start w:val="single" w:sz="4" w:space="0" w:color="D9CBB3"/>
              <w:bottom w:val="single" w:sz="4" w:space="0" w:color="D9CBB3"/>
              <w:end w:val="single" w:sz="4" w:space="0" w:color="D9CBB3"/>
            </w:tcBorders>
            <w:shd w:color="auto" w:fill="FFF4C2" w:val="clear"/>
          </w:tcPr>
          <w:p>
            <w:pPr>
              <w:pStyle w:val="Normal"/>
              <w:spacing w:lineRule="auto" w:line="252" w:before="0" w:after="40"/>
              <w:rPr/>
            </w:pPr>
            <w:r>
              <w:rPr>
                <w:sz w:val="19"/>
                <w:szCs w:val="19"/>
              </w:rPr>
              <w:t>Moyenne</w:t>
            </w:r>
          </w:p>
        </w:tc>
        <w:tc>
          <w:tcPr>
            <w:tcW w:w="80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Faiblesse réelle mais d’impact limité</w:t>
            </w:r>
          </w:p>
        </w:tc>
      </w:tr>
      <w:tr>
        <w:trPr>
          <w:cantSplit/>
        </w:trPr>
        <w:tc>
          <w:tcPr>
            <w:tcW w:w="1599"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Faible</w:t>
            </w:r>
          </w:p>
        </w:tc>
        <w:tc>
          <w:tcPr>
            <w:tcW w:w="80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Amélioration de qualité</w:t>
            </w:r>
          </w:p>
        </w:tc>
      </w:tr>
    </w:tbl>
    <w:p>
      <w:pPr>
        <w:pStyle w:val="Normal"/>
        <w:spacing w:before="0" w:after="80"/>
        <w:rPr/>
      </w:pPr>
      <w:r>
        <w:rPr/>
      </w:r>
    </w:p>
    <w:p>
      <w:pPr>
        <w:pStyle w:val="Heading2"/>
        <w:rPr/>
      </w:pPr>
      <w:bookmarkStart w:id="22" w:name="_Toc23"/>
      <w:r>
        <w:rPr/>
        <w:t>4.2 Conformité</w:t>
      </w:r>
      <w:bookmarkEnd w:id="22"/>
    </w:p>
    <w:tbl>
      <w:tblPr>
        <w:tblW w:w="9638" w:type="dxa"/>
        <w:jc w:val="start"/>
        <w:tblInd w:w="0" w:type="dxa"/>
        <w:tblLayout w:type="fixed"/>
        <w:tblCellMar>
          <w:top w:w="70" w:type="dxa"/>
          <w:start w:w="100" w:type="dxa"/>
          <w:bottom w:w="70" w:type="dxa"/>
          <w:end w:w="100" w:type="dxa"/>
        </w:tblCellMar>
      </w:tblPr>
      <w:tblGrid>
        <w:gridCol w:w="649"/>
        <w:gridCol w:w="3151"/>
        <w:gridCol w:w="2350"/>
        <w:gridCol w:w="1049"/>
        <w:gridCol w:w="2439"/>
      </w:tblGrid>
      <w:tr>
        <w:trPr>
          <w:tblHeader w:val="true"/>
        </w:trPr>
        <w:tc>
          <w:tcPr>
            <w:tcW w:w="64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ID</w:t>
            </w:r>
          </w:p>
        </w:tc>
        <w:tc>
          <w:tcPr>
            <w:tcW w:w="3151"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Constat et preuve</w:t>
            </w:r>
          </w:p>
        </w:tc>
        <w:tc>
          <w:tcPr>
            <w:tcW w:w="235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Risque</w:t>
            </w:r>
          </w:p>
        </w:tc>
        <w:tc>
          <w:tcPr>
            <w:tcW w:w="104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Gravité</w:t>
            </w:r>
          </w:p>
        </w:tc>
        <w:tc>
          <w:tcPr>
            <w:tcW w:w="243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Recommandation</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C1</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Le bot se présente comme un humain : « Tu es Clémence, conseillère » et message d’accueil « je suis Clémence ».</w:t>
            </w:r>
          </w:p>
          <w:p>
            <w:pPr>
              <w:pStyle w:val="Normal"/>
              <w:spacing w:lineRule="auto" w:line="252" w:before="0" w:after="40"/>
              <w:rPr/>
            </w:pPr>
            <w:r>
              <w:rPr>
                <w:rFonts w:eastAsia="Consolas" w:cs="Consolas" w:ascii="Consolas" w:hAnsi="Consolas"/>
                <w:color w:val="7A2E1A"/>
                <w:sz w:val="19"/>
                <w:szCs w:val="19"/>
              </w:rPr>
              <w:t>chatbot.py:8</w:t>
            </w:r>
            <w:r>
              <w:rPr>
                <w:sz w:val="19"/>
                <w:szCs w:val="19"/>
              </w:rPr>
              <w:t xml:space="preserve">, </w:t>
            </w:r>
            <w:r>
              <w:rPr>
                <w:rFonts w:eastAsia="Consolas" w:cs="Consolas" w:ascii="Consolas" w:hAnsi="Consolas"/>
                <w:color w:val="7A2E1A"/>
                <w:sz w:val="19"/>
                <w:szCs w:val="19"/>
              </w:rPr>
              <w:t>index.html:80,85</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Infraction à l’art. 50.1 AI Act ; tromperie de l’utilisateur</w:t>
            </w:r>
          </w:p>
        </w:tc>
        <w:tc>
          <w:tcPr>
            <w:tcW w:w="1049"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Critique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Message d’accueil et étiquette « Assistant virtuel (IA) de la Maison Delcourt »</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C2</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Aucune information sur l’usage des données, ni sous le formulaire ni sur la page.</w:t>
            </w:r>
          </w:p>
          <w:p>
            <w:pPr>
              <w:pStyle w:val="Normal"/>
              <w:spacing w:lineRule="auto" w:line="252" w:before="0" w:after="40"/>
              <w:rPr/>
            </w:pPr>
            <w:r>
              <w:rPr>
                <w:rFonts w:eastAsia="Consolas" w:cs="Consolas" w:ascii="Consolas" w:hAnsi="Consolas"/>
                <w:color w:val="7A2E1A"/>
                <w:sz w:val="19"/>
                <w:szCs w:val="19"/>
              </w:rPr>
              <w:t>index.html:60-69</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Infraction art. 13 RGPD</w:t>
            </w:r>
          </w:p>
        </w:tc>
        <w:tc>
          <w:tcPr>
            <w:tcW w:w="1049"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Critique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Mention d’information courte + politique de confidentialité</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C3</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Collecte d’allergies (santé) et de l’âge des enfants (mineurs) sans consentement ni nécessité.</w:t>
            </w:r>
          </w:p>
          <w:p>
            <w:pPr>
              <w:pStyle w:val="Normal"/>
              <w:spacing w:lineRule="auto" w:line="252" w:before="0" w:after="40"/>
              <w:rPr/>
            </w:pPr>
            <w:r>
              <w:rPr>
                <w:rFonts w:eastAsia="Consolas" w:cs="Consolas" w:ascii="Consolas" w:hAnsi="Consolas"/>
                <w:color w:val="7A2E1A"/>
                <w:sz w:val="19"/>
                <w:szCs w:val="19"/>
              </w:rPr>
              <w:t>index.html:65-66</w:t>
            </w:r>
            <w:r>
              <w:rPr>
                <w:sz w:val="19"/>
                <w:szCs w:val="19"/>
              </w:rPr>
              <w:t xml:space="preserve">, </w:t>
            </w:r>
            <w:r>
              <w:rPr>
                <w:rFonts w:eastAsia="Consolas" w:cs="Consolas" w:ascii="Consolas" w:hAnsi="Consolas"/>
                <w:color w:val="7A2E1A"/>
                <w:sz w:val="19"/>
                <w:szCs w:val="19"/>
              </w:rPr>
              <w:t>app.py:18-23</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Infraction art. 9 et 5.1.c RGPD ; AIPD requise</w:t>
            </w:r>
          </w:p>
        </w:tc>
        <w:tc>
          <w:tcPr>
            <w:tcW w:w="1049"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Critique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Liste fermée d’allergènes en session, sans stockage ; case « enfant »</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C4</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 xml:space="preserve">Back-office </w:t>
            </w:r>
            <w:r>
              <w:rPr>
                <w:rFonts w:eastAsia="Consolas" w:cs="Consolas" w:ascii="Consolas" w:hAnsi="Consolas"/>
                <w:color w:val="7A2E1A"/>
                <w:sz w:val="19"/>
                <w:szCs w:val="19"/>
              </w:rPr>
              <w:t>/admin</w:t>
            </w:r>
            <w:r>
              <w:rPr>
                <w:sz w:val="19"/>
                <w:szCs w:val="19"/>
              </w:rPr>
              <w:t xml:space="preserve"> et </w:t>
            </w:r>
            <w:r>
              <w:rPr>
                <w:rFonts w:eastAsia="Consolas" w:cs="Consolas" w:ascii="Consolas" w:hAnsi="Consolas"/>
                <w:color w:val="7A2E1A"/>
                <w:sz w:val="19"/>
                <w:szCs w:val="19"/>
              </w:rPr>
              <w:t>/admin/data</w:t>
            </w:r>
            <w:r>
              <w:rPr>
                <w:sz w:val="19"/>
                <w:szCs w:val="19"/>
              </w:rPr>
              <w:t xml:space="preserve"> accessibles sans authentification : noms, emails, allergies, conversations.</w:t>
            </w:r>
          </w:p>
          <w:p>
            <w:pPr>
              <w:pStyle w:val="Normal"/>
              <w:spacing w:lineRule="auto" w:line="252" w:before="0" w:after="40"/>
              <w:rPr/>
            </w:pPr>
            <w:r>
              <w:rPr>
                <w:rFonts w:eastAsia="Consolas" w:cs="Consolas" w:ascii="Consolas" w:hAnsi="Consolas"/>
                <w:color w:val="7A2E1A"/>
                <w:sz w:val="19"/>
                <w:szCs w:val="19"/>
              </w:rPr>
              <w:t>app.py:42-52</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Fuite de données de santé = violation à notifier sous 72 h</w:t>
            </w:r>
          </w:p>
        </w:tc>
        <w:tc>
          <w:tcPr>
            <w:tcW w:w="1049"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Critique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Authentification ; à défaut, désactiver la route ; données masquées</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C5</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La sécurité des allergies repose uniquement sur le modèle (3B, temperature 0.7), sans vérification.</w:t>
            </w:r>
          </w:p>
          <w:p>
            <w:pPr>
              <w:pStyle w:val="Normal"/>
              <w:spacing w:lineRule="auto" w:line="252" w:before="0" w:after="40"/>
              <w:rPr/>
            </w:pPr>
            <w:r>
              <w:rPr>
                <w:rFonts w:eastAsia="Consolas" w:cs="Consolas" w:ascii="Consolas" w:hAnsi="Consolas"/>
                <w:color w:val="7A2E1A"/>
                <w:sz w:val="19"/>
                <w:szCs w:val="19"/>
              </w:rPr>
              <w:t>chatbot.py:8-13</w:t>
            </w:r>
            <w:r>
              <w:rPr>
                <w:sz w:val="19"/>
                <w:szCs w:val="19"/>
              </w:rPr>
              <w:t xml:space="preserve">, </w:t>
            </w:r>
            <w:r>
              <w:rPr>
                <w:rFonts w:eastAsia="Consolas" w:cs="Consolas" w:ascii="Consolas" w:hAnsi="Consolas"/>
                <w:color w:val="7A2E1A"/>
                <w:sz w:val="19"/>
                <w:szCs w:val="19"/>
              </w:rPr>
              <w:t>llm.py:24</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Recommandation dangereuse ; responsabilité civile ; INCO</w:t>
            </w:r>
          </w:p>
        </w:tc>
        <w:tc>
          <w:tcPr>
            <w:tcW w:w="1049"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Critique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Filtrer le catalogue en code avant l’appel ; avertissement systématique</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C6</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Nom et email collectés sans finalité.</w:t>
            </w:r>
          </w:p>
          <w:p>
            <w:pPr>
              <w:pStyle w:val="Normal"/>
              <w:spacing w:lineRule="auto" w:line="252" w:before="0" w:after="40"/>
              <w:rPr/>
            </w:pPr>
            <w:r>
              <w:rPr>
                <w:rFonts w:eastAsia="Consolas" w:cs="Consolas" w:ascii="Consolas" w:hAnsi="Consolas"/>
                <w:color w:val="7A2E1A"/>
                <w:sz w:val="19"/>
                <w:szCs w:val="19"/>
              </w:rPr>
              <w:t>index.html:63-64</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Non-respect de la minimisation</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Supprimer les champs</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C7</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Aucune durée de conservation, aucune purge ; « Nouvelle conversation » ne supprime rien côté serveur.</w:t>
            </w:r>
          </w:p>
          <w:p>
            <w:pPr>
              <w:pStyle w:val="Normal"/>
              <w:spacing w:lineRule="auto" w:line="252" w:before="0" w:after="40"/>
              <w:rPr/>
            </w:pPr>
            <w:r>
              <w:rPr>
                <w:rFonts w:eastAsia="Consolas" w:cs="Consolas" w:ascii="Consolas" w:hAnsi="Consolas"/>
                <w:color w:val="7A2E1A"/>
                <w:sz w:val="19"/>
                <w:szCs w:val="19"/>
              </w:rPr>
              <w:t>db.py</w:t>
            </w:r>
            <w:r>
              <w:rPr>
                <w:sz w:val="19"/>
                <w:szCs w:val="19"/>
              </w:rPr>
              <w:t xml:space="preserve">, </w:t>
            </w:r>
            <w:r>
              <w:rPr>
                <w:rFonts w:eastAsia="Consolas" w:cs="Consolas" w:ascii="Consolas" w:hAnsi="Consolas"/>
                <w:color w:val="7A2E1A"/>
                <w:sz w:val="19"/>
                <w:szCs w:val="19"/>
              </w:rPr>
              <w:t>index.html:127-131</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Infraction art. 5.1.e RGPD ; stock de données croissant</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Purge automatique à 30 jours ; effacement réel</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C8</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 moyen d’exercer ses droits (accès, effacement).</w:t>
            </w:r>
          </w:p>
          <w:p>
            <w:pPr>
              <w:pStyle w:val="Normal"/>
              <w:spacing w:lineRule="auto" w:line="252" w:before="0" w:after="40"/>
              <w:rPr/>
            </w:pPr>
            <w:r>
              <w:rPr>
                <w:rFonts w:eastAsia="Consolas" w:cs="Consolas" w:ascii="Consolas" w:hAnsi="Consolas"/>
                <w:color w:val="7A2E1A"/>
                <w:sz w:val="19"/>
                <w:szCs w:val="19"/>
              </w:rPr>
              <w:t>app.py</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Infraction art. 15-17 RGPD</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 xml:space="preserve">Route </w:t>
            </w:r>
            <w:r>
              <w:rPr>
                <w:rFonts w:eastAsia="Consolas" w:cs="Consolas" w:ascii="Consolas" w:hAnsi="Consolas"/>
                <w:color w:val="7A2E1A"/>
                <w:sz w:val="19"/>
                <w:szCs w:val="19"/>
              </w:rPr>
              <w:t>DELETE /session/{id}</w:t>
            </w:r>
            <w:r>
              <w:rPr>
                <w:sz w:val="19"/>
                <w:szCs w:val="19"/>
              </w:rPr>
              <w:t xml:space="preserve"> + bouton + adresse de contact</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C9</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Horaires et livraison proposés en boutons mais absents des informations données au modèle.</w:t>
            </w:r>
          </w:p>
          <w:p>
            <w:pPr>
              <w:pStyle w:val="Normal"/>
              <w:spacing w:lineRule="auto" w:line="252" w:before="0" w:after="40"/>
              <w:rPr/>
            </w:pPr>
            <w:r>
              <w:rPr>
                <w:rFonts w:eastAsia="Consolas" w:cs="Consolas" w:ascii="Consolas" w:hAnsi="Consolas"/>
                <w:color w:val="7A2E1A"/>
                <w:sz w:val="19"/>
                <w:szCs w:val="19"/>
              </w:rPr>
              <w:t>index.html:55-56</w:t>
            </w:r>
            <w:r>
              <w:rPr>
                <w:sz w:val="19"/>
                <w:szCs w:val="19"/>
              </w:rPr>
              <w:t xml:space="preserve">, </w:t>
            </w:r>
            <w:r>
              <w:rPr>
                <w:rFonts w:eastAsia="Consolas" w:cs="Consolas" w:ascii="Consolas" w:hAnsi="Consolas"/>
                <w:color w:val="7A2E1A"/>
                <w:sz w:val="19"/>
                <w:szCs w:val="19"/>
              </w:rPr>
              <w:t>chatbot.py:13</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Informations inventées = pratique trompeuse (L121-2)</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Réponses statiques validées par la Maison Delcourt</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C10</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Pas de registre, pas d’AIPD, pas de documentation.</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Impossible de démontrer la conformité (accountability)</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Registre 3.3 ; fiche 3.4 ; AIPD si nécessaire</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C11</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Nom, email, allergies envoyés au modèle avec la consigne « réponds à toute question le concernant ».</w:t>
            </w:r>
          </w:p>
          <w:p>
            <w:pPr>
              <w:pStyle w:val="Normal"/>
              <w:spacing w:lineRule="auto" w:line="252" w:before="0" w:after="40"/>
              <w:rPr/>
            </w:pPr>
            <w:r>
              <w:rPr>
                <w:rFonts w:eastAsia="Consolas" w:cs="Consolas" w:ascii="Consolas" w:hAnsi="Consolas"/>
                <w:color w:val="7A2E1A"/>
                <w:sz w:val="19"/>
                <w:szCs w:val="19"/>
              </w:rPr>
              <w:t>chatbot.py:16-30</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Données superflues dans le prompt ; risque de fuite si passage à une API cloud</w:t>
            </w:r>
          </w:p>
        </w:tc>
        <w:tc>
          <w:tcPr>
            <w:tcW w:w="1049" w:type="dxa"/>
            <w:tcBorders>
              <w:top w:val="single" w:sz="4" w:space="0" w:color="D9CBB3"/>
              <w:start w:val="single" w:sz="4" w:space="0" w:color="D9CBB3"/>
              <w:bottom w:val="single" w:sz="4" w:space="0" w:color="D9CBB3"/>
              <w:end w:val="single" w:sz="4" w:space="0" w:color="D9CBB3"/>
            </w:tcBorders>
            <w:shd w:color="auto" w:fill="FFF4C2" w:val="clear"/>
          </w:tcPr>
          <w:p>
            <w:pPr>
              <w:pStyle w:val="Normal"/>
              <w:spacing w:lineRule="auto" w:line="252" w:before="0" w:after="40"/>
              <w:rPr/>
            </w:pPr>
            <w:r>
              <w:rPr>
                <w:sz w:val="19"/>
                <w:szCs w:val="19"/>
              </w:rPr>
              <w:t>Moyenne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N’envoyer que les allergènes de la session, jamais l’identité</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C12</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Profil client complet et message imprimés dans la console à chaque requête.</w:t>
            </w:r>
          </w:p>
          <w:p>
            <w:pPr>
              <w:pStyle w:val="Normal"/>
              <w:spacing w:lineRule="auto" w:line="252" w:before="0" w:after="40"/>
              <w:rPr/>
            </w:pPr>
            <w:r>
              <w:rPr>
                <w:rFonts w:eastAsia="Consolas" w:cs="Consolas" w:ascii="Consolas" w:hAnsi="Consolas"/>
                <w:color w:val="7A2E1A"/>
                <w:sz w:val="19"/>
                <w:szCs w:val="19"/>
              </w:rPr>
              <w:t>chatbot.py:36</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Données de santé copiées dans des logs non maîtrisés</w:t>
            </w:r>
          </w:p>
        </w:tc>
        <w:tc>
          <w:tcPr>
            <w:tcW w:w="1049" w:type="dxa"/>
            <w:tcBorders>
              <w:top w:val="single" w:sz="4" w:space="0" w:color="D9CBB3"/>
              <w:start w:val="single" w:sz="4" w:space="0" w:color="D9CBB3"/>
              <w:bottom w:val="single" w:sz="4" w:space="0" w:color="D9CBB3"/>
              <w:end w:val="single" w:sz="4" w:space="0" w:color="D9CBB3"/>
            </w:tcBorders>
            <w:shd w:color="auto" w:fill="FFF4C2" w:val="clear"/>
          </w:tcPr>
          <w:p>
            <w:pPr>
              <w:pStyle w:val="Normal"/>
              <w:spacing w:lineRule="auto" w:line="252" w:before="0" w:after="40"/>
              <w:rPr/>
            </w:pPr>
            <w:r>
              <w:rPr>
                <w:sz w:val="19"/>
                <w:szCs w:val="19"/>
              </w:rPr>
              <w:t>Moyenne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Logger structuré sans données personnelles</w:t>
            </w:r>
          </w:p>
        </w:tc>
      </w:tr>
    </w:tbl>
    <w:p>
      <w:pPr>
        <w:pStyle w:val="Normal"/>
        <w:spacing w:before="0" w:after="80"/>
        <w:rPr/>
      </w:pPr>
      <w:r>
        <w:rPr/>
      </w:r>
    </w:p>
    <w:p>
      <w:pPr>
        <w:pStyle w:val="Heading2"/>
        <w:rPr/>
      </w:pPr>
      <w:bookmarkStart w:id="23" w:name="_Toc24"/>
      <w:r>
        <w:rPr/>
        <w:t>4.3 Sobriété (coût et empreinte)</w:t>
      </w:r>
      <w:bookmarkEnd w:id="23"/>
    </w:p>
    <w:tbl>
      <w:tblPr>
        <w:tblW w:w="9638" w:type="dxa"/>
        <w:jc w:val="start"/>
        <w:tblInd w:w="0" w:type="dxa"/>
        <w:tblLayout w:type="fixed"/>
        <w:tblCellMar>
          <w:top w:w="70" w:type="dxa"/>
          <w:start w:w="100" w:type="dxa"/>
          <w:bottom w:w="70" w:type="dxa"/>
          <w:end w:w="100" w:type="dxa"/>
        </w:tblCellMar>
      </w:tblPr>
      <w:tblGrid>
        <w:gridCol w:w="649"/>
        <w:gridCol w:w="3151"/>
        <w:gridCol w:w="2350"/>
        <w:gridCol w:w="1049"/>
        <w:gridCol w:w="2439"/>
      </w:tblGrid>
      <w:tr>
        <w:trPr>
          <w:tblHeader w:val="true"/>
        </w:trPr>
        <w:tc>
          <w:tcPr>
            <w:tcW w:w="64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ID</w:t>
            </w:r>
          </w:p>
        </w:tc>
        <w:tc>
          <w:tcPr>
            <w:tcW w:w="3151"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Constat et preuve</w:t>
            </w:r>
          </w:p>
        </w:tc>
        <w:tc>
          <w:tcPr>
            <w:tcW w:w="235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Risque</w:t>
            </w:r>
          </w:p>
        </w:tc>
        <w:tc>
          <w:tcPr>
            <w:tcW w:w="104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Gravité</w:t>
            </w:r>
          </w:p>
        </w:tc>
        <w:tc>
          <w:tcPr>
            <w:tcW w:w="243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Recommandation</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S1</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Le gros modèle est appelé pour chaque message, même pour « Quels sont vos horaires ? ». Le petit modèle est configuré mais jamais utilisé.</w:t>
            </w:r>
          </w:p>
          <w:p>
            <w:pPr>
              <w:pStyle w:val="Normal"/>
              <w:spacing w:lineRule="auto" w:line="252" w:before="0" w:after="40"/>
              <w:rPr/>
            </w:pPr>
            <w:r>
              <w:rPr>
                <w:rFonts w:eastAsia="Consolas" w:cs="Consolas" w:ascii="Consolas" w:hAnsi="Consolas"/>
                <w:color w:val="7A2E1A"/>
                <w:sz w:val="19"/>
                <w:szCs w:val="19"/>
              </w:rPr>
              <w:t>chatbot.py:42</w:t>
            </w:r>
            <w:r>
              <w:rPr>
                <w:sz w:val="19"/>
                <w:szCs w:val="19"/>
              </w:rPr>
              <w:t xml:space="preserve">, </w:t>
            </w:r>
            <w:r>
              <w:rPr>
                <w:rFonts w:eastAsia="Consolas" w:cs="Consolas" w:ascii="Consolas" w:hAnsi="Consolas"/>
                <w:color w:val="7A2E1A"/>
                <w:sz w:val="19"/>
                <w:szCs w:val="19"/>
              </w:rPr>
              <w:t>llm.py:13</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Consommation et latence inutiles sur les questions simples</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Routage : FAQ statique → petit modèle → gros modèle</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S2</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 xml:space="preserve">Consigne « détaillée et complète, plusieurs options » et </w:t>
            </w:r>
            <w:r>
              <w:rPr>
                <w:rFonts w:eastAsia="Consolas" w:cs="Consolas" w:ascii="Consolas" w:hAnsi="Consolas"/>
                <w:color w:val="7A2E1A"/>
                <w:sz w:val="19"/>
                <w:szCs w:val="19"/>
              </w:rPr>
              <w:t>max_tokens=1500</w:t>
            </w:r>
            <w:r>
              <w:rPr>
                <w:sz w:val="19"/>
                <w:szCs w:val="19"/>
              </w:rPr>
              <w:t>.</w:t>
            </w:r>
          </w:p>
          <w:p>
            <w:pPr>
              <w:pStyle w:val="Normal"/>
              <w:spacing w:lineRule="auto" w:line="252" w:before="0" w:after="40"/>
              <w:rPr/>
            </w:pPr>
            <w:r>
              <w:rPr>
                <w:rFonts w:eastAsia="Consolas" w:cs="Consolas" w:ascii="Consolas" w:hAnsi="Consolas"/>
                <w:color w:val="7A2E1A"/>
                <w:sz w:val="19"/>
                <w:szCs w:val="19"/>
              </w:rPr>
              <w:t>chatbot.py:10,42</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Réponses longues : plus de calcul, plus de temps, moins lisibles</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Réponses courtes (3-4 phrases, 2 options max), max_tokens ≈ 300</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S3</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Historique complet renvoyé à chaque tour, sans limite.</w:t>
            </w:r>
          </w:p>
          <w:p>
            <w:pPr>
              <w:pStyle w:val="Normal"/>
              <w:spacing w:lineRule="auto" w:line="252" w:before="0" w:after="40"/>
              <w:rPr/>
            </w:pPr>
            <w:r>
              <w:rPr>
                <w:rFonts w:eastAsia="Consolas" w:cs="Consolas" w:ascii="Consolas" w:hAnsi="Consolas"/>
                <w:color w:val="7A2E1A"/>
                <w:sz w:val="19"/>
                <w:szCs w:val="19"/>
              </w:rPr>
              <w:t>chatbot.py:39</w:t>
            </w:r>
            <w:r>
              <w:rPr>
                <w:sz w:val="19"/>
                <w:szCs w:val="19"/>
              </w:rPr>
              <w:t xml:space="preserve">, </w:t>
            </w:r>
            <w:r>
              <w:rPr>
                <w:rFonts w:eastAsia="Consolas" w:cs="Consolas" w:ascii="Consolas" w:hAnsi="Consolas"/>
                <w:color w:val="7A2E1A"/>
                <w:sz w:val="19"/>
                <w:szCs w:val="19"/>
              </w:rPr>
              <w:t>db.py:29-31</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Coût qui croît avec chaque message ; dépassement de la fenêtre de contexte (troncature silencieuse)</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Limiter aux N derniers échanges (ex. 6)</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S4</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Aucune mesure : les tokens (</w:t>
            </w:r>
            <w:r>
              <w:rPr>
                <w:rFonts w:eastAsia="Consolas" w:cs="Consolas" w:ascii="Consolas" w:hAnsi="Consolas"/>
                <w:color w:val="7A2E1A"/>
                <w:sz w:val="19"/>
                <w:szCs w:val="19"/>
              </w:rPr>
              <w:t>usage</w:t>
            </w:r>
            <w:r>
              <w:rPr>
                <w:sz w:val="19"/>
                <w:szCs w:val="19"/>
              </w:rPr>
              <w:t>) sont calculés puis ignorés ; le back-office affiche « non suivi ».</w:t>
            </w:r>
          </w:p>
          <w:p>
            <w:pPr>
              <w:pStyle w:val="Normal"/>
              <w:spacing w:lineRule="auto" w:line="252" w:before="0" w:after="40"/>
              <w:rPr/>
            </w:pPr>
            <w:r>
              <w:rPr>
                <w:rFonts w:eastAsia="Consolas" w:cs="Consolas" w:ascii="Consolas" w:hAnsi="Consolas"/>
                <w:color w:val="7A2E1A"/>
                <w:sz w:val="19"/>
                <w:szCs w:val="19"/>
              </w:rPr>
              <w:t>chatbot.py:42</w:t>
            </w:r>
            <w:r>
              <w:rPr>
                <w:sz w:val="19"/>
                <w:szCs w:val="19"/>
              </w:rPr>
              <w:t xml:space="preserve">, </w:t>
            </w:r>
            <w:r>
              <w:rPr>
                <w:rFonts w:eastAsia="Consolas" w:cs="Consolas" w:ascii="Consolas" w:hAnsi="Consolas"/>
                <w:color w:val="7A2E1A"/>
                <w:sz w:val="19"/>
                <w:szCs w:val="19"/>
              </w:rPr>
              <w:t>admin.html</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Impossible de piloter coût et empreinte</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Enregistrer tokens, modèle et latence par requête</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S5</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Catalogue JSON complet (plusieurs centaines de tokens) injecté dans chaque requête.</w:t>
            </w:r>
          </w:p>
          <w:p>
            <w:pPr>
              <w:pStyle w:val="Normal"/>
              <w:spacing w:lineRule="auto" w:line="252" w:before="0" w:after="40"/>
              <w:rPr/>
            </w:pPr>
            <w:r>
              <w:rPr>
                <w:rFonts w:eastAsia="Consolas" w:cs="Consolas" w:ascii="Consolas" w:hAnsi="Consolas"/>
                <w:color w:val="7A2E1A"/>
                <w:sz w:val="19"/>
                <w:szCs w:val="19"/>
              </w:rPr>
              <w:t>chatbot.py:13</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Prompt lourd répété à chaque message</w:t>
            </w:r>
          </w:p>
        </w:tc>
        <w:tc>
          <w:tcPr>
            <w:tcW w:w="1049" w:type="dxa"/>
            <w:tcBorders>
              <w:top w:val="single" w:sz="4" w:space="0" w:color="D9CBB3"/>
              <w:start w:val="single" w:sz="4" w:space="0" w:color="D9CBB3"/>
              <w:bottom w:val="single" w:sz="4" w:space="0" w:color="D9CBB3"/>
              <w:end w:val="single" w:sz="4" w:space="0" w:color="D9CBB3"/>
            </w:tcBorders>
            <w:shd w:color="auto" w:fill="FFF4C2" w:val="clear"/>
          </w:tcPr>
          <w:p>
            <w:pPr>
              <w:pStyle w:val="Normal"/>
              <w:spacing w:lineRule="auto" w:line="252" w:before="0" w:after="40"/>
              <w:rPr/>
            </w:pPr>
            <w:r>
              <w:rPr>
                <w:sz w:val="19"/>
                <w:szCs w:val="19"/>
              </w:rPr>
              <w:t>Moyenne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Envoyer seulement les coffrets compatibles (budget, allergènes), format compact</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S6</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 cache : les questions répétées (le script de test répète « horaires ») sont recalculées.</w:t>
            </w:r>
          </w:p>
          <w:p>
            <w:pPr>
              <w:pStyle w:val="Normal"/>
              <w:spacing w:lineRule="auto" w:line="252" w:before="0" w:after="40"/>
              <w:rPr/>
            </w:pPr>
            <w:r>
              <w:rPr>
                <w:rFonts w:eastAsia="Consolas" w:cs="Consolas" w:ascii="Consolas" w:hAnsi="Consolas"/>
                <w:color w:val="7A2E1A"/>
                <w:sz w:val="19"/>
                <w:szCs w:val="19"/>
              </w:rPr>
              <w:t>load_test.py:9,12</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Calculs redondants</w:t>
            </w:r>
          </w:p>
        </w:tc>
        <w:tc>
          <w:tcPr>
            <w:tcW w:w="1049" w:type="dxa"/>
            <w:tcBorders>
              <w:top w:val="single" w:sz="4" w:space="0" w:color="D9CBB3"/>
              <w:start w:val="single" w:sz="4" w:space="0" w:color="D9CBB3"/>
              <w:bottom w:val="single" w:sz="4" w:space="0" w:color="D9CBB3"/>
              <w:end w:val="single" w:sz="4" w:space="0" w:color="D9CBB3"/>
            </w:tcBorders>
            <w:shd w:color="auto" w:fill="FFF4C2" w:val="clear"/>
          </w:tcPr>
          <w:p>
            <w:pPr>
              <w:pStyle w:val="Normal"/>
              <w:spacing w:lineRule="auto" w:line="252" w:before="0" w:after="40"/>
              <w:rPr/>
            </w:pPr>
            <w:r>
              <w:rPr>
                <w:sz w:val="19"/>
                <w:szCs w:val="19"/>
              </w:rPr>
              <w:t>Moyenne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Cache des réponses aux questions fréquentes</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S7</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Aucune limite de longueur sur les messages.</w:t>
            </w:r>
          </w:p>
          <w:p>
            <w:pPr>
              <w:pStyle w:val="Normal"/>
              <w:spacing w:lineRule="auto" w:line="252" w:before="0" w:after="40"/>
              <w:rPr/>
            </w:pPr>
            <w:r>
              <w:rPr>
                <w:rFonts w:eastAsia="Consolas" w:cs="Consolas" w:ascii="Consolas" w:hAnsi="Consolas"/>
                <w:color w:val="7A2E1A"/>
                <w:sz w:val="19"/>
                <w:szCs w:val="19"/>
              </w:rPr>
              <w:t>app.py:13-15</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Messages très longs = coût et abus</w:t>
            </w:r>
          </w:p>
        </w:tc>
        <w:tc>
          <w:tcPr>
            <w:tcW w:w="1049" w:type="dxa"/>
            <w:tcBorders>
              <w:top w:val="single" w:sz="4" w:space="0" w:color="D9CBB3"/>
              <w:start w:val="single" w:sz="4" w:space="0" w:color="D9CBB3"/>
              <w:bottom w:val="single" w:sz="4" w:space="0" w:color="D9CBB3"/>
              <w:end w:val="single" w:sz="4" w:space="0" w:color="D9CBB3"/>
            </w:tcBorders>
            <w:shd w:color="auto" w:fill="FFF4C2" w:val="clear"/>
          </w:tcPr>
          <w:p>
            <w:pPr>
              <w:pStyle w:val="Normal"/>
              <w:spacing w:lineRule="auto" w:line="252" w:before="0" w:after="40"/>
              <w:rPr/>
            </w:pPr>
            <w:r>
              <w:rPr>
                <w:sz w:val="19"/>
                <w:szCs w:val="19"/>
              </w:rPr>
              <w:t>Moyenne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Limite (ex. 500 caractères) dans le modèle Pydantic</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S8</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Client HTTP recréé à chaque appel ; temperature 0.7.</w:t>
            </w:r>
          </w:p>
          <w:p>
            <w:pPr>
              <w:pStyle w:val="Normal"/>
              <w:spacing w:lineRule="auto" w:line="252" w:before="0" w:after="40"/>
              <w:rPr/>
            </w:pPr>
            <w:r>
              <w:rPr>
                <w:rFonts w:eastAsia="Consolas" w:cs="Consolas" w:ascii="Consolas" w:hAnsi="Consolas"/>
                <w:color w:val="7A2E1A"/>
                <w:sz w:val="19"/>
                <w:szCs w:val="19"/>
              </w:rPr>
              <w:t>llm.py:23-24</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Léger surcoût ; réponses moins stables</w:t>
            </w:r>
          </w:p>
        </w:tc>
        <w:tc>
          <w:tcPr>
            <w:tcW w:w="1049"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Faible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Client unique ; temperature plus basse (≈ 0.3)</w:t>
            </w:r>
          </w:p>
        </w:tc>
      </w:tr>
    </w:tbl>
    <w:p>
      <w:pPr>
        <w:pStyle w:val="Normal"/>
        <w:spacing w:before="0" w:after="80"/>
        <w:rPr/>
      </w:pPr>
      <w:r>
        <w:rPr/>
      </w:r>
    </w:p>
    <w:p>
      <w:pPr>
        <w:pStyle w:val="Heading2"/>
        <w:rPr/>
      </w:pPr>
      <w:bookmarkStart w:id="24" w:name="_Toc25"/>
      <w:r>
        <w:rPr/>
        <w:t>4.4 Fiabilité et supervision</w:t>
      </w:r>
      <w:bookmarkEnd w:id="24"/>
    </w:p>
    <w:tbl>
      <w:tblPr>
        <w:tblW w:w="9638" w:type="dxa"/>
        <w:jc w:val="start"/>
        <w:tblInd w:w="0" w:type="dxa"/>
        <w:tblLayout w:type="fixed"/>
        <w:tblCellMar>
          <w:top w:w="70" w:type="dxa"/>
          <w:start w:w="100" w:type="dxa"/>
          <w:bottom w:w="70" w:type="dxa"/>
          <w:end w:w="100" w:type="dxa"/>
        </w:tblCellMar>
      </w:tblPr>
      <w:tblGrid>
        <w:gridCol w:w="649"/>
        <w:gridCol w:w="3151"/>
        <w:gridCol w:w="2350"/>
        <w:gridCol w:w="1049"/>
        <w:gridCol w:w="2439"/>
      </w:tblGrid>
      <w:tr>
        <w:trPr>
          <w:tblHeader w:val="true"/>
        </w:trPr>
        <w:tc>
          <w:tcPr>
            <w:tcW w:w="64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ID</w:t>
            </w:r>
          </w:p>
        </w:tc>
        <w:tc>
          <w:tcPr>
            <w:tcW w:w="3151"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Constat et preuve</w:t>
            </w:r>
          </w:p>
        </w:tc>
        <w:tc>
          <w:tcPr>
            <w:tcW w:w="235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Risque</w:t>
            </w:r>
          </w:p>
        </w:tc>
        <w:tc>
          <w:tcPr>
            <w:tcW w:w="104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Gravité</w:t>
            </w:r>
          </w:p>
        </w:tc>
        <w:tc>
          <w:tcPr>
            <w:tcW w:w="243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Recommandation</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F1</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 xml:space="preserve">Toutes les erreurs sont avalées par </w:t>
            </w:r>
            <w:r>
              <w:rPr>
                <w:rFonts w:eastAsia="Consolas" w:cs="Consolas" w:ascii="Consolas" w:hAnsi="Consolas"/>
                <w:color w:val="7A2E1A"/>
                <w:sz w:val="19"/>
                <w:szCs w:val="19"/>
              </w:rPr>
              <w:t>except Exception</w:t>
            </w:r>
            <w:r>
              <w:rPr>
                <w:sz w:val="19"/>
                <w:szCs w:val="19"/>
              </w:rPr>
              <w:t xml:space="preserve"> sans aucune trace.</w:t>
            </w:r>
          </w:p>
          <w:p>
            <w:pPr>
              <w:pStyle w:val="Normal"/>
              <w:spacing w:lineRule="auto" w:line="252" w:before="0" w:after="40"/>
              <w:rPr/>
            </w:pPr>
            <w:r>
              <w:rPr>
                <w:rFonts w:eastAsia="Consolas" w:cs="Consolas" w:ascii="Consolas" w:hAnsi="Consolas"/>
                <w:color w:val="7A2E1A"/>
                <w:sz w:val="19"/>
                <w:szCs w:val="19"/>
              </w:rPr>
              <w:t>chatbot.py:43-44</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Pannes invisibles, diagnostic impossible</w:t>
            </w:r>
          </w:p>
        </w:tc>
        <w:tc>
          <w:tcPr>
            <w:tcW w:w="1049"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Critique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Journaliser l’exception + envoi à Sentry</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F2</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 outil de suivi d’erreurs ni d’alerte.</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Personne n’est prévenu en cas de panne</w:t>
            </w:r>
          </w:p>
        </w:tc>
        <w:tc>
          <w:tcPr>
            <w:tcW w:w="1049" w:type="dxa"/>
            <w:tcBorders>
              <w:top w:val="single" w:sz="4" w:space="0" w:color="D9CBB3"/>
              <w:start w:val="single" w:sz="4" w:space="0" w:color="D9CBB3"/>
              <w:bottom w:val="single" w:sz="4" w:space="0" w:color="D9CBB3"/>
              <w:end w:val="single" w:sz="4" w:space="0" w:color="D9CBB3"/>
            </w:tcBorders>
            <w:shd w:color="auto" w:fill="F4C7C3" w:val="clear"/>
          </w:tcPr>
          <w:p>
            <w:pPr>
              <w:pStyle w:val="Normal"/>
              <w:spacing w:lineRule="auto" w:line="252" w:before="0" w:after="40"/>
              <w:rPr/>
            </w:pPr>
            <w:r>
              <w:rPr>
                <w:sz w:val="19"/>
                <w:szCs w:val="19"/>
              </w:rPr>
              <w:t>Critique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Sentry (ou GlitchTip auto-hébergé) avec alerte email / Slack</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F3</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rFonts w:eastAsia="Consolas" w:cs="Consolas" w:ascii="Consolas" w:hAnsi="Consolas"/>
                <w:color w:val="7A2E1A"/>
                <w:sz w:val="19"/>
                <w:szCs w:val="19"/>
              </w:rPr>
              <w:t>/health</w:t>
            </w:r>
            <w:r>
              <w:rPr>
                <w:sz w:val="19"/>
                <w:szCs w:val="19"/>
              </w:rPr>
              <w:t xml:space="preserve"> renvoie toujours « ok », sans vérifier Ollama ni la base.</w:t>
            </w:r>
          </w:p>
          <w:p>
            <w:pPr>
              <w:pStyle w:val="Normal"/>
              <w:spacing w:lineRule="auto" w:line="252" w:before="0" w:after="40"/>
              <w:rPr/>
            </w:pPr>
            <w:r>
              <w:rPr>
                <w:rFonts w:eastAsia="Consolas" w:cs="Consolas" w:ascii="Consolas" w:hAnsi="Consolas"/>
                <w:color w:val="7A2E1A"/>
                <w:sz w:val="19"/>
                <w:szCs w:val="19"/>
              </w:rPr>
              <w:t>app.py:55-57</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Fausse impression de bon fonctionnement</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Vérifier la base et le modèle ; renvoyer 503 sinon</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F4</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Pas de nouvelle tentative ni de solution de repli.</w:t>
            </w:r>
          </w:p>
          <w:p>
            <w:pPr>
              <w:pStyle w:val="Normal"/>
              <w:spacing w:lineRule="auto" w:line="252" w:before="0" w:after="40"/>
              <w:rPr/>
            </w:pPr>
            <w:r>
              <w:rPr>
                <w:rFonts w:eastAsia="Consolas" w:cs="Consolas" w:ascii="Consolas" w:hAnsi="Consolas"/>
                <w:color w:val="7A2E1A"/>
                <w:sz w:val="19"/>
                <w:szCs w:val="19"/>
              </w:rPr>
              <w:t>llm.py</w:t>
            </w:r>
            <w:r>
              <w:rPr>
                <w:sz w:val="19"/>
                <w:szCs w:val="19"/>
              </w:rPr>
              <w:t xml:space="preserve">, </w:t>
            </w:r>
            <w:r>
              <w:rPr>
                <w:rFonts w:eastAsia="Consolas" w:cs="Consolas" w:ascii="Consolas" w:hAnsi="Consolas"/>
                <w:color w:val="7A2E1A"/>
                <w:sz w:val="19"/>
                <w:szCs w:val="19"/>
              </w:rPr>
              <w:t>chatbot.py:41-44</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Une panne passagère = échec pour le client</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1 nouvelle tentative, puis petit modèle, puis réponse statique</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F5</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Délai d’attente de 180 s.</w:t>
            </w:r>
          </w:p>
          <w:p>
            <w:pPr>
              <w:pStyle w:val="Normal"/>
              <w:spacing w:lineRule="auto" w:line="252" w:before="0" w:after="40"/>
              <w:rPr/>
            </w:pPr>
            <w:r>
              <w:rPr>
                <w:rFonts w:eastAsia="Consolas" w:cs="Consolas" w:ascii="Consolas" w:hAnsi="Consolas"/>
                <w:color w:val="7A2E1A"/>
                <w:sz w:val="19"/>
                <w:szCs w:val="19"/>
              </w:rPr>
              <w:t>llm.py:23</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Client bloqué 3 minutes ; requêtes empilées en cas de pic</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Délai ≈ 30 s + message d’attente</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F6</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Catalogue chargé au démarrage sans validation.</w:t>
            </w:r>
          </w:p>
          <w:p>
            <w:pPr>
              <w:pStyle w:val="Normal"/>
              <w:spacing w:lineRule="auto" w:line="252" w:before="0" w:after="40"/>
              <w:rPr/>
            </w:pPr>
            <w:r>
              <w:rPr>
                <w:rFonts w:eastAsia="Consolas" w:cs="Consolas" w:ascii="Consolas" w:hAnsi="Consolas"/>
                <w:color w:val="7A2E1A"/>
                <w:sz w:val="19"/>
                <w:szCs w:val="19"/>
              </w:rPr>
              <w:t>chatbot.py:5-6</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Donnée corrompue = application qui ne démarre pas, ou prix / allergènes faux transmis au modèle</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Valider le schéma (Pydantic), message d’erreur clair, alerte</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F7</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Une seule connexion SQLite partagée entre threads, sans verrou ; routes synchrones ; Ollama traite les requêtes une par une.</w:t>
            </w:r>
          </w:p>
          <w:p>
            <w:pPr>
              <w:pStyle w:val="Normal"/>
              <w:spacing w:lineRule="auto" w:line="252" w:before="0" w:after="40"/>
              <w:rPr/>
            </w:pPr>
            <w:r>
              <w:rPr>
                <w:rFonts w:eastAsia="Consolas" w:cs="Consolas" w:ascii="Consolas" w:hAnsi="Consolas"/>
                <w:color w:val="7A2E1A"/>
                <w:sz w:val="19"/>
                <w:szCs w:val="19"/>
              </w:rPr>
              <w:t>db.py:3</w:t>
            </w:r>
            <w:r>
              <w:rPr>
                <w:sz w:val="19"/>
                <w:szCs w:val="19"/>
              </w:rPr>
              <w:t xml:space="preserve">, </w:t>
            </w:r>
            <w:r>
              <w:rPr>
                <w:rFonts w:eastAsia="Consolas" w:cs="Consolas" w:ascii="Consolas" w:hAnsi="Consolas"/>
                <w:color w:val="7A2E1A"/>
                <w:sz w:val="19"/>
                <w:szCs w:val="19"/>
              </w:rPr>
              <w:t>app.py:37-39</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Pic de charge : erreurs « database is locked », files d’attente</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Connexion par requête ou verrou ; limitation de débit ; mesures de latence</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F8</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 xml:space="preserve">Pas de journalisation structurée (un seul </w:t>
            </w:r>
            <w:r>
              <w:rPr>
                <w:rFonts w:eastAsia="Consolas" w:cs="Consolas" w:ascii="Consolas" w:hAnsi="Consolas"/>
                <w:color w:val="7A2E1A"/>
                <w:sz w:val="19"/>
                <w:szCs w:val="19"/>
              </w:rPr>
              <w:t>print</w:t>
            </w:r>
            <w:r>
              <w:rPr>
                <w:sz w:val="19"/>
                <w:szCs w:val="19"/>
              </w:rPr>
              <w:t>), ni niveau, ni identifiant de requête.</w:t>
            </w:r>
          </w:p>
          <w:p>
            <w:pPr>
              <w:pStyle w:val="Normal"/>
              <w:spacing w:lineRule="auto" w:line="252" w:before="0" w:after="40"/>
              <w:rPr/>
            </w:pPr>
            <w:r>
              <w:rPr>
                <w:rFonts w:eastAsia="Consolas" w:cs="Consolas" w:ascii="Consolas" w:hAnsi="Consolas"/>
                <w:color w:val="7A2E1A"/>
                <w:sz w:val="19"/>
                <w:szCs w:val="19"/>
              </w:rPr>
              <w:t>chatbot.py:36</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Diagnostic impossible après coup</w:t>
            </w:r>
          </w:p>
        </w:tc>
        <w:tc>
          <w:tcPr>
            <w:tcW w:w="1049" w:type="dxa"/>
            <w:tcBorders>
              <w:top w:val="single" w:sz="4" w:space="0" w:color="D9CBB3"/>
              <w:start w:val="single" w:sz="4" w:space="0" w:color="D9CBB3"/>
              <w:bottom w:val="single" w:sz="4" w:space="0" w:color="D9CBB3"/>
              <w:end w:val="single" w:sz="4" w:space="0" w:color="D9CBB3"/>
            </w:tcBorders>
            <w:shd w:color="auto" w:fill="FCE3C4" w:val="clear"/>
          </w:tcPr>
          <w:p>
            <w:pPr>
              <w:pStyle w:val="Normal"/>
              <w:spacing w:lineRule="auto" w:line="252" w:before="0" w:after="40"/>
              <w:rPr/>
            </w:pPr>
            <w:r>
              <w:rPr>
                <w:sz w:val="19"/>
                <w:szCs w:val="19"/>
              </w:rPr>
              <w:t>Élevée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Module logging, format JSON, identifiant de requête</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F9</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En cas d’échec, le message d’erreur est enregistré comme réponse de l’assistant et réinjecté dans l’historique.</w:t>
            </w:r>
          </w:p>
          <w:p>
            <w:pPr>
              <w:pStyle w:val="Normal"/>
              <w:spacing w:lineRule="auto" w:line="252" w:before="0" w:after="40"/>
              <w:rPr/>
            </w:pPr>
            <w:r>
              <w:rPr>
                <w:rFonts w:eastAsia="Consolas" w:cs="Consolas" w:ascii="Consolas" w:hAnsi="Consolas"/>
                <w:color w:val="7A2E1A"/>
                <w:sz w:val="19"/>
                <w:szCs w:val="19"/>
              </w:rPr>
              <w:t>chatbot.py:44-46</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Pollue le contexte des tours suivants</w:t>
            </w:r>
          </w:p>
        </w:tc>
        <w:tc>
          <w:tcPr>
            <w:tcW w:w="1049" w:type="dxa"/>
            <w:tcBorders>
              <w:top w:val="single" w:sz="4" w:space="0" w:color="D9CBB3"/>
              <w:start w:val="single" w:sz="4" w:space="0" w:color="D9CBB3"/>
              <w:bottom w:val="single" w:sz="4" w:space="0" w:color="D9CBB3"/>
              <w:end w:val="single" w:sz="4" w:space="0" w:color="D9CBB3"/>
            </w:tcBorders>
            <w:shd w:color="auto" w:fill="FFF4C2" w:val="clear"/>
          </w:tcPr>
          <w:p>
            <w:pPr>
              <w:pStyle w:val="Normal"/>
              <w:spacing w:lineRule="auto" w:line="252" w:before="0" w:after="40"/>
              <w:rPr/>
            </w:pPr>
            <w:r>
              <w:rPr>
                <w:sz w:val="19"/>
                <w:szCs w:val="19"/>
              </w:rPr>
              <w:t>Moyenne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Ne pas enregistrer les messages d’erreur dans l’historique</w:t>
            </w:r>
          </w:p>
        </w:tc>
      </w:tr>
    </w:tbl>
    <w:p>
      <w:pPr>
        <w:pStyle w:val="Normal"/>
        <w:spacing w:before="0" w:after="80"/>
        <w:rPr/>
      </w:pPr>
      <w:r>
        <w:rPr/>
      </w:r>
    </w:p>
    <w:p>
      <w:pPr>
        <w:pStyle w:val="Heading2"/>
        <w:rPr/>
      </w:pPr>
      <w:bookmarkStart w:id="25" w:name="_Toc26"/>
      <w:r>
        <w:rPr/>
        <w:t>4.5 Sécurité applicative</w:t>
      </w:r>
      <w:bookmarkEnd w:id="25"/>
    </w:p>
    <w:tbl>
      <w:tblPr>
        <w:tblW w:w="9638" w:type="dxa"/>
        <w:jc w:val="start"/>
        <w:tblInd w:w="0" w:type="dxa"/>
        <w:tblLayout w:type="fixed"/>
        <w:tblCellMar>
          <w:top w:w="70" w:type="dxa"/>
          <w:start w:w="100" w:type="dxa"/>
          <w:bottom w:w="70" w:type="dxa"/>
          <w:end w:w="100" w:type="dxa"/>
        </w:tblCellMar>
      </w:tblPr>
      <w:tblGrid>
        <w:gridCol w:w="649"/>
        <w:gridCol w:w="3151"/>
        <w:gridCol w:w="2350"/>
        <w:gridCol w:w="1049"/>
        <w:gridCol w:w="2439"/>
      </w:tblGrid>
      <w:tr>
        <w:trPr>
          <w:tblHeader w:val="true"/>
        </w:trPr>
        <w:tc>
          <w:tcPr>
            <w:tcW w:w="64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ID</w:t>
            </w:r>
          </w:p>
        </w:tc>
        <w:tc>
          <w:tcPr>
            <w:tcW w:w="3151"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Constat et preuve</w:t>
            </w:r>
          </w:p>
        </w:tc>
        <w:tc>
          <w:tcPr>
            <w:tcW w:w="235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Risque</w:t>
            </w:r>
          </w:p>
        </w:tc>
        <w:tc>
          <w:tcPr>
            <w:tcW w:w="104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Gravité</w:t>
            </w:r>
          </w:p>
        </w:tc>
        <w:tc>
          <w:tcPr>
            <w:tcW w:w="2439"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Recommandation</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X1</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rFonts w:eastAsia="Consolas" w:cs="Consolas" w:ascii="Consolas" w:hAnsi="Consolas"/>
                <w:color w:val="7A2E1A"/>
                <w:sz w:val="19"/>
                <w:szCs w:val="19"/>
              </w:rPr>
              <w:t>/profile</w:t>
            </w:r>
            <w:r>
              <w:rPr>
                <w:sz w:val="19"/>
                <w:szCs w:val="19"/>
              </w:rPr>
              <w:t xml:space="preserve"> accepte n’importe quel </w:t>
            </w:r>
            <w:r>
              <w:rPr>
                <w:rFonts w:eastAsia="Consolas" w:cs="Consolas" w:ascii="Consolas" w:hAnsi="Consolas"/>
                <w:color w:val="7A2E1A"/>
                <w:sz w:val="19"/>
                <w:szCs w:val="19"/>
              </w:rPr>
              <w:t>session_id</w:t>
            </w:r>
            <w:r>
              <w:rPr>
                <w:sz w:val="19"/>
                <w:szCs w:val="19"/>
              </w:rPr>
              <w:t xml:space="preserve"> et écrase le profil existant (INSERT OR REPLACE).</w:t>
            </w:r>
          </w:p>
          <w:p>
            <w:pPr>
              <w:pStyle w:val="Normal"/>
              <w:spacing w:lineRule="auto" w:line="252" w:before="0" w:after="40"/>
              <w:rPr/>
            </w:pPr>
            <w:r>
              <w:rPr>
                <w:rFonts w:eastAsia="Consolas" w:cs="Consolas" w:ascii="Consolas" w:hAnsi="Consolas"/>
                <w:color w:val="7A2E1A"/>
                <w:sz w:val="19"/>
                <w:szCs w:val="19"/>
              </w:rPr>
              <w:t>db.py:12-15</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Écrasement de données ; date de création réinitialisée</w:t>
            </w:r>
          </w:p>
        </w:tc>
        <w:tc>
          <w:tcPr>
            <w:tcW w:w="1049" w:type="dxa"/>
            <w:tcBorders>
              <w:top w:val="single" w:sz="4" w:space="0" w:color="D9CBB3"/>
              <w:start w:val="single" w:sz="4" w:space="0" w:color="D9CBB3"/>
              <w:bottom w:val="single" w:sz="4" w:space="0" w:color="D9CBB3"/>
              <w:end w:val="single" w:sz="4" w:space="0" w:color="D9CBB3"/>
            </w:tcBorders>
            <w:shd w:color="auto" w:fill="FFF4C2" w:val="clear"/>
          </w:tcPr>
          <w:p>
            <w:pPr>
              <w:pStyle w:val="Normal"/>
              <w:spacing w:lineRule="auto" w:line="252" w:before="0" w:after="40"/>
              <w:rPr/>
            </w:pPr>
            <w:r>
              <w:rPr>
                <w:sz w:val="19"/>
                <w:szCs w:val="19"/>
              </w:rPr>
              <w:t>Moyenne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Disparaît avec la suppression du profil (C3, C6)</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X2</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Aucune protection contre l’injection de prompt.</w:t>
            </w:r>
          </w:p>
          <w:p>
            <w:pPr>
              <w:pStyle w:val="Normal"/>
              <w:spacing w:lineRule="auto" w:line="252" w:before="0" w:after="40"/>
              <w:rPr/>
            </w:pPr>
            <w:r>
              <w:rPr>
                <w:rFonts w:eastAsia="Consolas" w:cs="Consolas" w:ascii="Consolas" w:hAnsi="Consolas"/>
                <w:color w:val="7A2E1A"/>
                <w:sz w:val="19"/>
                <w:szCs w:val="19"/>
              </w:rPr>
              <w:t>chatbot.py:39</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Faire tenir au bot des propos contraires à la marque</w:t>
            </w:r>
          </w:p>
        </w:tc>
        <w:tc>
          <w:tcPr>
            <w:tcW w:w="1049" w:type="dxa"/>
            <w:tcBorders>
              <w:top w:val="single" w:sz="4" w:space="0" w:color="D9CBB3"/>
              <w:start w:val="single" w:sz="4" w:space="0" w:color="D9CBB3"/>
              <w:bottom w:val="single" w:sz="4" w:space="0" w:color="D9CBB3"/>
              <w:end w:val="single" w:sz="4" w:space="0" w:color="D9CBB3"/>
            </w:tcBorders>
            <w:shd w:color="auto" w:fill="FFF4C2" w:val="clear"/>
          </w:tcPr>
          <w:p>
            <w:pPr>
              <w:pStyle w:val="Normal"/>
              <w:spacing w:lineRule="auto" w:line="252" w:before="0" w:after="40"/>
              <w:rPr/>
            </w:pPr>
            <w:r>
              <w:rPr>
                <w:sz w:val="19"/>
                <w:szCs w:val="19"/>
              </w:rPr>
              <w:t>Moyenne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Consignes de cadrage, filtrage des sorties, limite de longueur</w:t>
            </w:r>
          </w:p>
        </w:tc>
      </w:tr>
      <w:tr>
        <w:trPr>
          <w:cantSplit/>
        </w:trPr>
        <w:tc>
          <w:tcPr>
            <w:tcW w:w="64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X3</w:t>
            </w:r>
          </w:p>
        </w:tc>
        <w:tc>
          <w:tcPr>
            <w:tcW w:w="3151"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Aucune limitation de débit.</w:t>
            </w:r>
          </w:p>
          <w:p>
            <w:pPr>
              <w:pStyle w:val="Normal"/>
              <w:spacing w:lineRule="auto" w:line="252" w:before="0" w:after="40"/>
              <w:rPr/>
            </w:pPr>
            <w:r>
              <w:rPr>
                <w:rFonts w:eastAsia="Consolas" w:cs="Consolas" w:ascii="Consolas" w:hAnsi="Consolas"/>
                <w:color w:val="7A2E1A"/>
                <w:sz w:val="19"/>
                <w:szCs w:val="19"/>
              </w:rPr>
              <w:t>app.py</w:t>
            </w:r>
          </w:p>
        </w:tc>
        <w:tc>
          <w:tcPr>
            <w:tcW w:w="235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Abus et explosion de la charge</w:t>
            </w:r>
          </w:p>
        </w:tc>
        <w:tc>
          <w:tcPr>
            <w:tcW w:w="1049" w:type="dxa"/>
            <w:tcBorders>
              <w:top w:val="single" w:sz="4" w:space="0" w:color="D9CBB3"/>
              <w:start w:val="single" w:sz="4" w:space="0" w:color="D9CBB3"/>
              <w:bottom w:val="single" w:sz="4" w:space="0" w:color="D9CBB3"/>
              <w:end w:val="single" w:sz="4" w:space="0" w:color="D9CBB3"/>
            </w:tcBorders>
            <w:shd w:color="auto" w:fill="FFF4C2" w:val="clear"/>
          </w:tcPr>
          <w:p>
            <w:pPr>
              <w:pStyle w:val="Normal"/>
              <w:spacing w:lineRule="auto" w:line="252" w:before="0" w:after="40"/>
              <w:rPr/>
            </w:pPr>
            <w:r>
              <w:rPr>
                <w:sz w:val="19"/>
                <w:szCs w:val="19"/>
              </w:rPr>
              <w:t>Moyenne</w:t>
            </w:r>
          </w:p>
        </w:tc>
        <w:tc>
          <w:tcPr>
            <w:tcW w:w="2439"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Limite par IP / session</w:t>
            </w:r>
          </w:p>
        </w:tc>
      </w:tr>
      <w:tr>
        <w:trPr>
          <w:cantSplit/>
        </w:trPr>
        <w:tc>
          <w:tcPr>
            <w:tcW w:w="64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X4</w:t>
            </w:r>
          </w:p>
        </w:tc>
        <w:tc>
          <w:tcPr>
            <w:tcW w:w="3151"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 xml:space="preserve">Documentation d’API </w:t>
            </w:r>
            <w:r>
              <w:rPr>
                <w:rFonts w:eastAsia="Consolas" w:cs="Consolas" w:ascii="Consolas" w:hAnsi="Consolas"/>
                <w:color w:val="7A2E1A"/>
                <w:sz w:val="19"/>
                <w:szCs w:val="19"/>
              </w:rPr>
              <w:t>/docs</w:t>
            </w:r>
            <w:r>
              <w:rPr>
                <w:sz w:val="19"/>
                <w:szCs w:val="19"/>
              </w:rPr>
              <w:t xml:space="preserve"> publique.</w:t>
            </w:r>
          </w:p>
          <w:p>
            <w:pPr>
              <w:pStyle w:val="Normal"/>
              <w:spacing w:lineRule="auto" w:line="252" w:before="0" w:after="40"/>
              <w:rPr/>
            </w:pPr>
            <w:r>
              <w:rPr>
                <w:rFonts w:eastAsia="Consolas" w:cs="Consolas" w:ascii="Consolas" w:hAnsi="Consolas"/>
                <w:color w:val="7A2E1A"/>
                <w:sz w:val="19"/>
                <w:szCs w:val="19"/>
              </w:rPr>
              <w:t>app.py:9</w:t>
            </w:r>
          </w:p>
        </w:tc>
        <w:tc>
          <w:tcPr>
            <w:tcW w:w="235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Facilite la découverte des routes sensibles</w:t>
            </w:r>
          </w:p>
        </w:tc>
        <w:tc>
          <w:tcPr>
            <w:tcW w:w="1049" w:type="dxa"/>
            <w:tcBorders>
              <w:top w:val="single" w:sz="4" w:space="0" w:color="D9CBB3"/>
              <w:start w:val="single" w:sz="4" w:space="0" w:color="D9CBB3"/>
              <w:bottom w:val="single" w:sz="4" w:space="0" w:color="D9CBB3"/>
              <w:end w:val="single" w:sz="4" w:space="0" w:color="D9CBB3"/>
            </w:tcBorders>
            <w:shd w:color="auto" w:fill="DDEFD9" w:val="clear"/>
          </w:tcPr>
          <w:p>
            <w:pPr>
              <w:pStyle w:val="Normal"/>
              <w:spacing w:lineRule="auto" w:line="252" w:before="0" w:after="40"/>
              <w:rPr/>
            </w:pPr>
            <w:r>
              <w:rPr>
                <w:sz w:val="19"/>
                <w:szCs w:val="19"/>
              </w:rPr>
              <w:t>Faible</w:t>
            </w:r>
          </w:p>
        </w:tc>
        <w:tc>
          <w:tcPr>
            <w:tcW w:w="2439"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Désactiver en production</w:t>
            </w:r>
          </w:p>
        </w:tc>
      </w:tr>
    </w:tbl>
    <w:p>
      <w:pPr>
        <w:pStyle w:val="Normal"/>
        <w:spacing w:before="0" w:after="80"/>
        <w:rPr/>
      </w:pPr>
      <w:r>
        <w:rPr/>
      </w:r>
    </w:p>
    <w:p>
      <w:pPr>
        <w:pStyle w:val="Heading2"/>
        <w:rPr/>
      </w:pPr>
      <w:bookmarkStart w:id="26" w:name="_Toc27"/>
      <w:r>
        <w:rPr/>
        <w:t>4.6 Points positifs à conserver</w:t>
      </w:r>
      <w:bookmarkEnd w:id="26"/>
    </w:p>
    <w:p>
      <w:pPr>
        <w:pStyle w:val="ListParagraph"/>
        <w:numPr>
          <w:ilvl w:val="0"/>
          <w:numId w:val="1"/>
        </w:numPr>
        <w:spacing w:lineRule="auto" w:line="264" w:before="0" w:after="60"/>
        <w:rPr/>
      </w:pPr>
      <w:r>
        <w:rPr>
          <w:b/>
          <w:bCs/>
        </w:rPr>
        <w:t>Modèle exécuté en local</w:t>
      </w:r>
      <w:r>
        <w:rPr/>
        <w:t xml:space="preserve"> (Ollama) : aucune donnée envoyée à un tiers, aucun transfert hors UE, coût marginal nul par token.</w:t>
      </w:r>
    </w:p>
    <w:p>
      <w:pPr>
        <w:pStyle w:val="ListParagraph"/>
        <w:numPr>
          <w:ilvl w:val="0"/>
          <w:numId w:val="1"/>
        </w:numPr>
        <w:spacing w:lineRule="auto" w:line="264" w:before="0" w:after="60"/>
        <w:rPr/>
      </w:pPr>
      <w:r>
        <w:rPr>
          <w:b/>
          <w:bCs/>
        </w:rPr>
        <w:t>Requêtes SQL paramétrées</w:t>
      </w:r>
      <w:r>
        <w:rPr/>
        <w:t xml:space="preserve"> (</w:t>
      </w:r>
      <w:r>
        <w:rPr>
          <w:rFonts w:eastAsia="Consolas" w:cs="Consolas" w:ascii="Consolas" w:hAnsi="Consolas"/>
          <w:color w:val="7A2E1A"/>
          <w:sz w:val="19"/>
          <w:szCs w:val="19"/>
        </w:rPr>
        <w:t>db.py</w:t>
      </w:r>
      <w:r>
        <w:rPr/>
        <w:t>) : pas d’injection SQL.</w:t>
      </w:r>
    </w:p>
    <w:p>
      <w:pPr>
        <w:pStyle w:val="ListParagraph"/>
        <w:numPr>
          <w:ilvl w:val="0"/>
          <w:numId w:val="1"/>
        </w:numPr>
        <w:spacing w:lineRule="auto" w:line="264" w:before="0" w:after="60"/>
        <w:rPr/>
      </w:pPr>
      <w:r>
        <w:rPr>
          <w:b/>
          <w:bCs/>
        </w:rPr>
        <w:t>Affichage avec textContent</w:t>
      </w:r>
      <w:r>
        <w:rPr/>
        <w:t xml:space="preserve"> dans le chat et le back-office : pas de faille XSS.</w:t>
      </w:r>
    </w:p>
    <w:p>
      <w:pPr>
        <w:pStyle w:val="ListParagraph"/>
        <w:numPr>
          <w:ilvl w:val="0"/>
          <w:numId w:val="1"/>
        </w:numPr>
        <w:spacing w:lineRule="auto" w:line="264" w:before="0" w:after="60"/>
        <w:rPr/>
      </w:pPr>
      <w:r>
        <w:rPr/>
        <w:t xml:space="preserve">Les informations du formulaire ne partent </w:t>
      </w:r>
      <w:r>
        <w:rPr>
          <w:b/>
          <w:bCs/>
        </w:rPr>
        <w:t>qu’au clic</w:t>
      </w:r>
      <w:r>
        <w:rPr/>
        <w:t xml:space="preserve"> de l’utilisateur (</w:t>
      </w:r>
      <w:r>
        <w:rPr>
          <w:rFonts w:eastAsia="Consolas" w:cs="Consolas" w:ascii="Consolas" w:hAnsi="Consolas"/>
          <w:color w:val="7A2E1A"/>
          <w:sz w:val="19"/>
          <w:szCs w:val="19"/>
        </w:rPr>
        <w:t>index.html:113-114</w:t>
      </w:r>
      <w:r>
        <w:rPr/>
        <w:t>).</w:t>
      </w:r>
    </w:p>
    <w:p>
      <w:pPr>
        <w:pStyle w:val="ListParagraph"/>
        <w:numPr>
          <w:ilvl w:val="0"/>
          <w:numId w:val="1"/>
        </w:numPr>
        <w:spacing w:lineRule="auto" w:line="264" w:before="0" w:after="60"/>
        <w:rPr/>
      </w:pPr>
      <w:r>
        <w:rPr/>
        <w:t xml:space="preserve">Un </w:t>
      </w:r>
      <w:r>
        <w:rPr>
          <w:b/>
          <w:bCs/>
        </w:rPr>
        <w:t>outil de mesure</w:t>
      </w:r>
      <w:r>
        <w:rPr/>
        <w:t xml:space="preserve"> (</w:t>
      </w:r>
      <w:r>
        <w:rPr>
          <w:rFonts w:eastAsia="Consolas" w:cs="Consolas" w:ascii="Consolas" w:hAnsi="Consolas"/>
          <w:color w:val="7A2E1A"/>
          <w:sz w:val="19"/>
          <w:szCs w:val="19"/>
        </w:rPr>
        <w:t>load_test.py</w:t>
      </w:r>
      <w:r>
        <w:rPr/>
        <w:t xml:space="preserve">) et une </w:t>
      </w:r>
      <w:r>
        <w:rPr>
          <w:b/>
          <w:bCs/>
        </w:rPr>
        <w:t>simulation de pannes</w:t>
      </w:r>
      <w:r>
        <w:rPr/>
        <w:t xml:space="preserve"> (</w:t>
      </w:r>
      <w:r>
        <w:rPr>
          <w:rFonts w:eastAsia="Consolas" w:cs="Consolas" w:ascii="Consolas" w:hAnsi="Consolas"/>
          <w:color w:val="7A2E1A"/>
          <w:sz w:val="19"/>
          <w:szCs w:val="19"/>
        </w:rPr>
        <w:t>FAIL_RATE</w:t>
      </w:r>
      <w:r>
        <w:rPr/>
        <w:t xml:space="preserve">, </w:t>
      </w:r>
      <w:r>
        <w:rPr>
          <w:rFonts w:eastAsia="Consolas" w:cs="Consolas" w:ascii="Consolas" w:hAnsi="Consolas"/>
          <w:color w:val="7A2E1A"/>
          <w:sz w:val="19"/>
          <w:szCs w:val="19"/>
        </w:rPr>
        <w:t>EXTRA_LATENCY</w:t>
      </w:r>
      <w:r>
        <w:rPr/>
        <w:t>) existent déjà : ils serviront à prouver l’amélioration avant / après.</w:t>
      </w:r>
    </w:p>
    <w:p>
      <w:pPr>
        <w:pStyle w:val="Heading2"/>
        <w:rPr/>
      </w:pPr>
      <w:bookmarkStart w:id="27" w:name="_Toc28"/>
      <w:r>
        <w:rPr/>
        <w:t>4.7 Plan d’action priorisé</w:t>
      </w:r>
      <w:bookmarkEnd w:id="27"/>
    </w:p>
    <w:tbl>
      <w:tblPr>
        <w:tblW w:w="9638" w:type="dxa"/>
        <w:jc w:val="start"/>
        <w:tblInd w:w="0" w:type="dxa"/>
        <w:tblLayout w:type="fixed"/>
        <w:tblCellMar>
          <w:top w:w="70" w:type="dxa"/>
          <w:start w:w="100" w:type="dxa"/>
          <w:bottom w:w="70" w:type="dxa"/>
          <w:end w:w="100" w:type="dxa"/>
        </w:tblCellMar>
      </w:tblPr>
      <w:tblGrid>
        <w:gridCol w:w="1000"/>
        <w:gridCol w:w="4900"/>
        <w:gridCol w:w="2238"/>
        <w:gridCol w:w="1500"/>
      </w:tblGrid>
      <w:tr>
        <w:trPr>
          <w:tblHeader w:val="true"/>
        </w:trPr>
        <w:tc>
          <w:tcPr>
            <w:tcW w:w="10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Priorité</w:t>
            </w:r>
          </w:p>
        </w:tc>
        <w:tc>
          <w:tcPr>
            <w:tcW w:w="49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Action</w:t>
            </w:r>
          </w:p>
        </w:tc>
        <w:tc>
          <w:tcPr>
            <w:tcW w:w="2238"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Problèmes traités</w:t>
            </w:r>
          </w:p>
        </w:tc>
        <w:tc>
          <w:tcPr>
            <w:tcW w:w="1500" w:type="dxa"/>
            <w:tcBorders>
              <w:top w:val="single" w:sz="4" w:space="0" w:color="D9CBB3"/>
              <w:start w:val="single" w:sz="4" w:space="0" w:color="D9CBB3"/>
              <w:bottom w:val="single" w:sz="4" w:space="0" w:color="D9CBB3"/>
              <w:end w:val="single" w:sz="4" w:space="0" w:color="D9CBB3"/>
            </w:tcBorders>
            <w:shd w:color="auto" w:fill="4A2A1C" w:val="clear"/>
          </w:tcPr>
          <w:p>
            <w:pPr>
              <w:pStyle w:val="Normal"/>
              <w:spacing w:lineRule="auto" w:line="252" w:before="0" w:after="40"/>
              <w:rPr/>
            </w:pPr>
            <w:r>
              <w:rPr>
                <w:b/>
                <w:bCs/>
                <w:color w:val="FFFFFF"/>
                <w:sz w:val="19"/>
                <w:szCs w:val="19"/>
              </w:rPr>
              <w:t>Effort</w:t>
            </w:r>
          </w:p>
        </w:tc>
      </w:tr>
      <w:tr>
        <w:trPr>
          <w:cantSplit/>
        </w:trPr>
        <w:tc>
          <w:tcPr>
            <w:tcW w:w="1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1</w:t>
            </w:r>
          </w:p>
        </w:tc>
        <w:tc>
          <w:tcPr>
            <w:tcW w:w="49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Protéger / désactiver le back-office et purger la base existante</w:t>
            </w:r>
          </w:p>
        </w:tc>
        <w:tc>
          <w:tcPr>
            <w:tcW w:w="2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C4</w:t>
            </w:r>
          </w:p>
        </w:tc>
        <w:tc>
          <w:tcPr>
            <w:tcW w:w="15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Faible</w:t>
            </w:r>
          </w:p>
        </w:tc>
      </w:tr>
      <w:tr>
        <w:trPr>
          <w:cantSplit/>
        </w:trPr>
        <w:tc>
          <w:tcPr>
            <w:tcW w:w="10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2</w:t>
            </w:r>
          </w:p>
        </w:tc>
        <w:tc>
          <w:tcPr>
            <w:tcW w:w="49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Transparence IA + mention d’information RGPD</w:t>
            </w:r>
          </w:p>
        </w:tc>
        <w:tc>
          <w:tcPr>
            <w:tcW w:w="2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C1, C2</w:t>
            </w:r>
          </w:p>
        </w:tc>
        <w:tc>
          <w:tcPr>
            <w:tcW w:w="15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Faible</w:t>
            </w:r>
          </w:p>
        </w:tc>
      </w:tr>
      <w:tr>
        <w:trPr>
          <w:cantSplit/>
        </w:trPr>
        <w:tc>
          <w:tcPr>
            <w:tcW w:w="1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3</w:t>
            </w:r>
          </w:p>
        </w:tc>
        <w:tc>
          <w:tcPr>
            <w:tcW w:w="49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Supprimer nom, email, âge ; allergies en session avec filtrage en code</w:t>
            </w:r>
          </w:p>
        </w:tc>
        <w:tc>
          <w:tcPr>
            <w:tcW w:w="2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C3, C5, C6, C11, X1</w:t>
            </w:r>
          </w:p>
        </w:tc>
        <w:tc>
          <w:tcPr>
            <w:tcW w:w="15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Moyen</w:t>
            </w:r>
          </w:p>
        </w:tc>
      </w:tr>
      <w:tr>
        <w:trPr>
          <w:cantSplit/>
        </w:trPr>
        <w:tc>
          <w:tcPr>
            <w:tcW w:w="10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4</w:t>
            </w:r>
          </w:p>
        </w:tc>
        <w:tc>
          <w:tcPr>
            <w:tcW w:w="49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Journalisation sans données personnelles + Sentry + alertes</w:t>
            </w:r>
          </w:p>
        </w:tc>
        <w:tc>
          <w:tcPr>
            <w:tcW w:w="2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F1, F2, F8, C12</w:t>
            </w:r>
          </w:p>
        </w:tc>
        <w:tc>
          <w:tcPr>
            <w:tcW w:w="15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Moyen</w:t>
            </w:r>
          </w:p>
        </w:tc>
      </w:tr>
      <w:tr>
        <w:trPr>
          <w:cantSplit/>
        </w:trPr>
        <w:tc>
          <w:tcPr>
            <w:tcW w:w="1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5</w:t>
            </w:r>
          </w:p>
        </w:tc>
        <w:tc>
          <w:tcPr>
            <w:tcW w:w="49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Réponses statiques (horaires, livraison) + cache</w:t>
            </w:r>
          </w:p>
        </w:tc>
        <w:tc>
          <w:tcPr>
            <w:tcW w:w="2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C9, S1, S6</w:t>
            </w:r>
          </w:p>
        </w:tc>
        <w:tc>
          <w:tcPr>
            <w:tcW w:w="15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Faible</w:t>
            </w:r>
          </w:p>
        </w:tc>
      </w:tr>
      <w:tr>
        <w:trPr>
          <w:cantSplit/>
        </w:trPr>
        <w:tc>
          <w:tcPr>
            <w:tcW w:w="10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6</w:t>
            </w:r>
          </w:p>
        </w:tc>
        <w:tc>
          <w:tcPr>
            <w:tcW w:w="49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Routage petit / gros modèle, réponses courtes, historique limité</w:t>
            </w:r>
          </w:p>
        </w:tc>
        <w:tc>
          <w:tcPr>
            <w:tcW w:w="2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S1, S2, S3, S5</w:t>
            </w:r>
          </w:p>
        </w:tc>
        <w:tc>
          <w:tcPr>
            <w:tcW w:w="15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Moyen</w:t>
            </w:r>
          </w:p>
        </w:tc>
      </w:tr>
      <w:tr>
        <w:trPr>
          <w:cantSplit/>
        </w:trPr>
        <w:tc>
          <w:tcPr>
            <w:tcW w:w="1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7</w:t>
            </w:r>
          </w:p>
        </w:tc>
        <w:tc>
          <w:tcPr>
            <w:tcW w:w="49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Nouvelle tentative, repli, délai réduit, /health réel</w:t>
            </w:r>
          </w:p>
        </w:tc>
        <w:tc>
          <w:tcPr>
            <w:tcW w:w="2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F3, F4, F5, F9</w:t>
            </w:r>
          </w:p>
        </w:tc>
        <w:tc>
          <w:tcPr>
            <w:tcW w:w="15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Moyen</w:t>
            </w:r>
          </w:p>
        </w:tc>
      </w:tr>
      <w:tr>
        <w:trPr>
          <w:cantSplit/>
        </w:trPr>
        <w:tc>
          <w:tcPr>
            <w:tcW w:w="10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8</w:t>
            </w:r>
          </w:p>
        </w:tc>
        <w:tc>
          <w:tcPr>
            <w:tcW w:w="49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Purge automatique + route d’effacement</w:t>
            </w:r>
          </w:p>
        </w:tc>
        <w:tc>
          <w:tcPr>
            <w:tcW w:w="2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C7, C8</w:t>
            </w:r>
          </w:p>
        </w:tc>
        <w:tc>
          <w:tcPr>
            <w:tcW w:w="15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Moyen</w:t>
            </w:r>
          </w:p>
        </w:tc>
      </w:tr>
      <w:tr>
        <w:trPr>
          <w:cantSplit/>
        </w:trPr>
        <w:tc>
          <w:tcPr>
            <w:tcW w:w="10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9</w:t>
            </w:r>
          </w:p>
        </w:tc>
        <w:tc>
          <w:tcPr>
            <w:tcW w:w="49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Validation du catalogue, verrou SQLite, limitation de débit</w:t>
            </w:r>
          </w:p>
        </w:tc>
        <w:tc>
          <w:tcPr>
            <w:tcW w:w="2238"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F6, F7, X3</w:t>
            </w:r>
          </w:p>
        </w:tc>
        <w:tc>
          <w:tcPr>
            <w:tcW w:w="1500" w:type="dxa"/>
            <w:tcBorders>
              <w:top w:val="single" w:sz="4" w:space="0" w:color="D9CBB3"/>
              <w:start w:val="single" w:sz="4" w:space="0" w:color="D9CBB3"/>
              <w:bottom w:val="single" w:sz="4" w:space="0" w:color="D9CBB3"/>
              <w:end w:val="single" w:sz="4" w:space="0" w:color="D9CBB3"/>
            </w:tcBorders>
          </w:tcPr>
          <w:p>
            <w:pPr>
              <w:pStyle w:val="Normal"/>
              <w:spacing w:lineRule="auto" w:line="252" w:before="0" w:after="40"/>
              <w:rPr/>
            </w:pPr>
            <w:r>
              <w:rPr>
                <w:sz w:val="19"/>
                <w:szCs w:val="19"/>
              </w:rPr>
              <w:t>Moyen</w:t>
            </w:r>
          </w:p>
        </w:tc>
      </w:tr>
      <w:tr>
        <w:trPr>
          <w:cantSplit/>
        </w:trPr>
        <w:tc>
          <w:tcPr>
            <w:tcW w:w="10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10</w:t>
            </w:r>
          </w:p>
        </w:tc>
        <w:tc>
          <w:tcPr>
            <w:tcW w:w="49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Registre, fiche de conformité, sensibilisation de l’équipe</w:t>
            </w:r>
          </w:p>
        </w:tc>
        <w:tc>
          <w:tcPr>
            <w:tcW w:w="2238"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C10, AI Act art. 4</w:t>
            </w:r>
          </w:p>
        </w:tc>
        <w:tc>
          <w:tcPr>
            <w:tcW w:w="1500" w:type="dxa"/>
            <w:tcBorders>
              <w:top w:val="single" w:sz="4" w:space="0" w:color="D9CBB3"/>
              <w:start w:val="single" w:sz="4" w:space="0" w:color="D9CBB3"/>
              <w:bottom w:val="single" w:sz="4" w:space="0" w:color="D9CBB3"/>
              <w:end w:val="single" w:sz="4" w:space="0" w:color="D9CBB3"/>
            </w:tcBorders>
            <w:shd w:color="auto" w:fill="F3F0EB" w:val="clear"/>
          </w:tcPr>
          <w:p>
            <w:pPr>
              <w:pStyle w:val="Normal"/>
              <w:spacing w:lineRule="auto" w:line="252" w:before="0" w:after="40"/>
              <w:rPr/>
            </w:pPr>
            <w:r>
              <w:rPr>
                <w:sz w:val="19"/>
                <w:szCs w:val="19"/>
              </w:rPr>
              <w:t>Faible</w:t>
            </w:r>
          </w:p>
        </w:tc>
      </w:tr>
    </w:tbl>
    <w:p>
      <w:pPr>
        <w:pStyle w:val="Normal"/>
        <w:spacing w:before="0" w:after="80"/>
        <w:rPr/>
      </w:pPr>
      <w:r>
        <w:rPr/>
      </w:r>
    </w:p>
    <w:p>
      <w:pPr>
        <w:pStyle w:val="Heading2"/>
        <w:rPr/>
      </w:pPr>
      <w:bookmarkStart w:id="28" w:name="_Toc29"/>
      <w:r>
        <w:rPr/>
        <w:t>4.8 Suite : analyse consommation, coût et empreinte carbone</w:t>
      </w:r>
      <w:bookmarkEnd w:id="28"/>
    </w:p>
    <w:p>
      <w:pPr>
        <w:pStyle w:val="Normal"/>
        <w:spacing w:lineRule="auto" w:line="276" w:before="0" w:after="120"/>
        <w:rPr/>
      </w:pPr>
      <w:r>
        <w:rPr/>
        <w:t xml:space="preserve">Le livrable suivant mesurera l’état initial avec </w:t>
      </w:r>
      <w:r>
        <w:rPr>
          <w:rFonts w:eastAsia="Consolas" w:cs="Consolas" w:ascii="Consolas" w:hAnsi="Consolas"/>
          <w:color w:val="7A2E1A"/>
          <w:sz w:val="19"/>
          <w:szCs w:val="19"/>
        </w:rPr>
        <w:t>python load_test.py</w:t>
      </w:r>
      <w:r>
        <w:rPr/>
        <w:t xml:space="preserve"> (tokens d’entrée et de sortie par message, latence, taux d’erreur, consommation électrique estimée, par exemple avec CodeCarbon), puis comparera ces mesures après application de 2 ou 3 leviers (réponses statiques et cache, petit modèle pour les questions simples, prompt et historique réduits), pour formuler des recommandations chiffrées à la Maison Delcourt.</w:t>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A8574"/>
        <w:sz w:val="16"/>
        <w:szCs w:val="16"/>
      </w:rPr>
      <w:t xml:space="preserve">Page </w:t>
    </w:r>
    <w:r>
      <w:rPr/>
      <w:fldChar w:fldCharType="begin"/>
    </w:r>
    <w:r>
      <w:rPr/>
      <w:instrText xml:space="preserve"> PAGE </w:instrText>
    </w:r>
    <w:r>
      <w:rPr/>
      <w:fldChar w:fldCharType="separate"/>
    </w:r>
    <w:r>
      <w:rPr/>
      <w:t>21</w:t>
    </w:r>
    <w:r>
      <w:rPr/>
      <w:fldChar w:fldCharType="end"/>
    </w:r>
    <w:r>
      <w:rPr/>
      <w:t xml:space="preserve"> / </w:t>
    </w:r>
    <w:r>
      <w:rPr/>
      <w:fldChar w:fldCharType="begin"/>
    </w:r>
    <w:r>
      <w:rPr/>
      <w:instrText xml:space="preserve"> NUMPAGES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A8574"/>
        <w:sz w:val="16"/>
        <w:szCs w:val="16"/>
      </w:rPr>
      <w:t xml:space="preserve">Page </w:t>
    </w:r>
    <w:r>
      <w:rPr/>
      <w:fldChar w:fldCharType="begin"/>
    </w:r>
    <w:r>
      <w:rPr/>
      <w:instrText xml:space="preserve"> PAGE </w:instrText>
    </w:r>
    <w:r>
      <w:rPr/>
      <w:fldChar w:fldCharType="separate"/>
    </w:r>
    <w:r>
      <w:rPr/>
      <w:t>21</w:t>
    </w:r>
    <w:r>
      <w:rPr/>
      <w:fldChar w:fldCharType="end"/>
    </w:r>
    <w:r>
      <w:rPr/>
      <w:t xml:space="preserve"> / </w:t>
    </w:r>
    <w:r>
      <w:rPr/>
      <w:fldChar w:fldCharType="begin"/>
    </w:r>
    <w:r>
      <w:rPr/>
      <w:instrText xml:space="preserve"> NUMPAGES </w:instrText>
    </w:r>
    <w:r>
      <w:rPr/>
      <w:fldChar w:fldCharType="separate"/>
    </w:r>
    <w:r>
      <w:rPr/>
      <w:t>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9A8574"/>
        <w:sz w:val="16"/>
        <w:szCs w:val="16"/>
      </w:rPr>
      <w:t>ChocoBot · Veille réglementaire et rapport d’audit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9A8574"/>
        <w:sz w:val="16"/>
        <w:szCs w:val="16"/>
      </w:rPr>
      <w:t>ChocoBot · Veille réglementaire et rapport d’audit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bullet"/>
      <w:lvlText w:val=""/>
      <w:lvlJc w:val="start"/>
      <w:pPr>
        <w:tabs>
          <w:tab w:val="num" w:pos="0"/>
        </w:tabs>
        <w:ind w:start="1080" w:hanging="270"/>
      </w:pPr>
      <w:rPr>
        <w:rFonts w:ascii="Symbol" w:hAnsi="Symbol" w:cs="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84"/>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B1810"/>
        <w:sz w:val="21"/>
        <w:szCs w:val="21"/>
        <w:lang w:val="en-US"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Calibri" w:hAnsi="Calibri" w:eastAsia="Calibri" w:cs="Calibri"/>
      <w:color w:val="2B1810"/>
      <w:kern w:val="0"/>
      <w:sz w:val="21"/>
      <w:szCs w:val="21"/>
      <w:lang w:val="en-US" w:eastAsia="zh-CN" w:bidi="hi-IN"/>
    </w:rPr>
  </w:style>
  <w:style w:type="paragraph" w:styleId="Heading1">
    <w:name w:val="heading 1"/>
    <w:basedOn w:val="Normal"/>
    <w:next w:val="Normal"/>
    <w:qFormat/>
    <w:pPr>
      <w:pBdr>
        <w:bottom w:val="single" w:sz="8" w:space="6" w:color="B8893B"/>
      </w:pBdr>
      <w:spacing w:before="120" w:after="240"/>
      <w:outlineLvl w:val="0"/>
    </w:pPr>
    <w:rPr>
      <w:b/>
      <w:bCs/>
      <w:color w:val="4A2A1C"/>
      <w:sz w:val="34"/>
      <w:szCs w:val="34"/>
    </w:rPr>
  </w:style>
  <w:style w:type="paragraph" w:styleId="Heading2">
    <w:name w:val="heading 2"/>
    <w:basedOn w:val="Normal"/>
    <w:next w:val="Normal"/>
    <w:qFormat/>
    <w:pPr>
      <w:keepNext w:val="true"/>
      <w:spacing w:before="300" w:after="140"/>
      <w:outlineLvl w:val="1"/>
    </w:pPr>
    <w:rPr>
      <w:b/>
      <w:bCs/>
      <w:color w:val="4A2A1C"/>
      <w:sz w:val="27"/>
      <w:szCs w:val="27"/>
    </w:rPr>
  </w:style>
  <w:style w:type="paragraph" w:styleId="Heading3">
    <w:name w:val="heading 3"/>
    <w:basedOn w:val="Normal"/>
    <w:next w:val="Normal"/>
    <w:qFormat/>
    <w:pPr>
      <w:keepNext w:val="true"/>
      <w:spacing w:before="220" w:after="100"/>
      <w:outlineLvl w:val="2"/>
    </w:pPr>
    <w:rPr>
      <w:b/>
      <w:bCs/>
      <w:color w:val="8A5A2B"/>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ur-lex.europa.eu/eli/reg/2016/679/oj" TargetMode="External"/><Relationship Id="rId3" Type="http://schemas.openxmlformats.org/officeDocument/2006/relationships/hyperlink" Target="https://eur-lex.europa.eu/eli/reg/2024/1689/oj" TargetMode="External"/><Relationship Id="rId4" Type="http://schemas.openxmlformats.org/officeDocument/2006/relationships/hyperlink" Target="https://eur-lex.europa.eu/eli/reg/2011/1169/oj" TargetMode="External"/><Relationship Id="rId5" Type="http://schemas.openxmlformats.org/officeDocument/2006/relationships/hyperlink" Target="https://eur-lex.europa.eu/eli/dir/2024/2853/oj" TargetMode="External"/><Relationship Id="rId6" Type="http://schemas.openxmlformats.org/officeDocument/2006/relationships/hyperlink" Target="https://www.legifrance.gouv.fr/" TargetMode="External"/><Relationship Id="rId7" Type="http://schemas.openxmlformats.org/officeDocument/2006/relationships/hyperlink" Target="https://www.cnil.fr/fr/intelligence-artificielle" TargetMode="External"/><Relationship Id="rId8" Type="http://schemas.openxmlformats.org/officeDocument/2006/relationships/hyperlink" Target="https://www.cnil.fr/" TargetMode="External"/><Relationship Id="rId9" Type="http://schemas.openxmlformats.org/officeDocument/2006/relationships/hyperlink" Target="https://ecoresponsable.numerique.gouv.fr/" TargetMode="External"/><Relationship Id="rId10" Type="http://schemas.openxmlformats.org/officeDocument/2006/relationships/hyperlink" Target="https://artificialintelligenceact.eu/"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LibreOffice/26.2.5.2$Linux_X86_64 LibreOffice_project/620$Build-2</Application>
  <AppVersion>15.0000</AppVersion>
  <Pages>21</Pages>
  <Words>5906</Words>
  <Characters>32965</Characters>
  <CharactersWithSpaces>38076</CharactersWithSpaces>
  <Paragraphs>802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2026-10-07T12:39:05Z</dcterms:created>
  <dc:creator>Binôme Simplon</dc:creator>
  <dc:description/>
  <dc:language>en-US</dc:language>
  <cp:lastModifiedBy/>
  <dcterms:modified xsi:type="dcterms:W3CDTF">2026-10-07T15:27:00Z</dcterms:modified>
  <cp:revision>2</cp:revision>
  <dc:subject/>
  <dc:title>ChocoBot — Veille réglementaire et rapport d’audit</dc:title>
</cp:coreProperties>
</file>