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color w:val="4A2A1C"/>
          <w:sz w:val="40"/>
          <w:szCs w:val="40"/>
        </w:rPr>
        <w:t>Veille réglementaire et rapport des problèmes</w:t>
      </w:r>
    </w:p>
    <w:p>
      <w:pPr>
        <w:pStyle w:val="Normal"/>
        <w:spacing w:before="0" w:after="60"/>
        <w:rPr/>
      </w:pPr>
      <w:r>
        <w:rPr>
          <w:color w:val="6B5445"/>
          <w:sz w:val="24"/>
          <w:szCs w:val="24"/>
        </w:rPr>
        <w:t>ChocoBot · Maison Delcourt, chocolatier artisanal (Lille)</w:t>
      </w:r>
    </w:p>
    <w:p>
      <w:pPr>
        <w:pStyle w:val="Normal"/>
        <w:pBdr>
          <w:bottom w:val="single" w:sz="8" w:space="6" w:color="B8893B"/>
        </w:pBdr>
        <w:spacing w:before="0" w:after="240"/>
        <w:rPr/>
      </w:pPr>
      <w:r>
        <w:rPr>
          <w:i/>
          <w:iCs/>
          <w:color w:val="6B5445"/>
        </w:rPr>
        <w:t>Réalisé par Edilene DA SILVA et Hazel CUNUDER · version 2, mise à jour le 8 octobre 2026 après le retour du formateur</w:t>
      </w:r>
    </w:p>
    <w:p>
      <w:pPr>
        <w:pStyle w:val="Heading2"/>
        <w:rPr/>
      </w:pPr>
      <w:r>
        <w:rPr/>
        <w:t>Introduction</w:t>
      </w:r>
    </w:p>
    <w:p>
      <w:pPr>
        <w:pStyle w:val="Normal"/>
        <w:spacing w:lineRule="auto" w:line="276" w:before="0" w:after="120"/>
        <w:jc w:val="both"/>
        <w:rPr/>
      </w:pPr>
      <w:r>
        <w:rPr/>
        <w:t>La Maison Delcourt utilise ChocoBot, un assistant conversationnel qui conseille des coffrets de chocolats selon les goûts, le budget et les allergies des clients. Il repose sur un modèle de langage, Llama 3.2 de Meta, qui tourne sur le serveur de l'entreprise grâce à Ollama : les messages ne sont envoyés à aucun service extérieur. L'application conserve l'historique des conversations dans une base SQLite.</w:t>
      </w:r>
    </w:p>
    <w:p>
      <w:pPr>
        <w:pStyle w:val="Normal"/>
        <w:spacing w:lineRule="auto" w:line="276" w:before="0" w:after="120"/>
        <w:jc w:val="both"/>
        <w:rPr/>
      </w:pPr>
      <w:r>
        <w:rPr/>
        <w:t>Ce document contient deux parties. La première est une veille sur les textes qui s'appliquent à ce client et sur ce qu'ils impliquent pour ChocoBot. La seconde est un rapport des problèmes : ceux que nous avons mesurés au départ, ce qui a été corrigé, et ce qui reste à traiter aujourd'hui.</w:t>
      </w:r>
    </w:p>
    <w:p>
      <w:pPr>
        <w:pStyle w:val="Normal"/>
        <w:spacing w:lineRule="auto" w:line="276" w:before="0" w:after="120"/>
        <w:jc w:val="both"/>
        <w:rPr/>
      </w:pPr>
      <w:r>
        <w:rPr/>
        <w:t>Par rapport à la première version, nous avons corrigé le calendrier de l'AI Act (le règlement « omnibus » (UE) 2026/1744 a été adopté), repris le nouveau texte de l'article 4, justifié la classification de ChocoBot point par point au regard de l'annexe III, corrigé ce que nous disions de la procédure de sanction simplifiée de la CNIL, ajouté l'article 22 du RGPD et la licence du modèle Llama, et remplacé les sources générales par des liens article par article.</w:t>
      </w:r>
    </w:p>
    <w:p>
      <w:pPr>
        <w:pStyle w:val="Normal"/>
        <w:spacing w:lineRule="auto" w:line="276" w:before="0" w:after="120"/>
        <w:jc w:val="both"/>
        <w:rPr/>
      </w:pPr>
      <w:r>
        <w:rPr/>
        <w:t>Textes lus pour cette veille : le RGPD (JO L 119 du 4 mai 2016), l'AI Act (règlement (UE) 2024/1689, JO L du 12 juillet 2024), le règlement (UE) 2026/1744 (JO L du 24 juillet 2026), l'article 22-1 de la loi Informatique et Libertés, les publications de la CNIL (procédure de sanction simplifiée, chaîne répressive, guide « se préparer en 6 étapes », Tables Informatique et Libertés 2026) et la licence Llama 3.2 avec sa politique d'utilisation. La veille est arrêtée au 8 octobre 2026.</w:t>
      </w:r>
    </w:p>
    <w:p>
      <w:pPr>
        <w:pStyle w:val="Heading1"/>
        <w:keepNext w:val="true"/>
        <w:spacing w:before="280" w:after="140"/>
        <w:rPr/>
      </w:pPr>
      <w:r>
        <w:rPr/>
        <w:t>Partie 1 — Veille réglementaire</w:t>
      </w:r>
    </w:p>
    <w:p>
      <w:pPr>
        <w:pStyle w:val="Heading2"/>
        <w:rPr/>
      </w:pPr>
      <w:r>
        <w:rPr/>
        <w:t>1. Le RGPD — règlement (UE) 2016/679</w:t>
      </w:r>
    </w:p>
    <w:p>
      <w:pPr>
        <w:pStyle w:val="Heading3"/>
        <w:rPr/>
      </w:pPr>
      <w:r>
        <w:rPr/>
        <w:t>Les données traitées par ChocoBot</w:t>
      </w:r>
    </w:p>
    <w:p>
      <w:pPr>
        <w:pStyle w:val="Normal"/>
        <w:spacing w:lineRule="auto" w:line="276" w:before="0" w:after="120"/>
        <w:jc w:val="both"/>
        <w:rPr/>
      </w:pPr>
      <w:r>
        <w:rPr/>
        <w:t>Le RGPD s'applique à toute information qui permet d'identifier une personne, directement ou indirectement, y compris par un « identifiant en ligne » (art. 4.1). Chez ChocoBot, cela couvre le contenu des messages, l'identifiant de session enregistré dans le navigateur, les dates des échanges et les allergènes que le client coche. La première version de l'application demandait aussi le nom, l'e-mail et l'âge des enfants ; ces champs ont depuis été supprimés (voir la partie 2).</w:t>
      </w:r>
    </w:p>
    <w:p>
      <w:pPr>
        <w:pStyle w:val="Heading3"/>
        <w:rPr/>
      </w:pPr>
      <w:r>
        <w:rPr/>
        <w:t>Les principes et la base légale</w:t>
      </w:r>
    </w:p>
    <w:p>
      <w:pPr>
        <w:pStyle w:val="Normal"/>
        <w:spacing w:lineRule="auto" w:line="276" w:before="0" w:after="120"/>
        <w:jc w:val="both"/>
        <w:rPr/>
      </w:pPr>
      <w:r>
        <w:rPr/>
        <w:t>L'article 5 impose de collecter pour une finalité précise (5.1.b), de ne prendre que le nécessaire (5.1.c, minimisation), de ne pas conserver plus longtemps qu'utile (5.1.e et considérant 39 : une durée « limitée au strict minimum »), de protéger les données (5.1.f) et de pouvoir démontrer tout cela (5.2). Pour conseiller un client qui le demande, la base légale adaptée est l'exécution de « mesures précontractuelles prises à la demande de celle-ci » (art. 6.1.b). Si l'entreprise s'appuie sur le consentement, il doit être libre, spécifique, éclairé et donné par un acte positif (art. 4.11), aussi simple à retirer qu'à donner (art. 7.3), et l'accès au service ne doit pas dépendre d'un consentement à un traitement qui n'est pas nécessaire (art. 7.4).</w:t>
      </w:r>
    </w:p>
    <w:p>
      <w:pPr>
        <w:pStyle w:val="Heading3"/>
        <w:rPr/>
      </w:pPr>
      <w:r>
        <w:rPr/>
        <w:t>Les allergies, des données de santé</w:t>
      </w:r>
    </w:p>
    <w:p>
      <w:pPr>
        <w:pStyle w:val="Normal"/>
        <w:spacing w:lineRule="auto" w:line="276" w:before="0" w:after="120"/>
        <w:jc w:val="both"/>
        <w:rPr/>
      </w:pPr>
      <w:r>
        <w:rPr/>
        <w:t>Une allergie alimentaire révèle une information sur l'état de santé : c'est une donnée concernant la santé (art. 4.15 et considérant 35). Son traitement est interdit par principe (art. 9.1), sauf exception ; pour un commerce, l'exception utilisable est le consentement explicite de la personne pour une finalité précise (art. 9.2.a). Pour ChocoBot, la solution la plus sûre est de ne pas conserver les allergènes : ils servent seulement, au moment du message, à écarter les coffrets incompatibles. Le consentement explicite doit alors porter spécifiquement sur cet usage.</w:t>
      </w:r>
    </w:p>
    <w:p>
      <w:pPr>
        <w:pStyle w:val="Heading3"/>
        <w:rPr/>
      </w:pPr>
      <w:r>
        <w:rPr/>
        <w:t>Les enfants</w:t>
      </w:r>
    </w:p>
    <w:p>
      <w:pPr>
        <w:pStyle w:val="Normal"/>
        <w:spacing w:lineRule="auto" w:line="276" w:before="0" w:after="120"/>
        <w:jc w:val="both"/>
        <w:rPr/>
      </w:pPr>
      <w:r>
        <w:rPr/>
        <w:t>Les enfants « méritent une protection spécifique » (considérant 38). Pour un service en ligne fondé sur le consentement, un mineur ne peut consentir seul qu'à partir de 16 ans, âge que chaque État peut abaisser jusqu'à 13 ans (art. 8.1) ; la France l'a fixé à 15 ans (art. 45 de la loi Informatique et Libertés). Demander l'âge des enfants d'un client revenait à collecter des données sur des tiers sans nécessité, contraire à la minimisation.</w:t>
      </w:r>
    </w:p>
    <w:p>
      <w:pPr>
        <w:pStyle w:val="Heading3"/>
        <w:rPr/>
      </w:pPr>
      <w:r>
        <w:rPr/>
        <w:t>Information et droits des personnes</w:t>
      </w:r>
    </w:p>
    <w:p>
      <w:pPr>
        <w:pStyle w:val="Normal"/>
        <w:spacing w:lineRule="auto" w:line="276" w:before="0" w:after="120"/>
        <w:jc w:val="both"/>
        <w:rPr/>
      </w:pPr>
      <w:r>
        <w:rPr/>
        <w:t>Au moment de la collecte, la personne doit savoir, avec des mots simples (art. 12.1), qui traite ses données, pourquoi, sur quelle base, combien de temps, qui y a accès, quels sont ses droits et qu'elle peut saisir la CNIL (art. 13.1 et 13.2). Elle peut accéder à ses données, les rectifier, les faire effacer, s'opposer ou demander la portabilité (art. 15 à 21) ; l'entreprise répond dans un délai d'un mois (art. 12.3).</w:t>
      </w:r>
    </w:p>
    <w:p>
      <w:pPr>
        <w:pStyle w:val="Heading3"/>
        <w:rPr/>
      </w:pPr>
      <w:r>
        <w:rPr/>
        <w:t>Les obligations de l'entreprise</w:t>
      </w:r>
    </w:p>
    <w:p>
      <w:pPr>
        <w:pStyle w:val="ListParagraph"/>
        <w:numPr>
          <w:ilvl w:val="0"/>
          <w:numId w:val="4"/>
        </w:numPr>
        <w:spacing w:lineRule="auto" w:line="264" w:before="0" w:after="60"/>
        <w:rPr/>
      </w:pPr>
      <w:r>
        <w:rPr/>
        <w:t>Protection des données dès la conception et par défaut ; les données ne doivent pas être accessibles « à un nombre indéterminé de personnes » (art. 25).</w:t>
      </w:r>
    </w:p>
    <w:p>
      <w:pPr>
        <w:pStyle w:val="ListParagraph"/>
        <w:numPr>
          <w:ilvl w:val="0"/>
          <w:numId w:val="1"/>
        </w:numPr>
        <w:spacing w:lineRule="auto" w:line="264" w:before="0" w:after="60"/>
        <w:rPr/>
      </w:pPr>
      <w:r>
        <w:rPr/>
        <w:t>Contrat avec tout prestataire qui traite les données (art. 28) ; encadrement des transferts hors de l'Union (art. 44 à 49). Avec un modèle exécuté localement, aucun transfert n'a lieu.</w:t>
      </w:r>
    </w:p>
    <w:p>
      <w:pPr>
        <w:pStyle w:val="ListParagraph"/>
        <w:numPr>
          <w:ilvl w:val="0"/>
          <w:numId w:val="1"/>
        </w:numPr>
        <w:spacing w:lineRule="auto" w:line="264" w:before="0" w:after="60"/>
        <w:rPr/>
      </w:pPr>
      <w:r>
        <w:rPr/>
        <w:t>Registre des traitements (art. 30) : la dispense des entreprises de moins de 250 salariés ne joue pas ici, car le traitement n'est pas occasionnel et porte sur des données de santé (art. 30.5).</w:t>
      </w:r>
    </w:p>
    <w:p>
      <w:pPr>
        <w:pStyle w:val="ListParagraph"/>
        <w:numPr>
          <w:ilvl w:val="0"/>
          <w:numId w:val="1"/>
        </w:numPr>
        <w:spacing w:lineRule="auto" w:line="264" w:before="0" w:after="60"/>
        <w:rPr/>
      </w:pPr>
      <w:r>
        <w:rPr/>
        <w:t>Sécurité adaptée au risque (art. 32), notification d'une violation à la CNIL dans les 72 heures (art. 33.1) et information des personnes si le risque est élevé (art. 34.1).</w:t>
      </w:r>
    </w:p>
    <w:p>
      <w:pPr>
        <w:pStyle w:val="ListParagraph"/>
        <w:numPr>
          <w:ilvl w:val="0"/>
          <w:numId w:val="1"/>
        </w:numPr>
        <w:spacing w:lineRule="auto" w:line="264" w:before="0" w:after="60"/>
        <w:rPr/>
      </w:pPr>
      <w:r>
        <w:rPr/>
        <w:t>Analyse d'impact (AIPD) si le traitement présente un risque élevé, notamment avec une technologie nouvelle (art. 35.1).</w:t>
      </w:r>
    </w:p>
    <w:p>
      <w:pPr>
        <w:pStyle w:val="Heading3"/>
        <w:rPr/>
      </w:pPr>
      <w:r>
        <w:rPr/>
        <w:t>Pourquoi l'article 22 ne s'applique probablement pas</w:t>
      </w:r>
    </w:p>
    <w:p>
      <w:pPr>
        <w:pStyle w:val="Normal"/>
        <w:spacing w:lineRule="auto" w:line="276" w:before="0" w:after="120"/>
        <w:jc w:val="both"/>
        <w:rPr/>
      </w:pPr>
      <w:r>
        <w:rPr/>
        <w:t>L'article 22.1 donne le droit de ne pas faire l'objet d'une décision « fondée exclusivement sur un traitement automatisé, y compris le profilage, produisant des effets juridiques la concernant ou l'affectant de manière significative de façon similaire ». ChocoBot automatise bien une partie du conseil, mais il ne prend pas de décision sur le client : il lui propose des coffrets, et le client reste libre de suivre ou non la suggestion, de demander autre chose ou d'acheter directement sur le site. Aucune conséquence juridique n'en découle (pas de refus de vente, pas de prix personnalisé, pas de décision sur un droit ou un contrat), et l'effet n'est pas comparable en importance. Le filtrage des allergènes s'applique aux produits, à la demande du client et dans son intérêt ; il ne constitue pas une évaluation de sa personne.</w:t>
      </w:r>
    </w:p>
    <w:p>
      <w:pPr>
        <w:pStyle w:val="Normal"/>
        <w:spacing w:lineRule="auto" w:line="276" w:before="0" w:after="120"/>
        <w:jc w:val="both"/>
        <w:rPr/>
      </w:pPr>
      <w:r>
        <w:rPr/>
        <w:t>L'analyse changerait si le chatbot décidait, par exemple, de refuser une commande, de fixer un prix selon le profil du client ou de réserver une offre à certains clients. Dans ce cas, il faudrait appliquer l'article 22 (intervention humaine, possibilité de contester) et en informer la personne (art. 13.2.f).</w:t>
      </w:r>
    </w:p>
    <w:p>
      <w:pPr>
        <w:pStyle w:val="Heading3"/>
        <w:rPr/>
      </w:pPr>
      <w:r>
        <w:rPr/>
        <w:t>Sanctions</w:t>
      </w:r>
    </w:p>
    <w:p>
      <w:pPr>
        <w:pStyle w:val="Normal"/>
        <w:spacing w:lineRule="auto" w:line="276" w:before="0" w:after="120"/>
        <w:jc w:val="both"/>
        <w:rPr/>
      </w:pPr>
      <w:r>
        <w:rPr/>
        <w:t>Jusqu'à 10 millions d'euros ou 2 % du chiffre d'affaires annuel mondial pour les obligations des articles 8, 11 et 25 à 39, comme le registre, la sécurité ou l'AIPD (art. 83.4) ; jusqu'à 20 millions d'euros ou 4 % pour les principes, les bases légales, les données sensibles et les droits des personnes, articles 5, 6, 7, 9 et 12 à 22 (art. 83.5).</w:t>
      </w:r>
    </w:p>
    <w:p>
      <w:pPr>
        <w:pStyle w:val="Heading2"/>
        <w:rPr/>
      </w:pPr>
      <w:r>
        <w:rPr/>
        <w:t>2. Droit français et CNIL</w:t>
      </w:r>
    </w:p>
    <w:p>
      <w:pPr>
        <w:pStyle w:val="Heading3"/>
        <w:rPr/>
      </w:pPr>
      <w:r>
        <w:rPr/>
        <w:t>Loi Informatique et Libertés</w:t>
      </w:r>
    </w:p>
    <w:p>
      <w:pPr>
        <w:pStyle w:val="Normal"/>
        <w:spacing w:lineRule="auto" w:line="276" w:before="0" w:after="120"/>
        <w:jc w:val="both"/>
        <w:rPr/>
      </w:pPr>
      <w:r>
        <w:rPr/>
        <w:t>La loi n° 78-17 complète le RGPD : âge du consentement numérique fixé à 15 ans (art. 45), règles sur les traceurs (art. 82). L'identifiant de session de ChocoBot, conservé dans le navigateur, est un traceur ; il est dispensé de consentement car il est strictement nécessaire au fonctionnement de la conversation, mais l'utilisateur doit en être informé.</w:t>
      </w:r>
    </w:p>
    <w:p>
      <w:pPr>
        <w:pStyle w:val="Heading3"/>
        <w:rPr/>
      </w:pPr>
      <w:r>
        <w:rPr/>
        <w:t>La chaîne répressive de la CNIL</w:t>
      </w:r>
    </w:p>
    <w:p>
      <w:pPr>
        <w:pStyle w:val="Normal"/>
        <w:spacing w:lineRule="auto" w:line="276" w:before="0" w:after="120"/>
        <w:jc w:val="both"/>
        <w:rPr/>
      </w:pPr>
      <w:r>
        <w:rPr/>
        <w:t>D'après l'infographie de la CNIL, une procédure part d'un signalement (plainte, autosaisine sur un thème prioritaire, article de presse, coopération avec une autre autorité européenne), puis d'un contrôle (sur place, en ligne, sur convocation ou sur pièces). Selon les manquements constatés, le contrôle est clôturé, la présidente de la CNIL peut rappeler ses obligations à l'organisme ou le mettre en demeure, ou une sanction est engagée devant la formation restreinte, selon une procédure ordinaire ou simplifiée.</w:t>
      </w:r>
    </w:p>
    <w:p>
      <w:pPr>
        <w:pStyle w:val="Heading3"/>
        <w:rPr/>
      </w:pPr>
      <w:r>
        <w:rPr/>
        <w:t>La procédure de sanction simplifiée (correction)</w:t>
      </w:r>
    </w:p>
    <w:p>
      <w:pPr>
        <w:pStyle w:val="Normal"/>
        <w:spacing w:lineRule="auto" w:line="276" w:before="0" w:after="120"/>
        <w:jc w:val="both"/>
        <w:rPr/>
      </w:pPr>
      <w:r>
        <w:rPr/>
        <w:t>Dans la première version, nous avions écrit que la procédure simplifiée visait « les petites structures ». C'est inexact. Selon l'article 22-1 de la loi Informatique et Libertés et la page de la CNIL qui la présente, elle peut être utilisée lorsque l'affaire « ne présente pas de difficulté particulière », au regard d'une jurisprudence établie, de décisions déjà rendues par la formation restreinte ou de la simplicité des questions de fait et de droit. Le critère est donc la simplicité du dossier, pas la taille de l'organisme.</w:t>
      </w:r>
    </w:p>
    <w:p>
      <w:pPr>
        <w:pStyle w:val="Normal"/>
        <w:spacing w:lineRule="auto" w:line="276" w:before="0" w:after="120"/>
        <w:jc w:val="both"/>
        <w:rPr/>
      </w:pPr>
      <w:r>
        <w:rPr/>
        <w:t>Le président de la formation restreinte (ou un membre qu'il désigne) statue seul. Les mesures possibles sont le rappel à l'ordre, l'injonction de mise en conformité avec une astreinte d'au plus 100 € par jour de retard, et une amende d'au plus 20 000 €. Lorsque le chiffre d'affaires annuel mondial dépasse 50 millions d'euros, ces plafonds passent à 100 000 € et 500 € par jour. Pour une PME comme la Maison Delcourt, c'est la voie la plus probable en cas de manquement simple (par exemple, une information incomplète ou une durée de conservation non définie).</w:t>
      </w:r>
    </w:p>
    <w:p>
      <w:pPr>
        <w:pStyle w:val="Heading3"/>
        <w:rPr/>
      </w:pPr>
      <w:r>
        <w:rPr/>
        <w:t>Repères pratiques de la CNIL</w:t>
      </w:r>
    </w:p>
    <w:p>
      <w:pPr>
        <w:pStyle w:val="ListParagraph"/>
        <w:numPr>
          <w:ilvl w:val="0"/>
          <w:numId w:val="1"/>
        </w:numPr>
        <w:spacing w:lineRule="auto" w:line="264" w:before="0" w:after="60"/>
        <w:rPr/>
      </w:pPr>
      <w:r>
        <w:rPr/>
        <w:t>Le guide « se préparer en 6 étapes » propose une méthode : désigner un pilote, cartographier les traitements, prioriser les actions, gérer les risques, organiser les processus internes, documenter la conformité.</w:t>
      </w:r>
    </w:p>
    <w:p>
      <w:pPr>
        <w:pStyle w:val="ListParagraph"/>
        <w:numPr>
          <w:ilvl w:val="0"/>
          <w:numId w:val="1"/>
        </w:numPr>
        <w:spacing w:lineRule="auto" w:line="264" w:before="0" w:after="60"/>
        <w:rPr/>
      </w:pPr>
      <w:r>
        <w:rPr/>
        <w:t>Pour les journaux techniques, la CNIL recommande en général une durée de conservation de six mois à un an (recommandation sur les mesures de journalisation, 2021).</w:t>
      </w:r>
    </w:p>
    <w:p>
      <w:pPr>
        <w:pStyle w:val="Heading2"/>
        <w:rPr/>
      </w:pPr>
      <w:r>
        <w:rPr/>
        <w:t>3. L'AI Act — règlement (UE) 2024/1689 modifié par le règlement (UE) 2026/1744</w:t>
      </w:r>
    </w:p>
    <w:p>
      <w:pPr>
        <w:pStyle w:val="Heading3"/>
        <w:rPr/>
      </w:pPr>
      <w:r>
        <w:rPr/>
        <w:t>Le règlement « omnibus numérique sur l'IA » (UE) 2026/1744</w:t>
      </w:r>
    </w:p>
    <w:p>
      <w:pPr>
        <w:pStyle w:val="Normal"/>
        <w:spacing w:lineRule="auto" w:line="276" w:before="0" w:after="120"/>
        <w:jc w:val="both"/>
        <w:rPr/>
      </w:pPr>
      <w:r>
        <w:rPr/>
        <w:t>Ce que nous présentions comme une proposition à suivre a été adopté : le règlement (UE) 2026/1744 du 8 juillet 2026 a été publié au Journal officiel le 24 juillet 2026 et il est entré en vigueur le troisième jour suivant, soit le 27 juillet 2026. Il modifie l'AI Act sur plusieurs points. Ceux qui comptent pour la Maison Delcourt sont les suivants :</w:t>
      </w:r>
    </w:p>
    <w:p>
      <w:pPr>
        <w:pStyle w:val="ListParagraph"/>
        <w:numPr>
          <w:ilvl w:val="0"/>
          <w:numId w:val="1"/>
        </w:numPr>
        <w:spacing w:lineRule="auto" w:line="264" w:before="0" w:after="60"/>
        <w:rPr/>
      </w:pPr>
      <w:r>
        <w:rPr>
          <w:b/>
          <w:bCs/>
        </w:rPr>
        <w:t>Article 4 réécrit</w:t>
      </w:r>
      <w:r>
        <w:rPr/>
        <w:t xml:space="preserve"> : l'obligation de « maîtrise de l'IA » devient une obligation de moyens (voir plus bas).</w:t>
      </w:r>
    </w:p>
    <w:p>
      <w:pPr>
        <w:pStyle w:val="ListParagraph"/>
        <w:numPr>
          <w:ilvl w:val="0"/>
          <w:numId w:val="1"/>
        </w:numPr>
        <w:spacing w:lineRule="auto" w:line="264" w:before="0" w:after="60"/>
        <w:rPr/>
      </w:pPr>
      <w:r>
        <w:rPr>
          <w:b/>
          <w:bCs/>
        </w:rPr>
        <w:t>Report des obligations des systèmes à haut risque</w:t>
      </w:r>
      <w:r>
        <w:rPr/>
        <w:t xml:space="preserve"> : au 2 décembre 2027 pour ceux de l'annexe III, au 2 août 2028 pour ceux de l'annexe I (art. 113 modifié). ChocoBot n'est pas concerné, mais c'est le principal changement de calendrier.</w:t>
      </w:r>
    </w:p>
    <w:p>
      <w:pPr>
        <w:pStyle w:val="ListParagraph"/>
        <w:numPr>
          <w:ilvl w:val="0"/>
          <w:numId w:val="1"/>
        </w:numPr>
        <w:spacing w:lineRule="auto" w:line="264" w:before="0" w:after="60"/>
        <w:rPr/>
      </w:pPr>
      <w:r>
        <w:rPr>
          <w:b/>
          <w:bCs/>
        </w:rPr>
        <w:t>Marquage des contenus générés (art. 50.2)</w:t>
      </w:r>
      <w:r>
        <w:rPr/>
        <w:t xml:space="preserve"> : les fournisseurs de systèmes générant du texte de synthèse mis sur le marché avant le 2 août 2026 ont jusqu'au 2 décembre 2026 pour s'y conformer (nouvel art. 111.4). Les codes de bonne pratique prévus à l'article 50.7 serviront à préciser comment faire.</w:t>
      </w:r>
    </w:p>
    <w:p>
      <w:pPr>
        <w:pStyle w:val="ListParagraph"/>
        <w:numPr>
          <w:ilvl w:val="0"/>
          <w:numId w:val="1"/>
        </w:numPr>
        <w:spacing w:lineRule="auto" w:line="264" w:before="0" w:after="60"/>
        <w:rPr/>
      </w:pPr>
      <w:r>
        <w:rPr>
          <w:b/>
          <w:bCs/>
        </w:rPr>
        <w:t>Nouvelles interdictions</w:t>
      </w:r>
      <w:r>
        <w:rPr/>
        <w:t xml:space="preserve"> (art. 5.1, points b bis et b ter) visant la génération d'images intimes sans consentement et de contenus pédopornographiques, applicables à partir du 2 décembre 2026. Sans rapport avec ChocoBot.</w:t>
      </w:r>
    </w:p>
    <w:p>
      <w:pPr>
        <w:pStyle w:val="ListParagraph"/>
        <w:numPr>
          <w:ilvl w:val="0"/>
          <w:numId w:val="1"/>
        </w:numPr>
        <w:spacing w:lineRule="auto" w:line="264" w:before="0" w:after="60"/>
        <w:rPr/>
      </w:pPr>
      <w:r>
        <w:rPr>
          <w:b/>
          <w:bCs/>
        </w:rPr>
        <w:t>PME</w:t>
      </w:r>
      <w:r>
        <w:rPr/>
        <w:t xml:space="preserve"> : définition dans le règlement, documentation simplifiée, et plafond d'amende « le plus faible » étendu aux petites entreprises à moyenne capitalisation (nouvel art. 99.6 bis).</w:t>
      </w:r>
    </w:p>
    <w:p>
      <w:pPr>
        <w:pStyle w:val="Normal"/>
        <w:spacing w:lineRule="auto" w:line="276" w:before="0" w:after="120"/>
        <w:jc w:val="both"/>
        <w:rPr/>
      </w:pPr>
      <w:r>
        <w:rPr/>
        <w:t>L'article 50.1, qui oblige à informer les personnes qu'elles parlent à une IA, n'est pas modifié : il s'applique depuis le 2 août 2026.</w:t>
      </w:r>
    </w:p>
    <w:p>
      <w:pPr>
        <w:pStyle w:val="Heading3"/>
        <w:rPr/>
      </w:pPr>
      <w:r>
        <w:rPr/>
        <w:t>Calendrier mis à jour</w:t>
      </w:r>
    </w:p>
    <w:tbl>
      <w:tblPr>
        <w:tblW w:w="9638" w:type="dxa"/>
        <w:jc w:val="start"/>
        <w:tblInd w:w="0" w:type="dxa"/>
        <w:tblLayout w:type="fixed"/>
        <w:tblCellMar>
          <w:top w:w="50" w:type="dxa"/>
          <w:start w:w="90" w:type="dxa"/>
          <w:bottom w:w="50" w:type="dxa"/>
          <w:end w:w="90" w:type="dxa"/>
        </w:tblCellMar>
      </w:tblPr>
      <w:tblGrid>
        <w:gridCol w:w="1800"/>
        <w:gridCol w:w="4699"/>
        <w:gridCol w:w="3139"/>
      </w:tblGrid>
      <w:tr>
        <w:trPr>
          <w:tblHeader w:val="true"/>
        </w:trPr>
        <w:tc>
          <w:tcPr>
            <w:tcW w:w="18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Date</w:t>
            </w:r>
          </w:p>
        </w:tc>
        <w:tc>
          <w:tcPr>
            <w:tcW w:w="469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Ce qui s'applique</w:t>
            </w:r>
          </w:p>
        </w:tc>
        <w:tc>
          <w:tcPr>
            <w:tcW w:w="313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Pour ChocoBot</w:t>
            </w:r>
          </w:p>
        </w:tc>
      </w:tr>
      <w:tr>
        <w:trPr>
          <w:cantSplit/>
        </w:trPr>
        <w:tc>
          <w:tcPr>
            <w:tcW w:w="18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1er août 2024</w:t>
            </w:r>
          </w:p>
        </w:tc>
        <w:tc>
          <w:tcPr>
            <w:tcW w:w="46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Entrée en vigueur de l'AI Act</w:t>
            </w:r>
          </w:p>
        </w:tc>
        <w:tc>
          <w:tcPr>
            <w:tcW w:w="31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w:t>
            </w:r>
          </w:p>
        </w:tc>
      </w:tr>
      <w:tr>
        <w:trPr>
          <w:cantSplit/>
        </w:trPr>
        <w:tc>
          <w:tcPr>
            <w:tcW w:w="18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2 février 2025</w:t>
            </w:r>
          </w:p>
        </w:tc>
        <w:tc>
          <w:tcPr>
            <w:tcW w:w="46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Pratiques interdites (art. 5) et maîtrise de l'IA (art. 4)</w:t>
            </w:r>
          </w:p>
        </w:tc>
        <w:tc>
          <w:tcPr>
            <w:tcW w:w="31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Former et informer l'équipe</w:t>
            </w:r>
          </w:p>
        </w:tc>
      </w:tr>
      <w:tr>
        <w:trPr>
          <w:cantSplit/>
        </w:trPr>
        <w:tc>
          <w:tcPr>
            <w:tcW w:w="18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2 août 2025</w:t>
            </w:r>
          </w:p>
        </w:tc>
        <w:tc>
          <w:tcPr>
            <w:tcW w:w="46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Modèles d'IA à usage général, gouvernance, sanctions</w:t>
            </w:r>
          </w:p>
        </w:tc>
        <w:tc>
          <w:tcPr>
            <w:tcW w:w="31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Obligations de Meta pour Llama</w:t>
            </w:r>
          </w:p>
        </w:tc>
      </w:tr>
      <w:tr>
        <w:trPr>
          <w:cantSplit/>
        </w:trPr>
        <w:tc>
          <w:tcPr>
            <w:tcW w:w="18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27 juillet 2026</w:t>
            </w:r>
          </w:p>
        </w:tc>
        <w:tc>
          <w:tcPr>
            <w:tcW w:w="46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Entrée en vigueur du règlement 2026/1744 (nouvel art. 4)</w:t>
            </w:r>
          </w:p>
        </w:tc>
        <w:tc>
          <w:tcPr>
            <w:tcW w:w="31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Nouvelle rédaction de l'art. 4</w:t>
            </w:r>
          </w:p>
        </w:tc>
      </w:tr>
      <w:tr>
        <w:trPr>
          <w:cantSplit/>
        </w:trPr>
        <w:tc>
          <w:tcPr>
            <w:tcW w:w="18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2 août 2026</w:t>
            </w:r>
          </w:p>
        </w:tc>
        <w:tc>
          <w:tcPr>
            <w:tcW w:w="46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 xml:space="preserve">Application générale, dont la </w:t>
            </w:r>
            <w:r>
              <w:rPr>
                <w:b/>
                <w:bCs/>
                <w:sz w:val="19"/>
                <w:szCs w:val="19"/>
              </w:rPr>
              <w:t>transparence (art. 50.1)</w:t>
            </w:r>
          </w:p>
        </w:tc>
        <w:tc>
          <w:tcPr>
            <w:tcW w:w="31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b/>
                <w:bCs/>
                <w:sz w:val="19"/>
                <w:szCs w:val="19"/>
              </w:rPr>
              <w:t>Déjà applicable</w:t>
            </w:r>
          </w:p>
        </w:tc>
      </w:tr>
      <w:tr>
        <w:trPr>
          <w:cantSplit/>
        </w:trPr>
        <w:tc>
          <w:tcPr>
            <w:tcW w:w="18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2 décembre 2026</w:t>
            </w:r>
          </w:p>
        </w:tc>
        <w:tc>
          <w:tcPr>
            <w:tcW w:w="46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Marquage des contenus générés pour les systèmes antérieurs au 2 août 2026 (art. 111.4) ; nouvelles interdictions (art. 5.1 b bis, b ter)</w:t>
            </w:r>
          </w:p>
        </w:tc>
        <w:tc>
          <w:tcPr>
            <w:tcW w:w="31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b/>
                <w:bCs/>
                <w:sz w:val="19"/>
                <w:szCs w:val="19"/>
              </w:rPr>
              <w:t>À préparer</w:t>
            </w:r>
            <w:r>
              <w:rPr>
                <w:sz w:val="19"/>
                <w:szCs w:val="19"/>
              </w:rPr>
              <w:t xml:space="preserve"> (voir ci-dessous)</w:t>
            </w:r>
          </w:p>
        </w:tc>
      </w:tr>
      <w:tr>
        <w:trPr>
          <w:cantSplit/>
        </w:trPr>
        <w:tc>
          <w:tcPr>
            <w:tcW w:w="18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2 décembre 2027</w:t>
            </w:r>
          </w:p>
        </w:tc>
        <w:tc>
          <w:tcPr>
            <w:tcW w:w="46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Systèmes à haut risque de l'annexe III</w:t>
            </w:r>
          </w:p>
        </w:tc>
        <w:tc>
          <w:tcPr>
            <w:tcW w:w="31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Non concerné</w:t>
            </w:r>
          </w:p>
        </w:tc>
      </w:tr>
      <w:tr>
        <w:trPr>
          <w:cantSplit/>
        </w:trPr>
        <w:tc>
          <w:tcPr>
            <w:tcW w:w="18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2 août 2028</w:t>
            </w:r>
          </w:p>
        </w:tc>
        <w:tc>
          <w:tcPr>
            <w:tcW w:w="46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Systèmes à haut risque de l'annexe I (produits réglementés)</w:t>
            </w:r>
          </w:p>
        </w:tc>
        <w:tc>
          <w:tcPr>
            <w:tcW w:w="31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Non concerné</w:t>
            </w:r>
          </w:p>
        </w:tc>
      </w:tr>
    </w:tbl>
    <w:p>
      <w:pPr>
        <w:pStyle w:val="Normal"/>
        <w:spacing w:before="0" w:after="80"/>
        <w:rPr/>
      </w:pPr>
      <w:r>
        <w:rPr/>
      </w:r>
    </w:p>
    <w:p>
      <w:pPr>
        <w:pStyle w:val="Heading3"/>
        <w:rPr/>
      </w:pPr>
      <w:r>
        <w:rPr/>
        <w:t>Le rôle de la Maison Delcourt</w:t>
      </w:r>
    </w:p>
    <w:p>
      <w:pPr>
        <w:pStyle w:val="Normal"/>
        <w:spacing w:lineRule="auto" w:line="276" w:before="0" w:after="120"/>
        <w:jc w:val="both"/>
        <w:rPr/>
      </w:pPr>
      <w:r>
        <w:rPr/>
        <w:t xml:space="preserve">La Maison Delcourt fait développer ChocoBot et le met en service sous son nom : elle en est le </w:t>
      </w:r>
      <w:r>
        <w:rPr>
          <w:b/>
          <w:bCs/>
        </w:rPr>
        <w:t>fournisseur</w:t>
      </w:r>
      <w:r>
        <w:rPr/>
        <w:t xml:space="preserve"> (art. 3, point 3). Elle l'utilise aussi sous sa propre autorité auprès de ses clients : elle en est également le </w:t>
      </w:r>
      <w:r>
        <w:rPr>
          <w:b/>
          <w:bCs/>
        </w:rPr>
        <w:t>déployeur</w:t>
      </w:r>
      <w:r>
        <w:rPr/>
        <w:t xml:space="preserve"> (art. 3, point 4). Meta est le fournisseur du modèle d'IA à usage général Llama 3.2, avec ses propres obligations.</w:t>
      </w:r>
    </w:p>
    <w:p>
      <w:pPr>
        <w:pStyle w:val="Heading3"/>
        <w:rPr/>
      </w:pPr>
      <w:r>
        <w:rPr/>
        <w:t>Pourquoi ChocoBot relève du risque limité</w:t>
      </w:r>
    </w:p>
    <w:p>
      <w:pPr>
        <w:pStyle w:val="Normal"/>
        <w:spacing w:lineRule="auto" w:line="276" w:before="0" w:after="120"/>
        <w:jc w:val="both"/>
        <w:rPr/>
      </w:pPr>
      <w:r>
        <w:rPr/>
        <w:t>La classification se fait étape par étape :</w:t>
      </w:r>
    </w:p>
    <w:p>
      <w:pPr>
        <w:pStyle w:val="ListParagraph"/>
        <w:numPr>
          <w:ilvl w:val="0"/>
          <w:numId w:val="5"/>
        </w:numPr>
        <w:spacing w:lineRule="auto" w:line="264" w:before="0" w:after="60"/>
        <w:rPr/>
      </w:pPr>
      <w:r>
        <w:rPr>
          <w:b/>
          <w:bCs/>
        </w:rPr>
        <w:t>Pratiques interdites (art. 5)</w:t>
      </w:r>
      <w:r>
        <w:rPr/>
        <w:t xml:space="preserve"> : ChocoBot ne fait ni notation sociale, ni identification biométrique, ni reconnaissance des émotions, et ne cherche pas à manipuler ou à exploiter une vulnérabilité liée à l'âge. Il faut toutefois veiller à ce que le ton commercial reste neutre, puisque des parents achètent pour leurs enfants.</w:t>
      </w:r>
    </w:p>
    <w:p>
      <w:pPr>
        <w:pStyle w:val="ListParagraph"/>
        <w:numPr>
          <w:ilvl w:val="0"/>
          <w:numId w:val="2"/>
        </w:numPr>
        <w:spacing w:lineRule="auto" w:line="264" w:before="0" w:after="60"/>
        <w:rPr/>
      </w:pPr>
      <w:r>
        <w:rPr>
          <w:b/>
          <w:bCs/>
        </w:rPr>
        <w:t>Haut risque par l'annexe I (art. 6.1)</w:t>
      </w:r>
      <w:r>
        <w:rPr/>
        <w:t xml:space="preserve"> : ChocoBot n'est pas un composant de sécurité d'un produit soumis à une législation d'harmonisation (machines, jouets, dispositifs médicaux…).</w:t>
      </w:r>
    </w:p>
    <w:p>
      <w:pPr>
        <w:pStyle w:val="ListParagraph"/>
        <w:numPr>
          <w:ilvl w:val="0"/>
          <w:numId w:val="2"/>
        </w:numPr>
        <w:spacing w:lineRule="auto" w:line="264" w:before="0" w:after="60"/>
        <w:rPr/>
      </w:pPr>
      <w:r>
        <w:rPr>
          <w:b/>
          <w:bCs/>
        </w:rPr>
        <w:t>Haut risque par l'annexe III (art. 6.2)</w:t>
      </w:r>
      <w:r>
        <w:rPr/>
        <w:t xml:space="preserve"> : aucun des huit domaines ne correspond à son usage (tableau ci-dessous).</w:t>
      </w:r>
    </w:p>
    <w:p>
      <w:pPr>
        <w:pStyle w:val="ListParagraph"/>
        <w:numPr>
          <w:ilvl w:val="0"/>
          <w:numId w:val="2"/>
        </w:numPr>
        <w:spacing w:lineRule="auto" w:line="264" w:before="0" w:after="60"/>
        <w:rPr/>
      </w:pPr>
      <w:r>
        <w:rPr>
          <w:b/>
          <w:bCs/>
        </w:rPr>
        <w:t>Transparence (art. 50.1)</w:t>
      </w:r>
      <w:r>
        <w:rPr/>
        <w:t xml:space="preserve"> : ChocoBot est destiné à interagir directement avec des personnes, il relève donc des obligations de transparence. C'est ce qu'on appelle le « risque limité ».</w:t>
      </w:r>
    </w:p>
    <w:tbl>
      <w:tblPr>
        <w:tblW w:w="9638" w:type="dxa"/>
        <w:jc w:val="start"/>
        <w:tblInd w:w="0" w:type="dxa"/>
        <w:tblLayout w:type="fixed"/>
        <w:tblCellMar>
          <w:top w:w="50" w:type="dxa"/>
          <w:start w:w="90" w:type="dxa"/>
          <w:bottom w:w="50" w:type="dxa"/>
          <w:end w:w="90" w:type="dxa"/>
        </w:tblCellMar>
      </w:tblPr>
      <w:tblGrid>
        <w:gridCol w:w="3599"/>
        <w:gridCol w:w="6039"/>
      </w:tblGrid>
      <w:tr>
        <w:trPr>
          <w:tblHeader w:val="true"/>
        </w:trPr>
        <w:tc>
          <w:tcPr>
            <w:tcW w:w="359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Domaine de l'annexe III</w:t>
            </w:r>
          </w:p>
        </w:tc>
        <w:tc>
          <w:tcPr>
            <w:tcW w:w="603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Pourquoi ChocoBot n'y entre pas</w:t>
            </w:r>
          </w:p>
        </w:tc>
      </w:tr>
      <w:tr>
        <w:trPr>
          <w:cantSplit/>
        </w:trPr>
        <w:tc>
          <w:tcPr>
            <w:tcW w:w="3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1. Biométrie (identification à distance, catégorisation, reconnaissance des émotions)</w:t>
            </w:r>
          </w:p>
        </w:tc>
        <w:tc>
          <w:tcPr>
            <w:tcW w:w="60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Aucune donnée biométrique : le client écrit du texte et coche des cases.</w:t>
            </w:r>
          </w:p>
        </w:tc>
      </w:tr>
      <w:tr>
        <w:trPr>
          <w:cantSplit/>
        </w:trPr>
        <w:tc>
          <w:tcPr>
            <w:tcW w:w="35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2. Infrastructures critiques</w:t>
            </w:r>
          </w:p>
        </w:tc>
        <w:tc>
          <w:tcPr>
            <w:tcW w:w="60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 rôle dans l'eau, l'énergie, le trafic ou le numérique critique.</w:t>
            </w:r>
          </w:p>
        </w:tc>
      </w:tr>
      <w:tr>
        <w:trPr>
          <w:cantSplit/>
        </w:trPr>
        <w:tc>
          <w:tcPr>
            <w:tcW w:w="3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3. Éducation et formation</w:t>
            </w:r>
          </w:p>
        </w:tc>
        <w:tc>
          <w:tcPr>
            <w:tcW w:w="60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N'évalue ni n'oriente aucun élève.</w:t>
            </w:r>
          </w:p>
        </w:tc>
      </w:tr>
      <w:tr>
        <w:trPr>
          <w:cantSplit/>
        </w:trPr>
        <w:tc>
          <w:tcPr>
            <w:tcW w:w="35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4. Emploi et gestion du personnel</w:t>
            </w:r>
          </w:p>
        </w:tc>
        <w:tc>
          <w:tcPr>
            <w:tcW w:w="60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Pas de recrutement ni de décision sur des salariés.</w:t>
            </w:r>
          </w:p>
        </w:tc>
      </w:tr>
      <w:tr>
        <w:trPr>
          <w:cantSplit/>
        </w:trPr>
        <w:tc>
          <w:tcPr>
            <w:tcW w:w="3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5. Services essentiels (prestations sociales, solvabilité, assurance vie et santé, appels d'urgence)</w:t>
            </w:r>
          </w:p>
        </w:tc>
        <w:tc>
          <w:tcPr>
            <w:tcW w:w="60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Le domaine le plus proche, car ChocoBot manipule une donnée de santé. Mais il ne décide d'aucun accès à un service essentiel, n'évalue pas la solvabilité et ne fixe aucun prix d'assurance : l'allergie sert seulement à écarter des produits.</w:t>
            </w:r>
          </w:p>
        </w:tc>
      </w:tr>
      <w:tr>
        <w:trPr>
          <w:cantSplit/>
        </w:trPr>
        <w:tc>
          <w:tcPr>
            <w:tcW w:w="35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6. Répression</w:t>
            </w:r>
          </w:p>
        </w:tc>
        <w:tc>
          <w:tcPr>
            <w:tcW w:w="60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Pas d'usage par les forces de l'ordre.</w:t>
            </w:r>
          </w:p>
        </w:tc>
      </w:tr>
      <w:tr>
        <w:trPr>
          <w:cantSplit/>
        </w:trPr>
        <w:tc>
          <w:tcPr>
            <w:tcW w:w="3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7. Migration, asile, frontières</w:t>
            </w:r>
          </w:p>
        </w:tc>
        <w:tc>
          <w:tcPr>
            <w:tcW w:w="60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Sans rapport.</w:t>
            </w:r>
          </w:p>
        </w:tc>
      </w:tr>
      <w:tr>
        <w:trPr>
          <w:cantSplit/>
        </w:trPr>
        <w:tc>
          <w:tcPr>
            <w:tcW w:w="35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8. Justice et processus démocratiques</w:t>
            </w:r>
          </w:p>
        </w:tc>
        <w:tc>
          <w:tcPr>
            <w:tcW w:w="60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Sans rapport.</w:t>
            </w:r>
          </w:p>
        </w:tc>
      </w:tr>
    </w:tbl>
    <w:p>
      <w:pPr>
        <w:pStyle w:val="Normal"/>
        <w:spacing w:before="0" w:after="80"/>
        <w:rPr/>
      </w:pPr>
      <w:r>
        <w:rPr/>
      </w:r>
    </w:p>
    <w:p>
      <w:pPr>
        <w:pStyle w:val="Heading3"/>
        <w:rPr/>
      </w:pPr>
      <w:r>
        <w:rPr/>
        <w:t>Obligations concrètes pour ChocoBot</w:t>
      </w:r>
    </w:p>
    <w:p>
      <w:pPr>
        <w:pStyle w:val="ListParagraph"/>
        <w:numPr>
          <w:ilvl w:val="0"/>
          <w:numId w:val="1"/>
        </w:numPr>
        <w:spacing w:lineRule="auto" w:line="264" w:before="0" w:after="60"/>
        <w:rPr/>
      </w:pPr>
      <w:r>
        <w:rPr>
          <w:b/>
          <w:bCs/>
        </w:rPr>
        <w:t>Informer qu'il s'agit d'une IA (art. 50.1)</w:t>
      </w:r>
      <w:r>
        <w:rPr/>
        <w:t>, de façon claire et au plus tard lors de la première interaction (art. 50.5). Un prénom humain comme « Clémence » n'est acceptable que si la mention « IA » est visible dès le début.</w:t>
      </w:r>
    </w:p>
    <w:p>
      <w:pPr>
        <w:pStyle w:val="ListParagraph"/>
        <w:numPr>
          <w:ilvl w:val="0"/>
          <w:numId w:val="1"/>
        </w:numPr>
        <w:spacing w:lineRule="auto" w:line="264" w:before="0" w:after="60"/>
        <w:rPr/>
      </w:pPr>
      <w:r>
        <w:rPr>
          <w:b/>
          <w:bCs/>
        </w:rPr>
        <w:t>Marquer les textes générés (art. 50.2)</w:t>
      </w:r>
      <w:r>
        <w:rPr/>
        <w:t xml:space="preserve"> : notre lecture est que cette obligation vise aussi un chatbot qui génère du texte, car l'exception ne couvre que la simple mise en forme. ChocoBot ayant été mis en service avant le 2 août 2026, l'échéance est le 2 décembre 2026 (art. 111.4). Les solutions techniques pour du texte sont encore peu matures : il faudra suivre les codes de bonne pratique (art. 50.7).</w:t>
      </w:r>
    </w:p>
    <w:p>
      <w:pPr>
        <w:pStyle w:val="ListParagraph"/>
        <w:numPr>
          <w:ilvl w:val="0"/>
          <w:numId w:val="1"/>
        </w:numPr>
        <w:spacing w:lineRule="auto" w:line="264" w:before="0" w:after="60"/>
        <w:rPr/>
      </w:pPr>
      <w:r>
        <w:rPr>
          <w:b/>
          <w:bCs/>
        </w:rPr>
        <w:t>Maîtrise de l'IA (art. 4, nouvelle rédaction en vigueur depuis le 27 juillet 2026)</w:t>
      </w:r>
      <w:r>
        <w:rPr/>
        <w:t xml:space="preserve"> : « Les fournisseurs et les déployeurs de systèmes d'IA prennent des mesures pour favoriser le développement de la maîtrise de l'IA par leur personnel […]. Cette obligation ne contraint pas les fournisseurs ou les déployeurs à garantir un niveau spécifique de maîtrise de l'IA par un individu. » L'ancienne version demandait de « garantir, dans toute la mesure du possible, un niveau suffisant » de maîtrise. Il s'agit désormais d'une obligation de moyens : la Maison Delcourt doit agir (par exemple une courte fiche pour l'équipe sur les limites du chatbot et les erreurs possibles), sans devoir garantir un niveau de compétence. La Commission et les États membres doivent aider les PME à s'en acquitter (art. 4.2).</w:t>
      </w:r>
    </w:p>
    <w:p>
      <w:pPr>
        <w:pStyle w:val="Heading3"/>
        <w:rPr/>
      </w:pPr>
      <w:r>
        <w:rPr/>
        <w:t>Sanctions</w:t>
      </w:r>
    </w:p>
    <w:p>
      <w:pPr>
        <w:pStyle w:val="Normal"/>
        <w:spacing w:lineRule="auto" w:line="276" w:before="0" w:after="120"/>
        <w:jc w:val="both"/>
        <w:rPr/>
      </w:pPr>
      <w:r>
        <w:rPr/>
        <w:t>Le non-respect des obligations de transparence peut coûter jusqu'à 15 millions d'euros ou 3 % du chiffre d'affaires mondial (art. 99.4). Pour une PME, c'est le montant le plus faible des deux qui est retenu (art. 99.6) ; depuis le règlement 2026/1744, cette règle s'étend aux petites entreprises à moyenne capitalisation (art. 99.6 bis).</w:t>
      </w:r>
    </w:p>
    <w:p>
      <w:pPr>
        <w:pStyle w:val="Heading2"/>
        <w:rPr/>
      </w:pPr>
      <w:r>
        <w:rPr/>
        <w:t>4. La licence du modèle Llama 3.2 (Meta)</w:t>
      </w:r>
    </w:p>
    <w:p>
      <w:pPr>
        <w:pStyle w:val="Normal"/>
        <w:spacing w:lineRule="auto" w:line="276" w:before="0" w:after="120"/>
        <w:jc w:val="both"/>
        <w:rPr/>
      </w:pPr>
      <w:r>
        <w:rPr/>
        <w:t>Le modèle tourne sur le serveur de la Maison Delcourt : les messages ne partent pas chez Meta, ce qui évite tout transfert de données. Mais utiliser les fichiers du modèle reste soumis à la licence Llama 3.2 Community License (version du 25 septembre 2024) et à sa politique d'utilisation acceptable. Ce qu'elles changent pour ChocoBot :</w:t>
      </w:r>
    </w:p>
    <w:p>
      <w:pPr>
        <w:pStyle w:val="ListParagraph"/>
        <w:numPr>
          <w:ilvl w:val="0"/>
          <w:numId w:val="1"/>
        </w:numPr>
        <w:spacing w:lineRule="auto" w:line="264" w:before="0" w:after="60"/>
        <w:rPr/>
      </w:pPr>
      <w:r>
        <w:rPr>
          <w:b/>
          <w:bCs/>
        </w:rPr>
        <w:t>Mention obligatoire</w:t>
      </w:r>
      <w:r>
        <w:rPr/>
        <w:t xml:space="preserve"> : un produit qui intègre le modèle doit fournir une copie de la licence et afficher de manière visible « Built with Llama » (sur le site, l'interface ou la documentation), avec l'avis « Llama 3.2 is licensed under the Llama 3.2 Community License, Copyright © Meta Platforms, Inc. All Rights Reserved. »</w:t>
      </w:r>
    </w:p>
    <w:p>
      <w:pPr>
        <w:pStyle w:val="ListParagraph"/>
        <w:numPr>
          <w:ilvl w:val="0"/>
          <w:numId w:val="1"/>
        </w:numPr>
        <w:spacing w:lineRule="auto" w:line="264" w:before="0" w:after="60"/>
        <w:rPr/>
      </w:pPr>
      <w:r>
        <w:rPr>
          <w:b/>
          <w:bCs/>
        </w:rPr>
        <w:t>Ne pas présenter les réponses comme humaines</w:t>
      </w:r>
      <w:r>
        <w:rPr/>
        <w:t xml:space="preserve"> : la politique interdit de « représenter que l'utilisation de Llama 3.2 ou ses sorties sont générées par un humain ». C'est la même exigence que l'article 50.1 de l'AI Act.</w:t>
      </w:r>
    </w:p>
    <w:p>
      <w:pPr>
        <w:pStyle w:val="ListParagraph"/>
        <w:numPr>
          <w:ilvl w:val="0"/>
          <w:numId w:val="1"/>
        </w:numPr>
        <w:spacing w:lineRule="auto" w:line="264" w:before="0" w:after="60"/>
        <w:rPr/>
      </w:pPr>
      <w:r>
        <w:rPr>
          <w:b/>
          <w:bCs/>
        </w:rPr>
        <w:t>Signaler les dangers connus</w:t>
      </w:r>
      <w:r>
        <w:rPr/>
        <w:t xml:space="preserve"> du système aux utilisateurs : pour ChocoBot, les erreurs possibles sur les allergènes et la composition.</w:t>
      </w:r>
    </w:p>
    <w:p>
      <w:pPr>
        <w:pStyle w:val="ListParagraph"/>
        <w:numPr>
          <w:ilvl w:val="0"/>
          <w:numId w:val="1"/>
        </w:numPr>
        <w:spacing w:lineRule="auto" w:line="264" w:before="0" w:after="60"/>
        <w:rPr/>
      </w:pPr>
      <w:r>
        <w:rPr>
          <w:b/>
          <w:bCs/>
        </w:rPr>
        <w:t>Ne pas traiter d'informations de santé sans en avoir le droit</w:t>
      </w:r>
      <w:r>
        <w:rPr/>
        <w:t xml:space="preserve"> et ne pas exercer sans autorisation une profession réglementée (médicale notamment) : les réponses sur les allergènes ne doivent pas devenir des conseils médicaux.</w:t>
      </w:r>
    </w:p>
    <w:p>
      <w:pPr>
        <w:pStyle w:val="ListParagraph"/>
        <w:numPr>
          <w:ilvl w:val="0"/>
          <w:numId w:val="1"/>
        </w:numPr>
        <w:spacing w:lineRule="auto" w:line="264" w:before="0" w:after="60"/>
        <w:rPr/>
      </w:pPr>
      <w:r>
        <w:rPr>
          <w:b/>
          <w:bCs/>
        </w:rPr>
        <w:t>Restriction pour l'Union européenne</w:t>
      </w:r>
      <w:r>
        <w:rPr/>
        <w:t xml:space="preserve"> : elle ne vise que les modèles multimodaux de Llama 3.2 (traitement d'images), pas les modèles texte 1B et 3B utilisés par ChocoBot, et jamais les utilisateurs finaux d'un produit.</w:t>
      </w:r>
    </w:p>
    <w:p>
      <w:pPr>
        <w:pStyle w:val="ListParagraph"/>
        <w:numPr>
          <w:ilvl w:val="0"/>
          <w:numId w:val="1"/>
        </w:numPr>
        <w:spacing w:lineRule="auto" w:line="264" w:before="0" w:after="60"/>
        <w:rPr/>
      </w:pPr>
      <w:r>
        <w:rPr/>
        <w:t>Le seuil de 700 millions d'utilisateurs actifs par mois, au-delà duquel une licence spécifique est nécessaire, ne concerne pas la Maison Delcourt. La licence est régie par le droit de Californie.</w:t>
      </w:r>
    </w:p>
    <w:p>
      <w:pPr>
        <w:pStyle w:val="Heading2"/>
        <w:rPr/>
      </w:pPr>
      <w:r>
        <w:rPr/>
        <w:t>5. Autres textes applicables</w:t>
      </w:r>
    </w:p>
    <w:p>
      <w:pPr>
        <w:pStyle w:val="ListParagraph"/>
        <w:numPr>
          <w:ilvl w:val="0"/>
          <w:numId w:val="1"/>
        </w:numPr>
        <w:spacing w:lineRule="auto" w:line="264" w:before="0" w:after="60"/>
        <w:rPr/>
      </w:pPr>
      <w:r>
        <w:rPr>
          <w:b/>
          <w:bCs/>
        </w:rPr>
        <w:t>Allergènes — règlement INCO (UE) 1169/2011</w:t>
      </w:r>
      <w:r>
        <w:rPr/>
        <w:t xml:space="preserve"> : les 14 allergènes de l'annexe II doivent être indiqués (art. 9.1.c) et, pour la vente en ligne, disponibles avant l'achat (art. 14). Le chatbot ne peut pas être la seule source d'information : il doit renvoyer vers la fiche produit.</w:t>
      </w:r>
    </w:p>
    <w:p>
      <w:pPr>
        <w:pStyle w:val="ListParagraph"/>
        <w:numPr>
          <w:ilvl w:val="0"/>
          <w:numId w:val="1"/>
        </w:numPr>
        <w:spacing w:lineRule="auto" w:line="264" w:before="0" w:after="60"/>
        <w:rPr/>
      </w:pPr>
      <w:r>
        <w:rPr>
          <w:b/>
          <w:bCs/>
        </w:rPr>
        <w:t>Code de la consommation</w:t>
      </w:r>
      <w:r>
        <w:rPr/>
        <w:t xml:space="preserve"> : information précontractuelle sur le prix et les caractéristiques (art. L111-1) et interdiction des pratiques commerciales trompeuses (art. L121-2). L'entreprise reste responsable de ce que dit son chatbot : en 2024, un tribunal canadien (affaire Moffatt contre Air Canada) a obligé la compagnie à appliquer une politique de remboursement inventée par son assistant.</w:t>
      </w:r>
    </w:p>
    <w:p>
      <w:pPr>
        <w:pStyle w:val="ListParagraph"/>
        <w:numPr>
          <w:ilvl w:val="0"/>
          <w:numId w:val="1"/>
        </w:numPr>
        <w:spacing w:lineRule="auto" w:line="264" w:before="0" w:after="60"/>
        <w:rPr/>
      </w:pPr>
      <w:r>
        <w:rPr>
          <w:b/>
          <w:bCs/>
        </w:rPr>
        <w:t>Responsabilité du fait des produits défectueux — directive (UE) 2024/2853</w:t>
      </w:r>
      <w:r>
        <w:rPr/>
        <w:t xml:space="preserve"> : les logiciels et systèmes d'IA deviennent des « produits » ; transposition au plus tard le 9 décembre 2026.</w:t>
      </w:r>
    </w:p>
    <w:p>
      <w:pPr>
        <w:pStyle w:val="ListParagraph"/>
        <w:numPr>
          <w:ilvl w:val="0"/>
          <w:numId w:val="1"/>
        </w:numPr>
        <w:spacing w:lineRule="auto" w:line="264" w:before="0" w:after="60"/>
        <w:rPr/>
      </w:pPr>
      <w:r>
        <w:rPr>
          <w:b/>
          <w:bCs/>
        </w:rPr>
        <w:t>Sobriété numérique</w:t>
      </w:r>
      <w:r>
        <w:rPr/>
        <w:t xml:space="preserve"> : loi REEN n° 2021-1485 ; référentiels RGESN (2024) et AFNOR SPEC 2314 sur l'IA frugale, utiles pour mesurer et réduire l'empreinte du chatbot.</w:t>
      </w:r>
    </w:p>
    <w:p>
      <w:pPr>
        <w:pStyle w:val="Heading1"/>
        <w:keepNext w:val="true"/>
        <w:spacing w:before="280" w:after="140"/>
        <w:rPr/>
      </w:pPr>
      <w:r>
        <w:rPr/>
        <w:t>Partie 2 — Rapport des problèmes</w:t>
      </w:r>
    </w:p>
    <w:p>
      <w:pPr>
        <w:pStyle w:val="Normal"/>
        <w:spacing w:lineRule="auto" w:line="276" w:before="0" w:after="120"/>
        <w:jc w:val="both"/>
        <w:rPr/>
      </w:pPr>
      <w:r>
        <w:rPr/>
        <w:t xml:space="preserve">Nous avons d'abord mesuré l'application telle qu'elle nous a été remise (8 octobre 2026, version marquée « avant » dans Git) : consommation, tests de charge, pannes provoquées, catalogue corrompu et contrôle de conformité. Après les corrections, les mêmes tests ont été rejoués automatiquement avec le script </w:t>
      </w:r>
      <w:r>
        <w:rPr>
          <w:rFonts w:eastAsia="Consolas" w:cs="Consolas" w:ascii="Consolas" w:hAnsi="Consolas"/>
          <w:color w:val="7A2E1A"/>
          <w:sz w:val="19"/>
          <w:szCs w:val="19"/>
        </w:rPr>
        <w:t>tests_auto.py</w:t>
      </w:r>
      <w:r>
        <w:rPr/>
        <w:t xml:space="preserve">. Le tableau ci-dessous résume l'évolution ; le détail des mesures se trouve dans </w:t>
      </w:r>
      <w:r>
        <w:rPr>
          <w:rFonts w:eastAsia="Consolas" w:cs="Consolas" w:ascii="Consolas" w:hAnsi="Consolas"/>
          <w:color w:val="7A2E1A"/>
          <w:sz w:val="19"/>
          <w:szCs w:val="19"/>
        </w:rPr>
        <w:t>mesures/avant/analyse_avant.md</w:t>
      </w:r>
      <w:r>
        <w:rPr/>
        <w:t xml:space="preserve">, </w:t>
      </w:r>
      <w:r>
        <w:rPr>
          <w:rFonts w:eastAsia="Consolas" w:cs="Consolas" w:ascii="Consolas" w:hAnsi="Consolas"/>
          <w:color w:val="7A2E1A"/>
          <w:sz w:val="19"/>
          <w:szCs w:val="19"/>
        </w:rPr>
        <w:t>mesures/apres/rapport.md</w:t>
      </w:r>
      <w:r>
        <w:rPr/>
        <w:t xml:space="preserve"> et </w:t>
      </w:r>
      <w:r>
        <w:rPr>
          <w:rFonts w:eastAsia="Consolas" w:cs="Consolas" w:ascii="Consolas" w:hAnsi="Consolas"/>
          <w:color w:val="7A2E1A"/>
          <w:sz w:val="19"/>
          <w:szCs w:val="19"/>
        </w:rPr>
        <w:t>mesures/journal_corrections.md</w:t>
      </w:r>
      <w:r>
        <w:rPr/>
        <w:t>.</w:t>
      </w:r>
    </w:p>
    <w:p>
      <w:pPr>
        <w:pStyle w:val="Heading2"/>
        <w:rPr/>
      </w:pPr>
      <w:r>
        <w:rPr/>
        <w:t>1. Avant / après en chiffres</w:t>
      </w:r>
    </w:p>
    <w:tbl>
      <w:tblPr>
        <w:tblW w:w="9638" w:type="dxa"/>
        <w:jc w:val="start"/>
        <w:tblInd w:w="0" w:type="dxa"/>
        <w:tblLayout w:type="fixed"/>
        <w:tblCellMar>
          <w:top w:w="50" w:type="dxa"/>
          <w:start w:w="90" w:type="dxa"/>
          <w:bottom w:w="50" w:type="dxa"/>
          <w:end w:w="90" w:type="dxa"/>
        </w:tblCellMar>
      </w:tblPr>
      <w:tblGrid>
        <w:gridCol w:w="4799"/>
        <w:gridCol w:w="2201"/>
        <w:gridCol w:w="2638"/>
      </w:tblGrid>
      <w:tr>
        <w:trPr>
          <w:tblHeader w:val="true"/>
        </w:trPr>
        <w:tc>
          <w:tcPr>
            <w:tcW w:w="479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Indicateur</w:t>
            </w:r>
          </w:p>
        </w:tc>
        <w:tc>
          <w:tcPr>
            <w:tcW w:w="220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Avant</w:t>
            </w:r>
          </w:p>
        </w:tc>
        <w:tc>
          <w:tcPr>
            <w:tcW w:w="26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Aujourd'hui</w:t>
            </w:r>
          </w:p>
        </w:tc>
      </w:tr>
      <w:tr>
        <w:trPr>
          <w:cantSplit/>
        </w:trPr>
        <w:tc>
          <w:tcPr>
            <w:tcW w:w="4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Tokens pour une conversation type (15 messages)</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21 461</w:t>
            </w:r>
          </w:p>
        </w:tc>
        <w:tc>
          <w:tcPr>
            <w:tcW w:w="26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4 874 (−77 %)</w:t>
            </w:r>
          </w:p>
        </w:tc>
      </w:tr>
      <w:tr>
        <w:trPr>
          <w:cantSplit/>
        </w:trPr>
        <w:tc>
          <w:tcPr>
            <w:tcW w:w="4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Énergie par message</w:t>
            </w:r>
          </w:p>
        </w:tc>
        <w:tc>
          <w:tcPr>
            <w:tcW w:w="22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0,099 Wh</w:t>
            </w:r>
          </w:p>
        </w:tc>
        <w:tc>
          <w:tcPr>
            <w:tcW w:w="26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0,027 Wh (−72 %)</w:t>
            </w:r>
          </w:p>
        </w:tc>
      </w:tr>
      <w:tr>
        <w:trPr>
          <w:cantSplit/>
        </w:trPr>
        <w:tc>
          <w:tcPr>
            <w:tcW w:w="4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Latence moyenne</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5,5 s</w:t>
            </w:r>
          </w:p>
        </w:tc>
        <w:tc>
          <w:tcPr>
            <w:tcW w:w="26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2,3 s</w:t>
            </w:r>
          </w:p>
        </w:tc>
      </w:tr>
      <w:tr>
        <w:trPr>
          <w:cantSplit/>
        </w:trPr>
        <w:tc>
          <w:tcPr>
            <w:tcW w:w="4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Recommandations dangereuses pour un enfant allergique (relues à la main)</w:t>
            </w:r>
          </w:p>
        </w:tc>
        <w:tc>
          <w:tcPr>
            <w:tcW w:w="22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12 sur 18</w:t>
            </w:r>
          </w:p>
        </w:tc>
        <w:tc>
          <w:tcPr>
            <w:tcW w:w="26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0 sur 18</w:t>
            </w:r>
          </w:p>
        </w:tc>
      </w:tr>
      <w:tr>
        <w:trPr>
          <w:cantSplit/>
        </w:trPr>
        <w:tc>
          <w:tcPr>
            <w:tcW w:w="4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Horaires inventés</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9 conversations sur 9</w:t>
            </w:r>
          </w:p>
        </w:tc>
        <w:tc>
          <w:tcPr>
            <w:tcW w:w="26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0 (réponse fixe)</w:t>
            </w:r>
          </w:p>
        </w:tc>
      </w:tr>
      <w:tr>
        <w:trPr>
          <w:cantSplit/>
        </w:trPr>
        <w:tc>
          <w:tcPr>
            <w:tcW w:w="4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Panne du modèle : erreur visible et alerte</w:t>
            </w:r>
          </w:p>
        </w:tc>
        <w:tc>
          <w:tcPr>
            <w:tcW w:w="22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non</w:t>
            </w:r>
          </w:p>
        </w:tc>
        <w:tc>
          <w:tcPr>
            <w:tcW w:w="26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oui (logs JSON et Sentry)</w:t>
            </w:r>
          </w:p>
        </w:tc>
      </w:tr>
      <w:tr>
        <w:trPr>
          <w:cantSplit/>
        </w:trPr>
        <w:tc>
          <w:tcPr>
            <w:tcW w:w="4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Catalogue corrompu détecté</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non</w:t>
            </w:r>
          </w:p>
        </w:tc>
        <w:tc>
          <w:tcPr>
            <w:tcW w:w="26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 xml:space="preserve">oui (message clair, </w:t>
            </w:r>
            <w:r>
              <w:rPr>
                <w:rFonts w:eastAsia="Consolas" w:cs="Consolas" w:ascii="Consolas" w:hAnsi="Consolas"/>
                <w:color w:val="7A2E1A"/>
                <w:sz w:val="19"/>
                <w:szCs w:val="19"/>
              </w:rPr>
              <w:t>/health</w:t>
            </w:r>
            <w:r>
              <w:rPr>
                <w:sz w:val="19"/>
                <w:szCs w:val="19"/>
              </w:rPr>
              <w:t xml:space="preserve"> en 503)</w:t>
            </w:r>
          </w:p>
        </w:tc>
      </w:tr>
      <w:tr>
        <w:trPr>
          <w:cantSplit/>
        </w:trPr>
        <w:tc>
          <w:tcPr>
            <w:tcW w:w="4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Données personnelles dans les logs</w:t>
            </w:r>
          </w:p>
        </w:tc>
        <w:tc>
          <w:tcPr>
            <w:tcW w:w="22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profil complet à chaque message</w:t>
            </w:r>
          </w:p>
        </w:tc>
        <w:tc>
          <w:tcPr>
            <w:tcW w:w="26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 texte de client</w:t>
            </w:r>
          </w:p>
        </w:tc>
      </w:tr>
      <w:tr>
        <w:trPr>
          <w:cantSplit/>
        </w:trPr>
        <w:tc>
          <w:tcPr>
            <w:tcW w:w="4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5 clients en même temps</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3 sur 5 servis</w:t>
            </w:r>
          </w:p>
        </w:tc>
        <w:tc>
          <w:tcPr>
            <w:tcW w:w="26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2 sur 5 servis (régression, voir plus bas)</w:t>
            </w:r>
          </w:p>
        </w:tc>
      </w:tr>
    </w:tbl>
    <w:p>
      <w:pPr>
        <w:pStyle w:val="Normal"/>
        <w:spacing w:before="0" w:after="80"/>
        <w:rPr/>
      </w:pPr>
      <w:r>
        <w:rPr/>
      </w:r>
    </w:p>
    <w:p>
      <w:pPr>
        <w:pStyle w:val="Heading2"/>
        <w:rPr/>
      </w:pPr>
      <w:r>
        <w:rPr/>
        <w:t>2. État de chaque problème</w:t>
      </w:r>
    </w:p>
    <w:p>
      <w:pPr>
        <w:pStyle w:val="Normal"/>
        <w:spacing w:lineRule="auto" w:line="276" w:before="0" w:after="120"/>
        <w:jc w:val="both"/>
        <w:rPr/>
      </w:pPr>
      <w:r>
        <w:rPr/>
        <w:t>Les identifiants reprennent ceux du rapport d'audit initial (C : conformité, S : sobriété, F : fiabilité, X : sécurité).</w:t>
      </w:r>
    </w:p>
    <w:tbl>
      <w:tblPr>
        <w:tblW w:w="9638" w:type="dxa"/>
        <w:jc w:val="start"/>
        <w:tblInd w:w="0" w:type="dxa"/>
        <w:tblLayout w:type="fixed"/>
        <w:tblCellMar>
          <w:top w:w="50" w:type="dxa"/>
          <w:start w:w="90" w:type="dxa"/>
          <w:bottom w:w="50" w:type="dxa"/>
          <w:end w:w="90" w:type="dxa"/>
        </w:tblCellMar>
      </w:tblPr>
      <w:tblGrid>
        <w:gridCol w:w="799"/>
        <w:gridCol w:w="3200"/>
        <w:gridCol w:w="4238"/>
        <w:gridCol w:w="1401"/>
      </w:tblGrid>
      <w:tr>
        <w:trPr>
          <w:tblHeader w:val="true"/>
        </w:trPr>
        <w:tc>
          <w:tcPr>
            <w:tcW w:w="79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ID</w:t>
            </w:r>
          </w:p>
        </w:tc>
        <w:tc>
          <w:tcPr>
            <w:tcW w:w="32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Problème constaté au départ</w:t>
            </w:r>
          </w:p>
        </w:tc>
        <w:tc>
          <w:tcPr>
            <w:tcW w:w="42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Ce qui a été fait</w:t>
            </w:r>
          </w:p>
        </w:tc>
        <w:tc>
          <w:tcPr>
            <w:tcW w:w="140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État</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C1</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Le bot se présentait comme « Clémence, conseillère », sans dire que c'est une IA</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Message d'accueil « votre assistante IA », consigne au modèle, avertissement sur les erreurs possibles</w:t>
            </w:r>
          </w:p>
        </w:tc>
        <w:tc>
          <w:tcPr>
            <w:tcW w:w="1401"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Partiel</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C2</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Aucune information sur les données</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Notice de confidentialité et fenêtre d'acceptation avant le chat</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C3</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Allergies (santé) et âge des enfants collectés et conservés</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Champs supprimés ; allergènes cochés à chaque message et jamais enregistrés</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color w:val="000000"/>
                <w:highlight w:val="none"/>
                <w:shd w:fill="auto" w:val="clear"/>
              </w:rPr>
            </w:pPr>
            <w:r>
              <w:rPr>
                <w:color w:val="000000"/>
                <w:sz w:val="19"/>
                <w:szCs w:val="19"/>
                <w:shd w:fill="auto" w:val="clear"/>
              </w:rPr>
              <w:t>Corrigé</w:t>
            </w:r>
          </w:p>
        </w:tc>
      </w:tr>
      <w:tr>
        <w:trPr>
          <w:cantSplit/>
        </w:trPr>
        <w:tc>
          <w:tcPr>
            <w:tcW w:w="799" w:type="dxa"/>
            <w:tcBorders>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C4</w:t>
            </w:r>
          </w:p>
        </w:tc>
        <w:tc>
          <w:tcPr>
            <w:tcW w:w="3200" w:type="dxa"/>
            <w:tcBorders>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Back-office accessible sans mot de passe</w:t>
            </w:r>
          </w:p>
        </w:tc>
        <w:tc>
          <w:tcPr>
            <w:tcW w:w="4238" w:type="dxa"/>
            <w:tcBorders>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Authentification par mot de passe sur les données du back-office</w:t>
            </w:r>
          </w:p>
        </w:tc>
        <w:tc>
          <w:tcPr>
            <w:tcW w:w="1401" w:type="dxa"/>
            <w:tcBorders>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C5</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Sécurité des allergies confiée au modèle</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Catalogue filtré dans le code avant l'appel au modèle</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C6</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Nom et e-mail collectés sans finalité</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Champs supprimés</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C7</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Conservation sans limite</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Purge automatique après 3 heures d'inactivité</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C8</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 moyen d'exercer ses droits</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Bouton « Effacer mes données » et route de suppression</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C9</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Horaires et livraison inventés</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Réponses fixes (FAQ) qui renvoient vers le site</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C10</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Ni registre, ni AIPD, ni documentation</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Journal des corrections et mesures documentées</w:t>
            </w:r>
          </w:p>
        </w:tc>
        <w:tc>
          <w:tcPr>
            <w:tcW w:w="1401"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Partiel</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C11</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Données d'identité envoyées au modèle</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Seuls le message et les allergènes cochés sont utilisés</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C12</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Profil complet affiché dans la console</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Journaux JSON sans texte de client (7 logs vérifiés)</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S1</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Gros modèle pour chaque message</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FAQ sans modèle ; petit modèle pour la politesse : 40 % des messages au gros modèle</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S2</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Réponses longues (1 500 tokens permis)</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Consigne concise, limite à 300 tokens : 180 caractères en moyenne au lieu de 748</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S3, S5</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Historique et catalogue complets à chaque message</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6 derniers messages, catalogue filtré et compact : −76 % de tokens d'entrée</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S4</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Aucune mesure de consommation</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 xml:space="preserve">Tokens et latence dans les logs ; </w:t>
            </w:r>
            <w:r>
              <w:rPr>
                <w:rFonts w:eastAsia="Consolas" w:cs="Consolas" w:ascii="Consolas" w:hAnsi="Consolas"/>
                <w:color w:val="7A2E1A"/>
                <w:sz w:val="19"/>
                <w:szCs w:val="19"/>
              </w:rPr>
              <w:t>mesure.py</w:t>
            </w:r>
            <w:r>
              <w:rPr>
                <w:sz w:val="19"/>
                <w:szCs w:val="19"/>
              </w:rPr>
              <w:t xml:space="preserve"> et </w:t>
            </w:r>
            <w:r>
              <w:rPr>
                <w:rFonts w:eastAsia="Consolas" w:cs="Consolas" w:ascii="Consolas" w:hAnsi="Consolas"/>
                <w:color w:val="7A2E1A"/>
                <w:sz w:val="19"/>
                <w:szCs w:val="19"/>
              </w:rPr>
              <w:t>tests_auto.py</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S6</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Pas de cache</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Cache en mémoire du premier message</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S7</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Aucune limite de longueur des messages</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w:t>
            </w:r>
          </w:p>
        </w:tc>
        <w:tc>
          <w:tcPr>
            <w:tcW w:w="14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Ouvert</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F1, F8</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Erreurs avalées, aucune journalisation</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Journalisation JSON avec identifiant de requête et cause des erreurs</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F2</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 suivi d'erreurs ni alerte</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Sentry (données en UE, aucune donnée personnelle envoyée) et alertes e-mail</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F3</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rFonts w:eastAsia="Consolas" w:cs="Consolas" w:ascii="Consolas" w:hAnsi="Consolas"/>
                <w:color w:val="7A2E1A"/>
                <w:sz w:val="19"/>
                <w:szCs w:val="19"/>
              </w:rPr>
              <w:t>/health</w:t>
            </w:r>
            <w:r>
              <w:rPr>
                <w:sz w:val="19"/>
                <w:szCs w:val="19"/>
              </w:rPr>
              <w:t xml:space="preserve"> toujours « ok »</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Vérifie la base, le serveur de modèles et le catalogue ; 503 en cas de problème</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F4, F5, F9</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Pas de solution de repli ; attente jusqu'à 3 min ; erreur enregistrée comme réponse</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Petit modèle en secours, puis réponse fixe non enregistrée ; délai de 30 s</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F6</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Catalogue chargé sans contrôle</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Validation au démarrage (format, allergènes, cohérence contenu / allergènes)</w:t>
            </w:r>
          </w:p>
        </w:tc>
        <w:tc>
          <w:tcPr>
            <w:tcW w:w="14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Corrigé</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F7</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Une seule connexion SQLite pour toutes les requêtes</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w:t>
            </w:r>
          </w:p>
        </w:tc>
        <w:tc>
          <w:tcPr>
            <w:tcW w:w="14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Ouvert</w:t>
            </w:r>
          </w:p>
        </w:tc>
      </w:tr>
      <w:tr>
        <w:trPr>
          <w:cantSplit/>
        </w:trPr>
        <w:tc>
          <w:tcPr>
            <w:tcW w:w="7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X2, X3</w:t>
            </w:r>
          </w:p>
        </w:tc>
        <w:tc>
          <w:tcPr>
            <w:tcW w:w="3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Injection de consigne, pas de limitation du nombre de requêtes</w:t>
            </w:r>
          </w:p>
        </w:tc>
        <w:tc>
          <w:tcPr>
            <w:tcW w:w="4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w:t>
            </w:r>
          </w:p>
        </w:tc>
        <w:tc>
          <w:tcPr>
            <w:tcW w:w="14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Ouvert</w:t>
            </w:r>
          </w:p>
        </w:tc>
      </w:tr>
      <w:tr>
        <w:trPr>
          <w:cantSplit/>
        </w:trPr>
        <w:tc>
          <w:tcPr>
            <w:tcW w:w="7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X4</w:t>
            </w:r>
          </w:p>
        </w:tc>
        <w:tc>
          <w:tcPr>
            <w:tcW w:w="3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 xml:space="preserve">Documentation de l'API </w:t>
            </w:r>
            <w:r>
              <w:rPr>
                <w:rFonts w:eastAsia="Consolas" w:cs="Consolas" w:ascii="Consolas" w:hAnsi="Consolas"/>
                <w:color w:val="7A2E1A"/>
                <w:sz w:val="19"/>
                <w:szCs w:val="19"/>
              </w:rPr>
              <w:t>/docs</w:t>
            </w:r>
            <w:r>
              <w:rPr>
                <w:sz w:val="19"/>
                <w:szCs w:val="19"/>
              </w:rPr>
              <w:t xml:space="preserve"> publique</w:t>
            </w:r>
          </w:p>
        </w:tc>
        <w:tc>
          <w:tcPr>
            <w:tcW w:w="4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w:t>
            </w:r>
          </w:p>
        </w:tc>
        <w:tc>
          <w:tcPr>
            <w:tcW w:w="14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Ouvert</w:t>
            </w:r>
          </w:p>
        </w:tc>
      </w:tr>
    </w:tbl>
    <w:p>
      <w:pPr>
        <w:pStyle w:val="Normal"/>
        <w:spacing w:before="0" w:after="80"/>
        <w:rPr/>
      </w:pPr>
      <w:r>
        <w:rPr/>
      </w:r>
    </w:p>
    <w:p>
      <w:pPr>
        <w:pStyle w:val="Heading2"/>
        <w:rPr/>
      </w:pPr>
      <w:r>
        <w:rPr/>
        <w:t>3. Les problèmes qui restent aujourd'hui</w:t>
      </w:r>
    </w:p>
    <w:p>
      <w:pPr>
        <w:pStyle w:val="ListParagraph"/>
        <w:numPr>
          <w:ilvl w:val="0"/>
          <w:numId w:val="2"/>
        </w:numPr>
        <w:spacing w:lineRule="auto" w:line="264" w:before="0" w:after="60"/>
        <w:rPr/>
      </w:pPr>
      <w:r>
        <w:rPr>
          <w:b/>
          <w:bCs/>
        </w:rPr>
        <w:t>Requêtes simultanées (F7).</w:t>
      </w:r>
      <w:r>
        <w:rPr/>
        <w:t xml:space="preserve"> Quand cinq clients écrivent exactement au même moment, seuls deux sont servis ; les autres reçoivent une erreur 500 (</w:t>
      </w:r>
      <w:r>
        <w:rPr>
          <w:rFonts w:eastAsia="Consolas" w:cs="Consolas" w:ascii="Consolas" w:hAnsi="Consolas"/>
          <w:color w:val="7A2E1A"/>
          <w:sz w:val="19"/>
          <w:szCs w:val="19"/>
        </w:rPr>
        <w:t>sqlite3.InterfaceError</w:t>
      </w:r>
      <w:r>
        <w:rPr/>
        <w:t>). C'était déjà le cas au départ (trois sur cinq), et la purge automatique des conversations ajoute des accès à la base. Solution : protéger les accès à la base par un verrou ou ouvrir une connexion par requête.</w:t>
      </w:r>
    </w:p>
    <w:p>
      <w:pPr>
        <w:pStyle w:val="ListParagraph"/>
        <w:numPr>
          <w:ilvl w:val="0"/>
          <w:numId w:val="2"/>
        </w:numPr>
        <w:spacing w:lineRule="auto" w:line="264" w:before="0" w:after="60"/>
        <w:rPr/>
      </w:pPr>
      <w:r>
        <w:rPr>
          <w:b/>
          <w:bCs/>
        </w:rPr>
        <w:t xml:space="preserve">Consentement pour les allergènes (C3). </w:t>
      </w:r>
      <w:r>
        <w:rPr/>
        <w:t>Le renseignement des allergènes est facultatif : le chatbot fonctionne sans, et le texte placé à côté des cases en explique l'usage. Point d'amélioration : la case d'acceptation obrigatoire mentionne aussi les allergènes ; il serait plus clair de séparer cette mention, pour que le consentement explicite de l'art. 9.2.a soit isolé.</w:t>
      </w:r>
    </w:p>
    <w:p>
      <w:pPr>
        <w:pStyle w:val="ListParagraph"/>
        <w:numPr>
          <w:ilvl w:val="0"/>
          <w:numId w:val="2"/>
        </w:numPr>
        <w:spacing w:lineRule="auto" w:line="264" w:before="0" w:after="60"/>
        <w:rPr/>
      </w:pPr>
      <w:r>
        <w:rPr>
          <w:b/>
          <w:bCs/>
        </w:rPr>
        <w:t>Transparence (C1).</w:t>
      </w:r>
      <w:r>
        <w:rPr/>
        <w:t xml:space="preserve"> L'interface affiche « Clémence · Maison Delcourt » au-dessus de chaque réponse, et le modèle ne se présente pas toujours comme une IA. Il faudrait que l'étiquette des réponses indique « Assistant IA ».</w:t>
      </w:r>
    </w:p>
    <w:p>
      <w:pPr>
        <w:pStyle w:val="ListParagraph"/>
        <w:numPr>
          <w:ilvl w:val="0"/>
          <w:numId w:val="2"/>
        </w:numPr>
        <w:spacing w:lineRule="auto" w:line="264" w:before="0" w:after="60"/>
        <w:rPr/>
      </w:pPr>
      <w:r>
        <w:rPr>
          <w:b/>
          <w:bCs/>
        </w:rPr>
        <w:t>Marquage des textes générés (art. 50.2).</w:t>
      </w:r>
      <w:r>
        <w:rPr/>
        <w:t xml:space="preserve"> Échéance au 2 décembre 2026 pour ChocoBot ; rien n'est encore prévu. À suivre avec les codes de bonne pratique.</w:t>
      </w:r>
    </w:p>
    <w:p>
      <w:pPr>
        <w:pStyle w:val="ListParagraph"/>
        <w:numPr>
          <w:ilvl w:val="0"/>
          <w:numId w:val="2"/>
        </w:numPr>
        <w:spacing w:lineRule="auto" w:line="264" w:before="0" w:after="60"/>
        <w:rPr/>
      </w:pPr>
      <w:r>
        <w:rPr>
          <w:b/>
          <w:bCs/>
        </w:rPr>
        <w:t>Licence Llama.</w:t>
      </w:r>
      <w:r>
        <w:rPr/>
        <w:t xml:space="preserve"> La mention « Built with Llama » et la copie de la licence ne figurent pas encore dans l'application ni dans sa documentation.</w:t>
      </w:r>
    </w:p>
    <w:p>
      <w:pPr>
        <w:pStyle w:val="ListParagraph"/>
        <w:numPr>
          <w:ilvl w:val="0"/>
          <w:numId w:val="2"/>
        </w:numPr>
        <w:spacing w:lineRule="auto" w:line="264" w:before="0" w:after="60"/>
        <w:rPr/>
      </w:pPr>
      <w:r>
        <w:rPr>
          <w:b/>
          <w:bCs/>
        </w:rPr>
        <w:t>Erreurs du modèle.</w:t>
      </w:r>
      <w:r>
        <w:rPr/>
        <w:t xml:space="preserve"> Plus aucune recommandation dangereuse, mais le modèle refuse parfois à tort (« tous nos coffrets contiennent des noisettes », dans 5 réponses sur 9 lors d'une série de tests) ou dépasse le budget (coffret à 32 € pour 30 €). Pistes : préciser au modèle que le catalogue est déjà filtré, et filtrer aussi par budget dans le code.</w:t>
      </w:r>
    </w:p>
    <w:p>
      <w:pPr>
        <w:pStyle w:val="ListParagraph"/>
        <w:numPr>
          <w:ilvl w:val="0"/>
          <w:numId w:val="2"/>
        </w:numPr>
        <w:spacing w:lineRule="auto" w:line="264" w:before="0" w:after="60"/>
        <w:rPr/>
      </w:pPr>
      <w:r>
        <w:rPr>
          <w:b/>
          <w:bCs/>
        </w:rPr>
        <w:t>Documentation RGPD et AI Act (C10).</w:t>
      </w:r>
      <w:r>
        <w:rPr/>
        <w:t xml:space="preserve"> Le registre des traitements doit être finalisé, la nécessité d'une AIPD justifiée (elle diminue fortement maintenant que rien n'est conservé sur la santé), et une fiche de sensibilisation rédigée pour l'équipe au titre de l'article 4.</w:t>
      </w:r>
    </w:p>
    <w:p>
      <w:pPr>
        <w:pStyle w:val="ListParagraph"/>
        <w:numPr>
          <w:ilvl w:val="0"/>
          <w:numId w:val="2"/>
        </w:numPr>
        <w:spacing w:lineRule="auto" w:line="264" w:before="0" w:after="60"/>
        <w:rPr/>
      </w:pPr>
      <w:r>
        <w:rPr>
          <w:b/>
          <w:bCs/>
        </w:rPr>
        <w:t>Sécurité.</w:t>
      </w:r>
      <w:r>
        <w:rPr/>
        <w:t xml:space="preserve"> Limiter la longueur des messages et le nombre de requêtes par client, désactiver </w:t>
      </w:r>
      <w:r>
        <w:rPr>
          <w:rFonts w:eastAsia="Consolas" w:cs="Consolas" w:ascii="Consolas" w:hAnsi="Consolas"/>
          <w:color w:val="7A2E1A"/>
          <w:sz w:val="19"/>
          <w:szCs w:val="19"/>
        </w:rPr>
        <w:t>/docs</w:t>
      </w:r>
      <w:r>
        <w:rPr/>
        <w:t xml:space="preserve"> en production, et activer dans Sentry l'option qui empêche de conserver les adresses IP.</w:t>
      </w:r>
    </w:p>
    <w:p>
      <w:pPr>
        <w:pStyle w:val="ListParagraph"/>
        <w:numPr>
          <w:ilvl w:val="0"/>
          <w:numId w:val="2"/>
        </w:numPr>
        <w:spacing w:lineRule="auto" w:line="264" w:before="0" w:after="60"/>
        <w:rPr/>
      </w:pPr>
      <w:r>
        <w:rPr>
          <w:b/>
          <w:bCs/>
        </w:rPr>
        <w:t>Textes de la FAQ.</w:t>
      </w:r>
      <w:r>
        <w:rPr/>
        <w:t xml:space="preserve"> Les réponses fixes renvoient vers le site sans donner d'horaires : la Maison Delcourt doit fournir et valider les vraies informations.</w:t>
      </w:r>
    </w:p>
    <w:p>
      <w:pPr>
        <w:pStyle w:val="Heading2"/>
        <w:rPr/>
      </w:pPr>
      <w:r>
        <w:rPr/>
        <w:t>Conclusion</w:t>
      </w:r>
    </w:p>
    <w:p>
      <w:pPr>
        <w:pStyle w:val="Normal"/>
        <w:spacing w:lineRule="auto" w:line="276" w:before="0" w:after="120"/>
        <w:jc w:val="both"/>
        <w:rPr/>
      </w:pPr>
      <w:r>
        <w:rPr/>
        <w:t>Les problèmes les plus graves relevés au départ sont corrigés : le chatbot ne propose plus de coffret dangereux pour une personne allergique, n'invente plus d'horaires, ne conserve plus de données de santé et signale ses pannes. La consommation a baissé de plus de 70 %. Il reste surtout des points de conformité à finaliser avant l'échéance du 2 décembre 2026 ( marquage des textes générés, mention de la licence Llama, documentation) et une faiblesse technique à corriger, la tenue en charge quand plusieurs clients écrivent en même temps.</w:t>
      </w:r>
    </w:p>
    <w:p>
      <w:pPr>
        <w:pStyle w:val="Heading2"/>
        <w:rPr/>
      </w:pPr>
      <w:r>
        <w:rPr/>
      </w:r>
    </w:p>
    <w:p>
      <w:pPr>
        <w:pStyle w:val="Heading2"/>
        <w:rPr/>
      </w:pPr>
      <w:r>
        <w:rPr/>
        <w:t>Sources (consultées le 8 octobre 2026)</w:t>
      </w:r>
    </w:p>
    <w:p>
      <w:pPr>
        <w:pStyle w:val="ListParagraph"/>
        <w:numPr>
          <w:ilvl w:val="0"/>
          <w:numId w:val="1"/>
        </w:numPr>
        <w:spacing w:before="0" w:after="60"/>
        <w:rPr/>
      </w:pPr>
      <w:r>
        <w:rPr/>
        <w:t xml:space="preserve">RGPD, règlement (UE) 2016/679, JO L 119 du 4.5.2016 : </w:t>
      </w:r>
      <w:hyperlink r:id="rId2">
        <w:r>
          <w:rPr>
            <w:rStyle w:val="Hyperlink"/>
          </w:rPr>
          <w:t>http://data.europa.eu/eli/reg/2016/679/oj</w:t>
        </w:r>
      </w:hyperlink>
    </w:p>
    <w:p>
      <w:pPr>
        <w:pStyle w:val="ListParagraph"/>
        <w:numPr>
          <w:ilvl w:val="0"/>
          <w:numId w:val="1"/>
        </w:numPr>
        <w:spacing w:before="0" w:after="60"/>
        <w:rPr/>
      </w:pPr>
      <w:r>
        <w:rPr/>
        <w:t xml:space="preserve">RGPD, art. 22 (décision individuelle automatisée) : </w:t>
      </w:r>
      <w:hyperlink r:id="rId3">
        <w:r>
          <w:rPr>
            <w:rStyle w:val="Hyperlink"/>
          </w:rPr>
          <w:t>http://data.europa.eu/eli/reg/2016/679/art_22/oj</w:t>
        </w:r>
      </w:hyperlink>
    </w:p>
    <w:p>
      <w:pPr>
        <w:pStyle w:val="ListParagraph"/>
        <w:numPr>
          <w:ilvl w:val="0"/>
          <w:numId w:val="1"/>
        </w:numPr>
        <w:spacing w:before="0" w:after="60"/>
        <w:rPr/>
      </w:pPr>
      <w:r>
        <w:rPr/>
        <w:t xml:space="preserve">RGPD, art. 9 (catégories particulières de données) : </w:t>
      </w:r>
      <w:hyperlink r:id="rId4">
        <w:r>
          <w:rPr>
            <w:rStyle w:val="Hyperlink"/>
          </w:rPr>
          <w:t>http://data.europa.eu/eli/reg/2016/679/art_9/oj</w:t>
        </w:r>
      </w:hyperlink>
    </w:p>
    <w:p>
      <w:pPr>
        <w:pStyle w:val="ListParagraph"/>
        <w:numPr>
          <w:ilvl w:val="0"/>
          <w:numId w:val="1"/>
        </w:numPr>
        <w:spacing w:before="0" w:after="60"/>
        <w:rPr/>
      </w:pPr>
      <w:r>
        <w:rPr/>
        <w:t xml:space="preserve">RGPD, art. 30 (registre des activités de traitement) : </w:t>
      </w:r>
      <w:hyperlink r:id="rId5">
        <w:r>
          <w:rPr>
            <w:rStyle w:val="Hyperlink"/>
          </w:rPr>
          <w:t>http://data.europa.eu/eli/reg/2016/679/art_30/oj</w:t>
        </w:r>
      </w:hyperlink>
    </w:p>
    <w:p>
      <w:pPr>
        <w:pStyle w:val="ListParagraph"/>
        <w:numPr>
          <w:ilvl w:val="0"/>
          <w:numId w:val="1"/>
        </w:numPr>
        <w:spacing w:before="0" w:after="60"/>
        <w:rPr/>
      </w:pPr>
      <w:r>
        <w:rPr/>
        <w:t xml:space="preserve">RGPD, chapitre III (droits de la personne), version CNIL : </w:t>
      </w:r>
      <w:hyperlink r:id="rId6">
        <w:r>
          <w:rPr>
            <w:rStyle w:val="Hyperlink"/>
          </w:rPr>
          <w:t>https://www.cnil.fr/fr/reglement-europeen-protection-donnees/chapitre3</w:t>
        </w:r>
      </w:hyperlink>
    </w:p>
    <w:p>
      <w:pPr>
        <w:pStyle w:val="ListParagraph"/>
        <w:numPr>
          <w:ilvl w:val="0"/>
          <w:numId w:val="1"/>
        </w:numPr>
        <w:spacing w:before="0" w:after="60"/>
        <w:rPr/>
      </w:pPr>
      <w:r>
        <w:rPr/>
        <w:t xml:space="preserve">AI Act, règlement (UE) 2024/1689, JO L du 12.7.2024 : </w:t>
      </w:r>
      <w:hyperlink r:id="rId7">
        <w:r>
          <w:rPr>
            <w:rStyle w:val="Hyperlink"/>
          </w:rPr>
          <w:t>http://data.europa.eu/eli/reg/2024/1689/oj</w:t>
        </w:r>
      </w:hyperlink>
    </w:p>
    <w:p>
      <w:pPr>
        <w:pStyle w:val="ListParagraph"/>
        <w:numPr>
          <w:ilvl w:val="0"/>
          <w:numId w:val="1"/>
        </w:numPr>
        <w:spacing w:before="0" w:after="60"/>
        <w:rPr/>
      </w:pPr>
      <w:r>
        <w:rPr/>
        <w:t xml:space="preserve">AI Act, art. 3 (définitions : fournisseur, déployeur) : </w:t>
      </w:r>
      <w:hyperlink r:id="rId8">
        <w:r>
          <w:rPr>
            <w:rStyle w:val="Hyperlink"/>
          </w:rPr>
          <w:t>http://data.europa.eu/eli/reg/2024/1689/art_3/oj</w:t>
        </w:r>
      </w:hyperlink>
    </w:p>
    <w:p>
      <w:pPr>
        <w:pStyle w:val="ListParagraph"/>
        <w:numPr>
          <w:ilvl w:val="0"/>
          <w:numId w:val="1"/>
        </w:numPr>
        <w:spacing w:before="0" w:after="60"/>
        <w:rPr/>
      </w:pPr>
      <w:r>
        <w:rPr/>
        <w:t xml:space="preserve">AI Act, art. 6 (règles de classification des systèmes à haut risque) : </w:t>
      </w:r>
      <w:hyperlink r:id="rId9">
        <w:r>
          <w:rPr>
            <w:rStyle w:val="Hyperlink"/>
          </w:rPr>
          <w:t>http://data.europa.eu/eli/reg/2024/1689/art_6/oj</w:t>
        </w:r>
      </w:hyperlink>
    </w:p>
    <w:p>
      <w:pPr>
        <w:pStyle w:val="ListParagraph"/>
        <w:numPr>
          <w:ilvl w:val="0"/>
          <w:numId w:val="1"/>
        </w:numPr>
        <w:spacing w:before="0" w:after="60"/>
        <w:rPr/>
      </w:pPr>
      <w:r>
        <w:rPr/>
        <w:t xml:space="preserve">AI Act, art. 50 (obligations de transparence) : </w:t>
      </w:r>
      <w:hyperlink r:id="rId10">
        <w:r>
          <w:rPr>
            <w:rStyle w:val="Hyperlink"/>
          </w:rPr>
          <w:t>http://data.europa.eu/eli/reg/2024/1689/art_50/oj</w:t>
        </w:r>
      </w:hyperlink>
    </w:p>
    <w:p>
      <w:pPr>
        <w:pStyle w:val="ListParagraph"/>
        <w:numPr>
          <w:ilvl w:val="0"/>
          <w:numId w:val="1"/>
        </w:numPr>
        <w:spacing w:before="0" w:after="60"/>
        <w:rPr/>
      </w:pPr>
      <w:r>
        <w:rPr/>
        <w:t xml:space="preserve">AI Act, art. 99 (sanctions) : </w:t>
      </w:r>
      <w:hyperlink r:id="rId11">
        <w:r>
          <w:rPr>
            <w:rStyle w:val="Hyperlink"/>
          </w:rPr>
          <w:t>http://data.europa.eu/eli/reg/2024/1689/art_99/oj</w:t>
        </w:r>
      </w:hyperlink>
    </w:p>
    <w:p>
      <w:pPr>
        <w:pStyle w:val="ListParagraph"/>
        <w:numPr>
          <w:ilvl w:val="0"/>
          <w:numId w:val="1"/>
        </w:numPr>
        <w:spacing w:before="0" w:after="60"/>
        <w:rPr/>
      </w:pPr>
      <w:r>
        <w:rPr/>
        <w:t xml:space="preserve">Règlement (UE) 2026/1744 (omnibus numérique sur l'IA), JO L du 24.7.2026, en vigueur le 27.7.2026 : </w:t>
      </w:r>
      <w:hyperlink r:id="rId12">
        <w:r>
          <w:rPr>
            <w:rStyle w:val="Hyperlink"/>
          </w:rPr>
          <w:t>http://data.europa.eu/eli/reg/2026/1744/oj</w:t>
        </w:r>
      </w:hyperlink>
    </w:p>
    <w:p>
      <w:pPr>
        <w:pStyle w:val="ListParagraph"/>
        <w:numPr>
          <w:ilvl w:val="0"/>
          <w:numId w:val="1"/>
        </w:numPr>
        <w:spacing w:before="0" w:after="60"/>
        <w:rPr/>
      </w:pPr>
      <w:r>
        <w:rPr/>
        <w:t xml:space="preserve">Loi n° 78-17, art. 22-1 (procédure de sanction simplifiée), Légifrance : </w:t>
      </w:r>
      <w:hyperlink r:id="rId13">
        <w:r>
          <w:rPr>
            <w:rStyle w:val="Hyperlink"/>
          </w:rPr>
          <w:t>https://www.legifrance.gouv.fr/loda/article_lc/LEGIARTI000054142442</w:t>
        </w:r>
      </w:hyperlink>
    </w:p>
    <w:p>
      <w:pPr>
        <w:pStyle w:val="ListParagraph"/>
        <w:numPr>
          <w:ilvl w:val="0"/>
          <w:numId w:val="1"/>
        </w:numPr>
        <w:spacing w:before="0" w:after="60"/>
        <w:rPr/>
      </w:pPr>
      <w:r>
        <w:rPr/>
        <w:t xml:space="preserve">CNIL, « La procédure de sanction simplifiée » (mise à jour le 5.12.2022) : </w:t>
      </w:r>
      <w:hyperlink r:id="rId14">
        <w:r>
          <w:rPr>
            <w:rStyle w:val="Hyperlink"/>
          </w:rPr>
          <w:t>https://www.cnil.fr/fr/la-procedure-de-sanction-simplifiee</w:t>
        </w:r>
      </w:hyperlink>
    </w:p>
    <w:p>
      <w:pPr>
        <w:pStyle w:val="ListParagraph"/>
        <w:numPr>
          <w:ilvl w:val="0"/>
          <w:numId w:val="1"/>
        </w:numPr>
        <w:spacing w:before="0" w:after="60"/>
        <w:rPr/>
      </w:pPr>
      <w:r>
        <w:rPr/>
        <w:t xml:space="preserve">Llama 3.2 Community License (version du 25.9.2024) : </w:t>
      </w:r>
      <w:hyperlink r:id="rId15">
        <w:r>
          <w:rPr>
            <w:rStyle w:val="Hyperlink"/>
          </w:rPr>
          <w:t>https://github.com/meta-llama/llama-models/blob/main/models/llama3_2/LICENSE</w:t>
        </w:r>
      </w:hyperlink>
    </w:p>
    <w:p>
      <w:pPr>
        <w:pStyle w:val="ListParagraph"/>
        <w:numPr>
          <w:ilvl w:val="0"/>
          <w:numId w:val="1"/>
        </w:numPr>
        <w:spacing w:before="0" w:after="60"/>
        <w:rPr/>
      </w:pPr>
      <w:r>
        <w:rPr/>
        <w:t xml:space="preserve">Llama 3.2 Acceptable Use Policy : </w:t>
      </w:r>
      <w:hyperlink r:id="rId16">
        <w:r>
          <w:rPr>
            <w:rStyle w:val="Hyperlink"/>
          </w:rPr>
          <w:t>https://github.com/meta-llama/llama-models/blob/main/models/llama3_2/USE_POLICY.md</w:t>
        </w:r>
      </w:hyperlink>
    </w:p>
    <w:p>
      <w:pPr>
        <w:pStyle w:val="ListParagraph"/>
        <w:numPr>
          <w:ilvl w:val="0"/>
          <w:numId w:val="1"/>
        </w:numPr>
        <w:spacing w:before="0" w:after="60"/>
        <w:rPr/>
      </w:pPr>
      <w:r>
        <w:rPr/>
        <w:t xml:space="preserve">Règlement INCO (UE) 1169/2011 : </w:t>
      </w:r>
      <w:hyperlink r:id="rId17">
        <w:r>
          <w:rPr>
            <w:rStyle w:val="Hyperlink"/>
          </w:rPr>
          <w:t>http://data.europa.eu/eli/reg/2011/1169/oj</w:t>
        </w:r>
      </w:hyperlink>
    </w:p>
    <w:p>
      <w:pPr>
        <w:pStyle w:val="ListParagraph"/>
        <w:numPr>
          <w:ilvl w:val="0"/>
          <w:numId w:val="1"/>
        </w:numPr>
        <w:spacing w:before="0" w:after="60"/>
        <w:rPr/>
      </w:pPr>
      <w:r>
        <w:rPr/>
        <w:t xml:space="preserve">Directive (UE) 2024/2853 (produits défectueux) : </w:t>
      </w:r>
      <w:hyperlink r:id="rId18">
        <w:r>
          <w:rPr>
            <w:rStyle w:val="Hyperlink"/>
          </w:rPr>
          <w:t>http://data.europa.eu/eli/dir/2024/2853/oj</w:t>
        </w:r>
      </w:hyperlink>
    </w:p>
    <w:p>
      <w:pPr>
        <w:pStyle w:val="Normal"/>
        <w:spacing w:lineRule="auto" w:line="276" w:before="0" w:after="120"/>
        <w:rPr/>
      </w:pPr>
      <w:r>
        <w:rPr>
          <w:sz w:val="19"/>
          <w:szCs w:val="19"/>
        </w:rPr>
        <w:t>Documents CNIL utilisés sans lien direct : infographie « Comprendre la chaîne répressive de la CNIL » ; guide « Règlement européen sur la protection des données personnelles, se préparer en 6 étapes » ; Tables Informatique et Libertés, édition 2026 (version 2.3 du 20.2.2026).</w:t>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A8574"/>
        <w:sz w:val="16"/>
        <w:szCs w:val="16"/>
      </w:rPr>
      <w:t xml:space="preserve">Page </w:t>
    </w:r>
    <w:r>
      <w:rPr>
        <w:sz w:val="19"/>
        <w:szCs w:val="19"/>
      </w:rPr>
      <w:fldChar w:fldCharType="begin"/>
    </w:r>
    <w:r>
      <w:rPr>
        <w:sz w:val="19"/>
        <w:szCs w:val="19"/>
      </w:rPr>
      <w:instrText xml:space="preserve"> PAGE </w:instrText>
    </w:r>
    <w:r>
      <w:rPr>
        <w:sz w:val="19"/>
        <w:szCs w:val="19"/>
      </w:rPr>
      <w:fldChar w:fldCharType="separate"/>
    </w:r>
    <w:r>
      <w:rPr>
        <w:sz w:val="19"/>
        <w:szCs w:val="19"/>
      </w:rPr>
      <w:t>11</w:t>
    </w:r>
    <w:r>
      <w:rPr>
        <w:sz w:val="19"/>
        <w:szCs w:val="19"/>
      </w:rPr>
      <w:fldChar w:fldCharType="end"/>
    </w:r>
    <w:r>
      <w:rPr/>
      <w:t xml:space="preserve"> / </w:t>
    </w:r>
    <w:r>
      <w:rPr>
        <w:sz w:val="19"/>
        <w:szCs w:val="19"/>
      </w:rPr>
      <w:fldChar w:fldCharType="begin"/>
    </w:r>
    <w:r>
      <w:rPr>
        <w:sz w:val="19"/>
        <w:szCs w:val="19"/>
      </w:rPr>
      <w:instrText xml:space="preserve"> NUMPAGES </w:instrText>
    </w:r>
    <w:r>
      <w:rPr>
        <w:sz w:val="19"/>
        <w:szCs w:val="19"/>
      </w:rPr>
      <w:fldChar w:fldCharType="separate"/>
    </w:r>
    <w:r>
      <w:rPr>
        <w:sz w:val="19"/>
        <w:szCs w:val="19"/>
      </w:rPr>
      <w:t>11</w:t>
    </w:r>
    <w:r>
      <w:rPr>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A8574"/>
        <w:sz w:val="16"/>
        <w:szCs w:val="16"/>
      </w:rPr>
      <w:t xml:space="preserve">Page </w:t>
    </w:r>
    <w:r>
      <w:rPr>
        <w:sz w:val="19"/>
        <w:szCs w:val="19"/>
      </w:rPr>
      <w:fldChar w:fldCharType="begin"/>
    </w:r>
    <w:r>
      <w:rPr>
        <w:sz w:val="19"/>
        <w:szCs w:val="19"/>
      </w:rPr>
      <w:instrText xml:space="preserve"> PAGE </w:instrText>
    </w:r>
    <w:r>
      <w:rPr>
        <w:sz w:val="19"/>
        <w:szCs w:val="19"/>
      </w:rPr>
      <w:fldChar w:fldCharType="separate"/>
    </w:r>
    <w:r>
      <w:rPr>
        <w:sz w:val="19"/>
        <w:szCs w:val="19"/>
      </w:rPr>
      <w:t>11</w:t>
    </w:r>
    <w:r>
      <w:rPr>
        <w:sz w:val="19"/>
        <w:szCs w:val="19"/>
      </w:rPr>
      <w:fldChar w:fldCharType="end"/>
    </w:r>
    <w:r>
      <w:rPr/>
      <w:t xml:space="preserve"> / </w:t>
    </w:r>
    <w:r>
      <w:rPr>
        <w:sz w:val="19"/>
        <w:szCs w:val="19"/>
      </w:rPr>
      <w:fldChar w:fldCharType="begin"/>
    </w:r>
    <w:r>
      <w:rPr>
        <w:sz w:val="19"/>
        <w:szCs w:val="19"/>
      </w:rPr>
      <w:instrText xml:space="preserve"> NUMPAGES </w:instrText>
    </w:r>
    <w:r>
      <w:rPr>
        <w:sz w:val="19"/>
        <w:szCs w:val="19"/>
      </w:rPr>
      <w:fldChar w:fldCharType="separate"/>
    </w:r>
    <w:r>
      <w:rPr>
        <w:sz w:val="19"/>
        <w:szCs w:val="19"/>
      </w:rPr>
      <w:t>11</w:t>
    </w:r>
    <w:r>
      <w:rPr>
        <w:sz w:val="19"/>
        <w:szCs w:val="1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9A8574"/>
        <w:sz w:val="16"/>
        <w:szCs w:val="16"/>
      </w:rPr>
      <w:t>ChocoBot · Veille réglementaire et rapport des problèmes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9A8574"/>
        <w:sz w:val="16"/>
        <w:szCs w:val="16"/>
      </w:rPr>
      <w:t>ChocoBot · Veille réglementaire et rapport des problèmes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bullet"/>
      <w:lvlText w:val=""/>
      <w:lvlJc w:val="start"/>
      <w:pPr>
        <w:tabs>
          <w:tab w:val="num" w:pos="0"/>
        </w:tabs>
        <w:ind w:start="1080" w:hanging="27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B1810"/>
        <w:sz w:val="21"/>
        <w:szCs w:val="21"/>
        <w:lang w:val="en-US"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Calibri" w:hAnsi="Calibri" w:eastAsia="Calibri" w:cs="Calibri"/>
      <w:color w:val="2B1810"/>
      <w:kern w:val="0"/>
      <w:sz w:val="21"/>
      <w:szCs w:val="21"/>
      <w:lang w:val="en-US" w:eastAsia="zh-CN" w:bidi="hi-IN"/>
    </w:rPr>
  </w:style>
  <w:style w:type="paragraph" w:styleId="Heading1">
    <w:name w:val="heading 1"/>
    <w:basedOn w:val="Normal"/>
    <w:next w:val="Normal"/>
    <w:qFormat/>
    <w:pPr>
      <w:pBdr>
        <w:bottom w:val="single" w:sz="8" w:space="6" w:color="B8893B"/>
      </w:pBdr>
      <w:spacing w:before="120" w:after="240"/>
      <w:outlineLvl w:val="0"/>
    </w:pPr>
    <w:rPr>
      <w:b/>
      <w:bCs/>
      <w:color w:val="4A2A1C"/>
      <w:sz w:val="34"/>
      <w:szCs w:val="34"/>
    </w:rPr>
  </w:style>
  <w:style w:type="paragraph" w:styleId="Heading2">
    <w:name w:val="heading 2"/>
    <w:basedOn w:val="Normal"/>
    <w:next w:val="Normal"/>
    <w:qFormat/>
    <w:pPr>
      <w:keepNext w:val="true"/>
      <w:spacing w:before="300" w:after="140"/>
      <w:outlineLvl w:val="1"/>
    </w:pPr>
    <w:rPr>
      <w:b/>
      <w:bCs/>
      <w:color w:val="4A2A1C"/>
      <w:sz w:val="27"/>
      <w:szCs w:val="27"/>
    </w:rPr>
  </w:style>
  <w:style w:type="paragraph" w:styleId="Heading3">
    <w:name w:val="heading 3"/>
    <w:basedOn w:val="Normal"/>
    <w:next w:val="Normal"/>
    <w:qFormat/>
    <w:pPr>
      <w:keepNext w:val="true"/>
      <w:spacing w:before="220" w:after="100"/>
      <w:outlineLvl w:val="2"/>
    </w:pPr>
    <w:rPr>
      <w:b/>
      <w:bCs/>
      <w:color w:val="8A5A2B"/>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ata.europa.eu/eli/reg/2016/679/oj" TargetMode="External"/><Relationship Id="rId3" Type="http://schemas.openxmlformats.org/officeDocument/2006/relationships/hyperlink" Target="http://data.europa.eu/eli/reg/2016/679/art_22/oj" TargetMode="External"/><Relationship Id="rId4" Type="http://schemas.openxmlformats.org/officeDocument/2006/relationships/hyperlink" Target="http://data.europa.eu/eli/reg/2016/679/art_9/oj" TargetMode="External"/><Relationship Id="rId5" Type="http://schemas.openxmlformats.org/officeDocument/2006/relationships/hyperlink" Target="http://data.europa.eu/eli/reg/2016/679/art_30/oj" TargetMode="External"/><Relationship Id="rId6" Type="http://schemas.openxmlformats.org/officeDocument/2006/relationships/hyperlink" Target="https://www.cnil.fr/fr/reglement-europeen-protection-donnees/chapitre3" TargetMode="External"/><Relationship Id="rId7" Type="http://schemas.openxmlformats.org/officeDocument/2006/relationships/hyperlink" Target="http://data.europa.eu/eli/reg/2024/1689/oj" TargetMode="External"/><Relationship Id="rId8" Type="http://schemas.openxmlformats.org/officeDocument/2006/relationships/hyperlink" Target="http://data.europa.eu/eli/reg/2024/1689/art_3/oj" TargetMode="External"/><Relationship Id="rId9" Type="http://schemas.openxmlformats.org/officeDocument/2006/relationships/hyperlink" Target="http://data.europa.eu/eli/reg/2024/1689/art_6/oj" TargetMode="External"/><Relationship Id="rId10" Type="http://schemas.openxmlformats.org/officeDocument/2006/relationships/hyperlink" Target="http://data.europa.eu/eli/reg/2024/1689/art_50/oj" TargetMode="External"/><Relationship Id="rId11" Type="http://schemas.openxmlformats.org/officeDocument/2006/relationships/hyperlink" Target="http://data.europa.eu/eli/reg/2024/1689/art_99/oj" TargetMode="External"/><Relationship Id="rId12" Type="http://schemas.openxmlformats.org/officeDocument/2006/relationships/hyperlink" Target="http://data.europa.eu/eli/reg/2026/1744/oj" TargetMode="External"/><Relationship Id="rId13" Type="http://schemas.openxmlformats.org/officeDocument/2006/relationships/hyperlink" Target="https://www.legifrance.gouv.fr/loda/article_lc/LEGIARTI000054142442" TargetMode="External"/><Relationship Id="rId14" Type="http://schemas.openxmlformats.org/officeDocument/2006/relationships/hyperlink" Target="https://www.cnil.fr/fr/la-procedure-de-sanction-simplifiee" TargetMode="External"/><Relationship Id="rId15" Type="http://schemas.openxmlformats.org/officeDocument/2006/relationships/hyperlink" Target="https://github.com/meta-llama/llama-models/blob/main/models/llama3_2/LICENSE" TargetMode="External"/><Relationship Id="rId16" Type="http://schemas.openxmlformats.org/officeDocument/2006/relationships/hyperlink" Target="https://github.com/meta-llama/llama-models/blob/main/models/llama3_2/USE_POLICY.md" TargetMode="External"/><Relationship Id="rId17" Type="http://schemas.openxmlformats.org/officeDocument/2006/relationships/hyperlink" Target="http://data.europa.eu/eli/reg/2011/1169/oj" TargetMode="External"/><Relationship Id="rId18" Type="http://schemas.openxmlformats.org/officeDocument/2006/relationships/hyperlink" Target="http://data.europa.eu/eli/dir/2024/2853/oj"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LibreOffice/26.2.5.2$Linux_X86_64 LibreOffice_project/620$Build-2</Application>
  <AppVersion>15.0000</AppVersion>
  <Pages>11</Pages>
  <Words>4521</Words>
  <Characters>23789</Characters>
  <CharactersWithSpaces>27966</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2026-10-08T15:03:16Z</dcterms:created>
  <dc:creator>Binôme Simplon</dc:creator>
  <dc:description/>
  <dc:language>en-US</dc:language>
  <cp:lastModifiedBy/>
  <dcterms:modified xsi:type="dcterms:W3CDTF">2026-10-09T09:10:31Z</dcterms:modified>
  <cp:revision>2</cp:revision>
  <dc:subject/>
  <dc:title>ChocoBot — Veille réglementaire et rapport des problèmes</dc:title>
</cp:coreProperties>
</file>