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57" w:rsidRPr="00B41157" w:rsidRDefault="00B41157" w:rsidP="00B41157">
      <w:pPr>
        <w:rPr>
          <w:rFonts w:ascii="Algerian" w:hAnsi="Algerian"/>
          <w:sz w:val="24"/>
          <w:szCs w:val="24"/>
        </w:rPr>
      </w:pPr>
    </w:p>
    <w:p w:rsidR="00B41157" w:rsidRPr="00B41157" w:rsidRDefault="00B41157" w:rsidP="00B41157">
      <w:pPr>
        <w:jc w:val="right"/>
        <w:rPr>
          <w:rFonts w:ascii="Algerian" w:hAnsi="Algerian"/>
          <w:sz w:val="24"/>
          <w:szCs w:val="24"/>
        </w:rPr>
      </w:pPr>
    </w:p>
    <w:p w:rsidR="00B41157" w:rsidRPr="00B41157" w:rsidRDefault="00B41157" w:rsidP="00B41157">
      <w:pPr>
        <w:jc w:val="right"/>
        <w:rPr>
          <w:rFonts w:ascii="Algerian" w:hAnsi="Algerian"/>
          <w:sz w:val="24"/>
          <w:szCs w:val="24"/>
        </w:rPr>
      </w:pPr>
    </w:p>
    <w:p w:rsidR="00B41157" w:rsidRPr="00B41157" w:rsidRDefault="00B41157" w:rsidP="00B41157">
      <w:pPr>
        <w:jc w:val="right"/>
        <w:rPr>
          <w:rFonts w:ascii="Algerian" w:hAnsi="Algerian"/>
          <w:sz w:val="24"/>
          <w:szCs w:val="24"/>
        </w:rPr>
      </w:pPr>
    </w:p>
    <w:p w:rsidR="00B41157" w:rsidRPr="00B41157" w:rsidRDefault="00B41157" w:rsidP="00B41157">
      <w:pPr>
        <w:jc w:val="right"/>
        <w:rPr>
          <w:rFonts w:ascii="Algerian" w:hAnsi="Algerian"/>
          <w:sz w:val="24"/>
          <w:szCs w:val="24"/>
        </w:rPr>
      </w:pPr>
    </w:p>
    <w:p w:rsidR="00B41157" w:rsidRPr="00B41157" w:rsidRDefault="00B41157" w:rsidP="00B41157">
      <w:pPr>
        <w:jc w:val="right"/>
        <w:rPr>
          <w:rFonts w:ascii="Algerian" w:hAnsi="Algerian"/>
          <w:sz w:val="24"/>
          <w:szCs w:val="24"/>
        </w:rPr>
      </w:pPr>
    </w:p>
    <w:p w:rsidR="00B41157" w:rsidRPr="00B41157" w:rsidRDefault="00B41157" w:rsidP="00B41157">
      <w:pPr>
        <w:jc w:val="right"/>
        <w:rPr>
          <w:rFonts w:ascii="Algerian" w:hAnsi="Algerian"/>
          <w:sz w:val="24"/>
          <w:szCs w:val="24"/>
        </w:rPr>
      </w:pPr>
    </w:p>
    <w:p w:rsidR="00B41157" w:rsidRPr="00B41157" w:rsidRDefault="00B41157" w:rsidP="00B4115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de-AT"/>
        </w:rPr>
      </w:pPr>
      <w:r w:rsidRPr="00B41157">
        <w:rPr>
          <w:rFonts w:ascii="Times New Roman" w:hAnsi="Times New Roman" w:cs="Times New Roman"/>
          <w:b/>
          <w:bCs/>
          <w:sz w:val="24"/>
          <w:szCs w:val="24"/>
          <w:lang w:val="de-AT"/>
        </w:rPr>
        <w:t>UPRAVLJANJE SOFTVERSKIM PROJEKTIMA</w:t>
      </w:r>
    </w:p>
    <w:p w:rsidR="00B41157" w:rsidRPr="00B41157" w:rsidRDefault="00B41157" w:rsidP="00B4115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de-AT"/>
        </w:rPr>
      </w:pPr>
      <w:r w:rsidRPr="00B41157">
        <w:rPr>
          <w:rFonts w:ascii="Times New Roman" w:hAnsi="Times New Roman" w:cs="Times New Roman"/>
          <w:b/>
          <w:bCs/>
          <w:sz w:val="24"/>
          <w:szCs w:val="24"/>
          <w:lang w:val="de-AT"/>
        </w:rPr>
        <w:t xml:space="preserve">Analiza Poziva </w:t>
      </w:r>
    </w:p>
    <w:p w:rsidR="00B41157" w:rsidRPr="00B41157" w:rsidRDefault="00B41157" w:rsidP="00B4115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de-AT"/>
        </w:rPr>
      </w:pPr>
      <w:r w:rsidRPr="00B41157">
        <w:rPr>
          <w:rFonts w:ascii="Times New Roman" w:hAnsi="Times New Roman" w:cs="Times New Roman"/>
          <w:b/>
          <w:bCs/>
          <w:sz w:val="24"/>
          <w:szCs w:val="24"/>
          <w:lang w:val="de-AT"/>
        </w:rPr>
        <w:t>Verzija 1.0</w:t>
      </w:r>
    </w:p>
    <w:p w:rsidR="00B41157" w:rsidRPr="00B41157" w:rsidRDefault="00B41157" w:rsidP="00B41157">
      <w:pPr>
        <w:rPr>
          <w:sz w:val="24"/>
          <w:szCs w:val="24"/>
          <w:lang w:val="de-AT"/>
        </w:rPr>
      </w:pPr>
    </w:p>
    <w:p w:rsidR="00B41157" w:rsidRPr="00B41157" w:rsidRDefault="00B41157" w:rsidP="00B41157">
      <w:pPr>
        <w:rPr>
          <w:sz w:val="24"/>
          <w:szCs w:val="24"/>
          <w:lang w:val="de-AT"/>
        </w:rPr>
      </w:pPr>
      <w:r w:rsidRPr="00B41157">
        <w:rPr>
          <w:sz w:val="24"/>
          <w:szCs w:val="24"/>
          <w:lang w:val="de-AT"/>
        </w:rPr>
        <w:br w:type="page"/>
      </w:r>
    </w:p>
    <w:p w:rsidR="00B41157" w:rsidRPr="00B41157" w:rsidRDefault="00B41157" w:rsidP="00B41157">
      <w:pPr>
        <w:rPr>
          <w:sz w:val="24"/>
          <w:szCs w:val="24"/>
          <w:lang w:val="de-AT"/>
        </w:rPr>
      </w:pP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  <w:lang w:val="sr-Latn-RS"/>
        </w:rPr>
        <w:id w:val="-1639104301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:rsidR="00B41157" w:rsidRPr="00B41157" w:rsidRDefault="00B41157" w:rsidP="00B41157">
          <w:pPr>
            <w:pStyle w:val="TOCHeading"/>
            <w:jc w:val="center"/>
            <w:rPr>
              <w:sz w:val="24"/>
              <w:szCs w:val="24"/>
            </w:rPr>
          </w:pPr>
          <w:r w:rsidRPr="00B41157">
            <w:rPr>
              <w:sz w:val="24"/>
              <w:szCs w:val="24"/>
            </w:rPr>
            <w:t>Sadržaj</w:t>
          </w:r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r w:rsidRPr="00B41157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begin"/>
          </w:r>
          <w:r w:rsidRPr="00B4115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41157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separate"/>
          </w:r>
          <w:hyperlink w:anchor="_Toc134016993" w:history="1">
            <w:r w:rsidRPr="00B41157">
              <w:rPr>
                <w:rStyle w:val="Hyperlink"/>
                <w:sz w:val="24"/>
                <w:szCs w:val="24"/>
              </w:rPr>
              <w:t>Pregled izmena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_Toc134016993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3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6994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Opšti i posebni ciljevi projekta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_Toc134016994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3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6995" w:history="1">
            <w:r w:rsidRPr="00B41157">
              <w:rPr>
                <w:rStyle w:val="Hyperlink"/>
                <w:sz w:val="24"/>
                <w:szCs w:val="24"/>
                <w:shd w:val="clear" w:color="auto" w:fill="FFFFFF"/>
                <w:lang w:val="sr-Latn-BA"/>
              </w:rPr>
              <w:t>Specificne ciljevi i rezultati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_Toc134016995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3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6996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Ukupni budžet programa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_Toc134016996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4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6997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Analiza konkretnog poziva za key action 2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_Toc134016997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5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6998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Opšti i posebni ciljevi projekta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_Toc134016998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5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6999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Mogući aplikanti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_Toc134016999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6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7000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Trajanje projekta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_Toc134017000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6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7001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Geografski opseg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_Toc134017001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6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7002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Aktivnosti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_Toc134017002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7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pStyle w:val="TOC1"/>
            <w:tabs>
              <w:tab w:val="right" w:leader="dot" w:pos="9396"/>
            </w:tabs>
            <w:rPr>
              <w:sz w:val="24"/>
              <w:szCs w:val="24"/>
              <w:lang w:val="en-GB" w:eastAsia="en-GB"/>
            </w:rPr>
          </w:pPr>
          <w:hyperlink w:anchor="_Toc134017003" w:history="1">
            <w:r w:rsidRPr="00B41157">
              <w:rPr>
                <w:rStyle w:val="Hyperlink"/>
                <w:sz w:val="24"/>
                <w:szCs w:val="24"/>
                <w:lang w:val="sr-Latn-BA"/>
              </w:rPr>
              <w:t>Budžet pojedinačnog projekta</w:t>
            </w:r>
            <w:r w:rsidRPr="00B41157">
              <w:rPr>
                <w:webHidden/>
                <w:sz w:val="24"/>
                <w:szCs w:val="24"/>
              </w:rPr>
              <w:tab/>
            </w:r>
            <w:r w:rsidRPr="00B41157">
              <w:rPr>
                <w:webHidden/>
                <w:sz w:val="24"/>
                <w:szCs w:val="24"/>
              </w:rPr>
              <w:fldChar w:fldCharType="begin"/>
            </w:r>
            <w:r w:rsidRPr="00B41157">
              <w:rPr>
                <w:webHidden/>
                <w:sz w:val="24"/>
                <w:szCs w:val="24"/>
              </w:rPr>
              <w:instrText xml:space="preserve"> PAGEREF _Toc134017003 \h </w:instrText>
            </w:r>
            <w:r w:rsidRPr="00B41157">
              <w:rPr>
                <w:webHidden/>
                <w:sz w:val="24"/>
                <w:szCs w:val="24"/>
              </w:rPr>
            </w:r>
            <w:r w:rsidRPr="00B41157">
              <w:rPr>
                <w:webHidden/>
                <w:sz w:val="24"/>
                <w:szCs w:val="24"/>
              </w:rPr>
              <w:fldChar w:fldCharType="separate"/>
            </w:r>
            <w:r w:rsidRPr="00B41157">
              <w:rPr>
                <w:webHidden/>
                <w:sz w:val="24"/>
                <w:szCs w:val="24"/>
              </w:rPr>
              <w:t>7</w:t>
            </w:r>
            <w:r w:rsidRPr="00B4115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41157" w:rsidRPr="00B41157" w:rsidRDefault="00B41157" w:rsidP="00B411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B4115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41157" w:rsidRPr="00B41157" w:rsidRDefault="00B41157" w:rsidP="00B41157">
      <w:pPr>
        <w:rPr>
          <w:sz w:val="24"/>
          <w:szCs w:val="24"/>
        </w:rPr>
      </w:pPr>
      <w:r w:rsidRPr="00B41157">
        <w:rPr>
          <w:sz w:val="24"/>
          <w:szCs w:val="24"/>
        </w:rPr>
        <w:br w:type="page"/>
      </w:r>
    </w:p>
    <w:p w:rsidR="00B41157" w:rsidRPr="00B41157" w:rsidRDefault="00B41157" w:rsidP="00B41157">
      <w:pPr>
        <w:pStyle w:val="Heading1"/>
        <w:jc w:val="center"/>
        <w:rPr>
          <w:sz w:val="24"/>
          <w:szCs w:val="24"/>
        </w:rPr>
      </w:pPr>
      <w:bookmarkStart w:id="0" w:name="_Toc134016993"/>
      <w:r w:rsidRPr="00B41157">
        <w:rPr>
          <w:sz w:val="24"/>
          <w:szCs w:val="24"/>
        </w:rPr>
        <w:lastRenderedPageBreak/>
        <w:t>Pregled izmena</w:t>
      </w:r>
      <w:bookmarkEnd w:id="0"/>
    </w:p>
    <w:p w:rsidR="00B41157" w:rsidRPr="00B41157" w:rsidRDefault="00B41157" w:rsidP="00B41157">
      <w:pPr>
        <w:rPr>
          <w:sz w:val="24"/>
          <w:szCs w:val="24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B41157" w:rsidRPr="00B41157" w:rsidTr="008919D1">
        <w:tc>
          <w:tcPr>
            <w:tcW w:w="2304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Autori</w:t>
            </w:r>
          </w:p>
        </w:tc>
      </w:tr>
      <w:tr w:rsidR="00B41157" w:rsidRPr="00B41157" w:rsidTr="008919D1">
        <w:tc>
          <w:tcPr>
            <w:tcW w:w="2304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3.5.2023.</w:t>
            </w:r>
          </w:p>
        </w:tc>
        <w:tc>
          <w:tcPr>
            <w:tcW w:w="1152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Inicijalna verzija</w:t>
            </w:r>
          </w:p>
        </w:tc>
        <w:tc>
          <w:tcPr>
            <w:tcW w:w="2195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B41157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SheTech</w:t>
            </w:r>
          </w:p>
        </w:tc>
      </w:tr>
      <w:tr w:rsidR="00B41157" w:rsidRPr="00B41157" w:rsidTr="008919D1">
        <w:tc>
          <w:tcPr>
            <w:tcW w:w="2304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98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195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BA" w:eastAsia="sr-Latn-CS"/>
              </w:rPr>
            </w:pPr>
          </w:p>
        </w:tc>
      </w:tr>
      <w:tr w:rsidR="00B41157" w:rsidRPr="00B41157" w:rsidTr="008919D1">
        <w:tc>
          <w:tcPr>
            <w:tcW w:w="2304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98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195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  <w:tr w:rsidR="00B41157" w:rsidRPr="00B41157" w:rsidTr="008919D1">
        <w:tc>
          <w:tcPr>
            <w:tcW w:w="2304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98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195" w:type="dxa"/>
          </w:tcPr>
          <w:p w:rsidR="00B41157" w:rsidRPr="00B41157" w:rsidRDefault="00B41157" w:rsidP="008919D1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</w:tbl>
    <w:p w:rsidR="00B41157" w:rsidRPr="00B41157" w:rsidRDefault="00B41157" w:rsidP="00B41157">
      <w:pPr>
        <w:rPr>
          <w:sz w:val="24"/>
          <w:szCs w:val="24"/>
        </w:rPr>
      </w:pPr>
    </w:p>
    <w:p w:rsidR="00B41157" w:rsidRPr="00B41157" w:rsidRDefault="00B41157" w:rsidP="00B41157">
      <w:pPr>
        <w:pStyle w:val="Heading1"/>
        <w:rPr>
          <w:sz w:val="24"/>
          <w:szCs w:val="24"/>
        </w:rPr>
      </w:pPr>
    </w:p>
    <w:p w:rsidR="00B41157" w:rsidRPr="00B41157" w:rsidRDefault="00B41157" w:rsidP="00B41157">
      <w:pPr>
        <w:pStyle w:val="Heading1"/>
        <w:jc w:val="center"/>
        <w:rPr>
          <w:sz w:val="24"/>
          <w:szCs w:val="24"/>
          <w:lang w:val="sr-Latn-BA"/>
        </w:rPr>
      </w:pPr>
      <w:bookmarkStart w:id="1" w:name="_Toc134016994"/>
      <w:r w:rsidRPr="00B41157">
        <w:rPr>
          <w:sz w:val="24"/>
          <w:szCs w:val="24"/>
          <w:lang w:val="sr-Latn-BA"/>
        </w:rPr>
        <w:t>Opšti i posebni ciljevi projekta</w:t>
      </w:r>
      <w:bookmarkEnd w:id="1"/>
    </w:p>
    <w:p w:rsidR="00B41157" w:rsidRPr="00B41157" w:rsidRDefault="00B41157" w:rsidP="00B41157">
      <w:pPr>
        <w:rPr>
          <w:sz w:val="24"/>
          <w:szCs w:val="24"/>
          <w:lang w:val="sr-Latn-BA"/>
        </w:rPr>
      </w:pPr>
    </w:p>
    <w:p w:rsidR="00B41157" w:rsidRPr="00B41157" w:rsidRDefault="00B41157" w:rsidP="00B41157">
      <w:pPr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Ovaj program predstavlja važan alat za izgradnju evropskog prostora obrazovanja i podržavaće sprovođenje evropske strateške saradnje u oblasti obrazovanja i osposobljavanja, uz osnovne sektorske programe. Takođe, od suštinskog je značaja za unapređenje saradnje u oblasti politike za mlade u skladu sa strategijom Evropske unije za mlade za period od 2019. do 2027. godine, kao i za razvoj evropske dimenzije u oblasti sporta.</w:t>
      </w:r>
    </w:p>
    <w:p w:rsidR="00B41157" w:rsidRPr="00B41157" w:rsidRDefault="00B41157" w:rsidP="00B41157">
      <w:pPr>
        <w:ind w:left="360"/>
        <w:rPr>
          <w:sz w:val="24"/>
          <w:szCs w:val="24"/>
          <w:lang w:val="sr-Latn-BA"/>
        </w:rPr>
      </w:pPr>
    </w:p>
    <w:p w:rsidR="00B41157" w:rsidRPr="00B41157" w:rsidRDefault="00B41157" w:rsidP="00B41157">
      <w:pPr>
        <w:pStyle w:val="Heading1"/>
        <w:jc w:val="center"/>
        <w:rPr>
          <w:sz w:val="24"/>
          <w:szCs w:val="24"/>
          <w:lang w:val="sr-Latn-BA"/>
        </w:rPr>
      </w:pPr>
      <w:bookmarkStart w:id="2" w:name="_Toc134016995"/>
      <w:r w:rsidRPr="00B41157">
        <w:rPr>
          <w:sz w:val="24"/>
          <w:szCs w:val="24"/>
          <w:shd w:val="clear" w:color="auto" w:fill="FFFFFF"/>
          <w:lang w:val="sr-Latn-BA"/>
        </w:rPr>
        <w:t>Specificne ciljevi i rezultati</w:t>
      </w:r>
      <w:bookmarkEnd w:id="2"/>
    </w:p>
    <w:p w:rsidR="00B41157" w:rsidRPr="00B41157" w:rsidRDefault="00B41157" w:rsidP="00B41157">
      <w:pPr>
        <w:rPr>
          <w:sz w:val="24"/>
          <w:szCs w:val="24"/>
          <w:lang w:val="sr-Latn-BA"/>
        </w:rPr>
      </w:pPr>
    </w:p>
    <w:p w:rsidR="00B41157" w:rsidRPr="00B41157" w:rsidRDefault="00B41157" w:rsidP="00B41157">
      <w:pPr>
        <w:numPr>
          <w:ilvl w:val="0"/>
          <w:numId w:val="1"/>
        </w:numPr>
        <w:spacing w:after="160" w:line="259" w:lineRule="auto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Podsticanje mobilnosti pojedinaca i grupa u svrhu učenja, kao i saradnje, kvalitete, uključivosti, pravednosti, izvrsnosti, i inovativnosti na organizacionom i političkom nivou u oblasti obrazovanja i osposobljavanja.</w:t>
      </w:r>
    </w:p>
    <w:p w:rsidR="00B41157" w:rsidRPr="00B41157" w:rsidRDefault="00B41157" w:rsidP="00B41157">
      <w:pPr>
        <w:numPr>
          <w:ilvl w:val="0"/>
          <w:numId w:val="1"/>
        </w:numPr>
        <w:spacing w:after="160" w:line="259" w:lineRule="auto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Promovisanje mobilnosti u svrhu neformalnog i informalnog učenja, aktivnog učešća mladih ljudi, kao i saradnje, kvalitete, uključivosti, kreativnosti i inovativnosti na organizacijskom i političkom nivou u oblasti mladih.</w:t>
      </w:r>
    </w:p>
    <w:p w:rsidR="00B41157" w:rsidRPr="00B41157" w:rsidRDefault="00B41157" w:rsidP="00B41157">
      <w:pPr>
        <w:numPr>
          <w:ilvl w:val="0"/>
          <w:numId w:val="1"/>
        </w:numPr>
        <w:spacing w:after="160" w:line="259" w:lineRule="auto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Podsticanje mobilnosti sportskog osoblja u svrhu učenja, kao i auradnje, kvalitete, uključivosti, kreativnosti i inovativnosti na organizacijskom i političkom nivou u oblasti sporta.</w:t>
      </w:r>
    </w:p>
    <w:p w:rsidR="00B41157" w:rsidRPr="00B41157" w:rsidRDefault="00B41157" w:rsidP="00B41157">
      <w:pPr>
        <w:tabs>
          <w:tab w:val="num" w:pos="720"/>
        </w:tabs>
        <w:ind w:left="360"/>
        <w:rPr>
          <w:b/>
          <w:sz w:val="24"/>
          <w:szCs w:val="24"/>
          <w:lang w:val="sr-Latn-BA"/>
        </w:rPr>
      </w:pPr>
      <w:r w:rsidRPr="00B41157">
        <w:rPr>
          <w:b/>
          <w:sz w:val="24"/>
          <w:szCs w:val="24"/>
          <w:lang w:val="sr-Latn-BA"/>
        </w:rPr>
        <w:t>Rezultati specifičnih ciljeva su: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 xml:space="preserve">Povećanje kvaliteta obrazovanja i osposobljavanja kroz mobilnost i razmenu iskustava. 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lastRenderedPageBreak/>
        <w:t>Povećanje mogućnosti za razvoj veština i znanja kod mladih ljudi, studenata, nastavnika i drugih profesionalaca.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Podrška unapređenju međukulturnog dijaloga i razumevanja među mladima i obrazovnim ustanovama u Evrope.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Podrška razvoju partnerstva i saradnje između obrazovnih ustanova, organizacija civilnog društva i drugih relevantnih aktera.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Podrška inovacijama i razvoju novih pristupa u obrazovanju i osposobljavanju. Unapređenje kvaliteta obrazovanja i osposobljavanja kroz razmenu iskustava i dobre prakse.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Podrška razvoju i implementaciji politika u oblasti obrazovanja i osposobljavanja u skladu sa evropskim standardima i ciljevima.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Podrška unapređenju kvaliteta obrazovanja i osposobljavanja kroz razvoj novih pristupa, metodologija i alata.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>Podrška unapređenju mogućnosti za mobilnost i internacionalizaciju u oblasti obrazovanja i osposobljavanja.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 xml:space="preserve">Promocija sporta kao sredstva za ostvarivanje socijalnih, obrazovnih i zdravstvenih ciljeva. </w:t>
      </w:r>
    </w:p>
    <w:p w:rsidR="00B41157" w:rsidRPr="00B41157" w:rsidRDefault="00B41157" w:rsidP="00B41157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bookmarkStart w:id="3" w:name="_GoBack"/>
      <w:r w:rsidRPr="00B41157">
        <w:rPr>
          <w:sz w:val="24"/>
          <w:szCs w:val="24"/>
          <w:lang w:val="sr-Latn-BA"/>
        </w:rPr>
        <w:t xml:space="preserve">Podrška razvoju kapaciteta organizacija koje se bave sportom i sportistima. Podrška </w:t>
      </w:r>
      <w:bookmarkEnd w:id="3"/>
      <w:r w:rsidRPr="00B41157">
        <w:rPr>
          <w:sz w:val="24"/>
          <w:szCs w:val="24"/>
          <w:lang w:val="sr-Latn-BA"/>
        </w:rPr>
        <w:t>promociji dobrovoljnosti, društvene kohezije i interkulturalnog dijaloga kroz sport.</w:t>
      </w:r>
    </w:p>
    <w:p w:rsidR="00B41157" w:rsidRPr="00B41157" w:rsidRDefault="00B41157" w:rsidP="00B41157">
      <w:pPr>
        <w:pStyle w:val="Heading1"/>
        <w:rPr>
          <w:sz w:val="24"/>
          <w:szCs w:val="24"/>
          <w:lang w:val="sr-Latn-BA"/>
        </w:rPr>
      </w:pPr>
    </w:p>
    <w:p w:rsidR="00B41157" w:rsidRPr="00B41157" w:rsidRDefault="00B41157" w:rsidP="00B41157">
      <w:pPr>
        <w:pStyle w:val="Heading1"/>
        <w:jc w:val="center"/>
        <w:rPr>
          <w:sz w:val="24"/>
          <w:szCs w:val="24"/>
          <w:lang w:val="sr-Latn-BA"/>
        </w:rPr>
      </w:pPr>
      <w:bookmarkStart w:id="4" w:name="_Toc134016996"/>
      <w:r w:rsidRPr="00B41157">
        <w:rPr>
          <w:sz w:val="24"/>
          <w:szCs w:val="24"/>
          <w:lang w:val="sr-Latn-BA"/>
        </w:rPr>
        <w:t>Ukupni budžet programa</w:t>
      </w:r>
      <w:bookmarkEnd w:id="4"/>
    </w:p>
    <w:p w:rsidR="00B41157" w:rsidRPr="00B41157" w:rsidRDefault="00B41157" w:rsidP="00B41157">
      <w:pPr>
        <w:rPr>
          <w:sz w:val="24"/>
          <w:szCs w:val="24"/>
          <w:lang w:val="sr-Latn-BA"/>
        </w:rPr>
      </w:pPr>
    </w:p>
    <w:p w:rsidR="00B41157" w:rsidRPr="00B41157" w:rsidRDefault="00B41157" w:rsidP="00B41157">
      <w:pPr>
        <w:ind w:left="360"/>
        <w:rPr>
          <w:sz w:val="24"/>
          <w:szCs w:val="24"/>
          <w:lang w:val="sr-Latn-BA"/>
        </w:rPr>
      </w:pPr>
      <w:r w:rsidRPr="00B41157">
        <w:rPr>
          <w:sz w:val="24"/>
          <w:szCs w:val="24"/>
          <w:lang w:val="sr-Latn-BA"/>
        </w:rPr>
        <w:t xml:space="preserve">Ukupna indikativna financijska omotnica programa iznosi više od 26 milijardi EUR14 iz proračuna EU-a za sedam godina (2021. – 2027.). Godišnji proračun donosi proračunsko tijelo. </w:t>
      </w:r>
    </w:p>
    <w:p w:rsidR="00B41157" w:rsidRPr="00B41157" w:rsidRDefault="00B41157" w:rsidP="00B41157">
      <w:pPr>
        <w:ind w:left="360"/>
        <w:rPr>
          <w:sz w:val="24"/>
          <w:szCs w:val="24"/>
          <w:u w:val="single"/>
          <w:lang w:val="sr-Latn-BA"/>
        </w:rPr>
      </w:pPr>
      <w:r w:rsidRPr="00B41157">
        <w:rPr>
          <w:sz w:val="24"/>
          <w:szCs w:val="24"/>
          <w:lang w:val="sr-Latn-BA"/>
        </w:rPr>
        <w:t xml:space="preserve">Koraci u donošenju proračuna EU-a mogu se pratiti na: </w:t>
      </w:r>
      <w:r w:rsidRPr="00B41157">
        <w:rPr>
          <w:sz w:val="24"/>
          <w:szCs w:val="24"/>
          <w:u w:val="single"/>
          <w:lang w:val="sr-Latn-BA"/>
        </w:rPr>
        <w:t xml:space="preserve">https://ec.europa.eu/info/strategy/eu-budget/how-it-works/annual-lifecycle_en    </w:t>
      </w:r>
    </w:p>
    <w:p w:rsidR="00B41157" w:rsidRPr="00B41157" w:rsidRDefault="00B41157" w:rsidP="00B41157">
      <w:pPr>
        <w:ind w:left="360"/>
        <w:rPr>
          <w:sz w:val="24"/>
          <w:szCs w:val="24"/>
          <w:u w:val="single"/>
          <w:lang w:val="sr-Latn-BA"/>
        </w:rPr>
      </w:pPr>
      <w:r w:rsidRPr="00B41157">
        <w:rPr>
          <w:sz w:val="24"/>
          <w:szCs w:val="24"/>
          <w:lang w:val="sr-Latn-BA"/>
        </w:rPr>
        <w:t xml:space="preserve"> Informacije o dostupnim proračunskim sredstvima po pojedinoj aktivnosti potražite u Godišnjem programu rada za Erasmus+ za 2023.: </w:t>
      </w:r>
      <w:hyperlink r:id="rId5" w:history="1">
        <w:r w:rsidRPr="00B41157">
          <w:rPr>
            <w:rStyle w:val="Hyperlink"/>
            <w:sz w:val="24"/>
            <w:szCs w:val="24"/>
            <w:lang w:val="sr-Latn-BA"/>
          </w:rPr>
          <w:t>https://ec.europa.eu/programmes/erasmus-plus/resources/documents/annual-work-programmes_en</w:t>
        </w:r>
      </w:hyperlink>
    </w:p>
    <w:p w:rsidR="00F76E48" w:rsidRPr="00B41157" w:rsidRDefault="00F76E48">
      <w:pPr>
        <w:rPr>
          <w:sz w:val="24"/>
          <w:szCs w:val="24"/>
        </w:rPr>
      </w:pPr>
    </w:p>
    <w:sectPr w:rsidR="00F76E48" w:rsidRPr="00B4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90542"/>
    <w:multiLevelType w:val="multilevel"/>
    <w:tmpl w:val="C9C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6A"/>
    <w:rsid w:val="00122D2C"/>
    <w:rsid w:val="00A13584"/>
    <w:rsid w:val="00A95F31"/>
    <w:rsid w:val="00B41157"/>
    <w:rsid w:val="00DE156A"/>
    <w:rsid w:val="00F7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CF1E"/>
  <w15:chartTrackingRefBased/>
  <w15:docId w15:val="{9FCAC875-C2CB-4643-AE99-DE679DC8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157"/>
    <w:pPr>
      <w:spacing w:after="200" w:line="276" w:lineRule="auto"/>
    </w:pPr>
    <w:rPr>
      <w:rFonts w:eastAsiaTheme="minorEastAsia"/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5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57"/>
    <w:rPr>
      <w:rFonts w:ascii="Times New Roman" w:eastAsiaTheme="majorEastAsia" w:hAnsi="Times New Roman" w:cstheme="majorBidi"/>
      <w:b/>
      <w:noProof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4115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1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.europa.eu/programmes/erasmus-plus/resources/documents/annual-work-programmes_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2</cp:revision>
  <dcterms:created xsi:type="dcterms:W3CDTF">2023-05-09T10:22:00Z</dcterms:created>
  <dcterms:modified xsi:type="dcterms:W3CDTF">2023-05-09T10:23:00Z</dcterms:modified>
</cp:coreProperties>
</file>