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F7FC" w14:textId="77777777" w:rsidR="00E961C3" w:rsidRDefault="00E961C3" w:rsidP="00E961C3">
      <w:pPr>
        <w:rPr>
          <w:b/>
          <w:bCs/>
          <w:sz w:val="32"/>
          <w:szCs w:val="32"/>
          <w:lang w:val="sr-Latn-BA"/>
        </w:rPr>
      </w:pPr>
      <w:r>
        <w:rPr>
          <w:b/>
          <w:bCs/>
          <w:sz w:val="32"/>
          <w:szCs w:val="32"/>
          <w:lang w:val="sr-Latn-BA"/>
        </w:rPr>
        <w:t>Opsti i posebni ciljevi projekta</w:t>
      </w:r>
    </w:p>
    <w:p w14:paraId="7DFD766E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Ciljevi, aktivnosti i željeni rezultati moraju biti jasno međusobno povezani i koherentno predstavljeni. Opšti ciljevi su širi ciljevi koje organizacija želi postići kroz svoj projekt, dok su specifični ciljevi konkretniji i detaljniji ciljevi koji se odnose na pojedinačne aktivnosti projekta. Na primer, opšti cilj projekta može biti poboljšanje kvalitete obrazovanja u lokalnoj zajednici, dok bi specifični cilj mogao biti organizacija radionica za učenike o određenoj temi.</w:t>
      </w:r>
    </w:p>
    <w:p w14:paraId="7FB54BC6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Opšti cilj za mala partnerstva je da unaprede kvalitet rada i prakse organizacija i institucija koje su uključene, otvore se prema novim akterima koji nisu inače povezani sa njihovim sektorima, i time ojačaju njihove kapacitete za transnacionalnu i međusektorsku saradnju. Takođe, cilj je usredsrediti se na zajedničke potrebe i prioritete u oblasti obrazovanja, obuke, mladih i sporta, omogućiti transformaciju i promene koje dovode do poboljšanja u skladu sa specifičnim kontekstom svake organizacije.</w:t>
      </w:r>
    </w:p>
    <w:p w14:paraId="6928E7D5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A neki od specifičnih ciljeva jesu:</w:t>
      </w:r>
    </w:p>
    <w:p w14:paraId="6152CEC9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uključivanje ciljnih skupina s manje mogućnosti. </w:t>
      </w:r>
    </w:p>
    <w:p w14:paraId="40D3F140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aktivno euvropsko građanstvo i dovesti evropsku dimenziju na lokalni nivo. Osim toga, glavni ciljevi suradničkog partnerstva primenjuju se i na mala partnerstva, proporcionalno opsegu i veličini svakog projekta: </w:t>
      </w:r>
    </w:p>
    <w:p w14:paraId="1DDB043C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povećavanje kvalitete rada i prakse uključenih organizacija i ustanova te otvaranje prema novim akterima koji nisu sami po sebi uključeni u jedan sektor </w:t>
      </w:r>
    </w:p>
    <w:p w14:paraId="763E3F6B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jačanje kapaciteta organizacija za transnacionalno i međusektorsko delovanje</w:t>
      </w:r>
    </w:p>
    <w:p w14:paraId="4D13F2F7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usmeravanje na zajedničke potrebe i prioritete u području obrazovanja, osposobljavanja, mladih i sporta </w:t>
      </w:r>
    </w:p>
    <w:p w14:paraId="115CDAC1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omogućivanje transformacije i promene (na individualnoj, organizacijskoj ili sektorskoj razini), koje dovode do poboljšanja proporcionalno kontekstu svake organizacije</w:t>
      </w:r>
      <w:r>
        <w:rPr>
          <w:lang w:val="sr-Latn-BA"/>
        </w:rPr>
        <w:tab/>
      </w:r>
    </w:p>
    <w:p w14:paraId="3240DC9B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Privući i proširiti pristup programu za nove sudionike, organizacije s manje iskustva i male     dionike. Ova bi partnerstva trebala biti prvi korak za uspostavljanje saradnje među  organizacijama na evropskom nivou. </w:t>
      </w:r>
    </w:p>
    <w:p w14:paraId="7D5BEC83" w14:textId="77777777" w:rsidR="00BD1E9B" w:rsidRDefault="00BD1E9B">
      <w:pPr>
        <w:rPr>
          <w:lang w:val="sr-Latn-BA"/>
        </w:rPr>
      </w:pPr>
    </w:p>
    <w:p w14:paraId="47992AD7" w14:textId="77777777" w:rsidR="0081160F" w:rsidRDefault="0081160F" w:rsidP="0081160F">
      <w:pPr>
        <w:rPr>
          <w:b/>
          <w:sz w:val="32"/>
          <w:szCs w:val="32"/>
          <w:lang w:val="sr-Latn-BA"/>
        </w:rPr>
      </w:pPr>
      <w:r>
        <w:rPr>
          <w:b/>
          <w:sz w:val="32"/>
          <w:szCs w:val="32"/>
          <w:lang w:val="sr-Latn-BA"/>
        </w:rPr>
        <w:t>Mogući aplikanti</w:t>
      </w:r>
    </w:p>
    <w:p w14:paraId="5A0D6853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>U dokumentu o malim partnerstvima, navedeno je da svaka organizacija učesnika s poslovnim nastanom u državi članici EU-a ili trećoj zemlji pridruženoj programu može biti podnosilac zahteva. To znači da su mogući aplikanti organizacije koje se bave područjem odgoja i opšteg obrazovanja, obrazovanja odraslih, strukovnog obrazovanja i osposobljavanja, mladih i sporta.</w:t>
      </w:r>
    </w:p>
    <w:p w14:paraId="4F681969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 xml:space="preserve"> To uključuje škole, sveučilišta, udruge, sportske klubove i druge organizacije koje se bave ovim područjima. To znači da organizacija mora biti registrovana kao pravna osoba u svojoj zemlji i mora imati valjan identifikacijski broj.</w:t>
      </w:r>
    </w:p>
    <w:p w14:paraId="1A6CDC75" w14:textId="77777777" w:rsidR="0081160F" w:rsidRDefault="0081160F" w:rsidP="0081160F">
      <w:pPr>
        <w:rPr>
          <w:lang w:val="sr-Latn-BA"/>
        </w:rPr>
      </w:pPr>
    </w:p>
    <w:p w14:paraId="32FD038E" w14:textId="77777777" w:rsidR="0081160F" w:rsidRDefault="0081160F" w:rsidP="0081160F">
      <w:pPr>
        <w:rPr>
          <w:lang w:val="sr-Latn-BA"/>
        </w:rPr>
      </w:pPr>
    </w:p>
    <w:p w14:paraId="67A3A224" w14:textId="77777777" w:rsidR="0081160F" w:rsidRDefault="0081160F" w:rsidP="0081160F">
      <w:pPr>
        <w:rPr>
          <w:lang w:val="sr-Latn-BA"/>
        </w:rPr>
      </w:pPr>
    </w:p>
    <w:p w14:paraId="0B90267C" w14:textId="77777777" w:rsidR="0081160F" w:rsidRDefault="0081160F" w:rsidP="0081160F">
      <w:pPr>
        <w:rPr>
          <w:b/>
          <w:sz w:val="32"/>
          <w:szCs w:val="32"/>
          <w:lang w:val="sr-Latn-BA"/>
        </w:rPr>
      </w:pPr>
      <w:r>
        <w:rPr>
          <w:b/>
          <w:sz w:val="32"/>
          <w:szCs w:val="32"/>
          <w:lang w:val="sr-Latn-BA"/>
        </w:rPr>
        <w:lastRenderedPageBreak/>
        <w:t>Trajanje projekta</w:t>
      </w:r>
    </w:p>
    <w:p w14:paraId="342109A3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 xml:space="preserve">U skladu s dokumentom o malim partnerstvima, trajanje projekta može biti od 6 do 24 meseca. To znači da organizacije koje se prijavljuju za finansiranje u okviru ovog programa mogu planirati projekte koji traju najmanje 6 meseci, a najduže 24 meseca. Trajanje projekta se određuje u fazi prijave, na temelju ciljeva projekta i vrste aktivnosti koje se planiraju. U izvanrednim slučajevima trajanje malog partnerstva može se produžiti na zahtev korisnika i uz suglasnost nacionalne ili Izvršne agencije. U tom se slučaju ukupan iznos bespovratnih sredstava neće promeniti. Važno je napomenuti da organizacije trebaju pažljivo razmotriti vreme potrebno za sprovodjenje svih aktivnosti projekta i osigurati da je trajanje projekta realistično i izvedivo. </w:t>
      </w:r>
    </w:p>
    <w:p w14:paraId="7EF0F4FC" w14:textId="77777777" w:rsidR="0081160F" w:rsidRPr="00E961C3" w:rsidRDefault="0081160F">
      <w:pPr>
        <w:rPr>
          <w:lang w:val="sr-Latn-BA"/>
        </w:rPr>
      </w:pPr>
    </w:p>
    <w:sectPr w:rsidR="0081160F" w:rsidRPr="00E961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064D8"/>
    <w:multiLevelType w:val="hybridMultilevel"/>
    <w:tmpl w:val="FDF2E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97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C92"/>
    <w:rsid w:val="0081160F"/>
    <w:rsid w:val="00AF2C92"/>
    <w:rsid w:val="00BD1E9B"/>
    <w:rsid w:val="00E9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595C"/>
  <w15:docId w15:val="{8D37659B-49C2-46D9-B7C2-78B5D3F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C3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Džejlana</cp:lastModifiedBy>
  <cp:revision>3</cp:revision>
  <dcterms:created xsi:type="dcterms:W3CDTF">2023-05-03T07:57:00Z</dcterms:created>
  <dcterms:modified xsi:type="dcterms:W3CDTF">2023-05-03T08:00:00Z</dcterms:modified>
</cp:coreProperties>
</file>