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1C3" w:rsidRDefault="00E961C3" w:rsidP="00E961C3">
      <w:pPr>
        <w:rPr>
          <w:b/>
          <w:bCs/>
          <w:sz w:val="32"/>
          <w:szCs w:val="32"/>
          <w:lang w:val="sr-Latn-BA"/>
        </w:rPr>
      </w:pPr>
      <w:r>
        <w:rPr>
          <w:b/>
          <w:bCs/>
          <w:sz w:val="32"/>
          <w:szCs w:val="32"/>
          <w:lang w:val="sr-Latn-BA"/>
        </w:rPr>
        <w:t>Opsti i posebni ciljevi projekta</w:t>
      </w:r>
    </w:p>
    <w:p w:rsidR="00E961C3" w:rsidRDefault="00E961C3" w:rsidP="00E961C3">
      <w:pPr>
        <w:rPr>
          <w:lang w:val="sr-Latn-BA"/>
        </w:rPr>
      </w:pPr>
      <w:r>
        <w:rPr>
          <w:lang w:val="sr-Latn-BA"/>
        </w:rPr>
        <w:t>Ciljevi, aktivnosti i željeni rezultati moraju biti jasno međusobno povezani i koherentno predstavljeni. Opšti ciljevi su širi ciljevi koje organizacija želi postići kroz svoj projekt, dok su specifični ciljevi konkretniji i detaljniji ciljevi koji se odnose na pojedinačne aktivnosti projekta. Na primer, opšti cilj projekta može biti poboljšanje kvalitete obrazovanja u lokalnoj zajednici, dok bi specifični cilj mogao biti organizacija radionica za učenike o određenoj temi.</w:t>
      </w:r>
    </w:p>
    <w:p w:rsidR="00E961C3" w:rsidRDefault="00E961C3" w:rsidP="00E961C3">
      <w:pPr>
        <w:rPr>
          <w:lang w:val="sr-Latn-BA"/>
        </w:rPr>
      </w:pPr>
      <w:r>
        <w:rPr>
          <w:lang w:val="sr-Latn-BA"/>
        </w:rPr>
        <w:t>Opšti cilj za mala partnerstva je da unaprede kvalitet rada i prakse organizacija i institucija koje su uključene, otvore se prema novim akterima koji nisu inače povezani sa njihovim sektorima, i time ojačaju njihove kapacitete za transnacionalnu i međusektorsku saradnju. Takođe, cilj je usredsrediti se na zajedničke potrebe i prioritete u oblasti obrazovanja, obuke, mladih i sporta, omogućiti transformaciju i promene koje dovode do poboljšanja u skladu sa specifičnim kontekstom svake organizacije.</w:t>
      </w:r>
    </w:p>
    <w:p w:rsidR="00E961C3" w:rsidRDefault="00E961C3" w:rsidP="00E961C3">
      <w:pPr>
        <w:rPr>
          <w:lang w:val="sr-Latn-BA"/>
        </w:rPr>
      </w:pPr>
      <w:r>
        <w:rPr>
          <w:lang w:val="sr-Latn-BA"/>
        </w:rPr>
        <w:t>A neki od specifičnih ciljeva jesu: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Podupreti uključivanje ciljnih skupina s manje mogućnosti. 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Podupreti aktivno euvropsko građanstvo i dovesti evropsku dimenziju na lokalni nivo. Osim toga, glavni ciljevi suradničkog partnerstva primenjuju se i na mala partnerstva, proporcionalno opsegu i veličini svakog projekta: 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povećavanje kvalitete rada i prakse uključenih organizacija i ustanova te otvaranje prema novim akterima koji nisu sami po sebi uključeni u jedan sektor 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jačanje kapaciteta organizacija za transnacionalno i međusektorsko delovanje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usmeravanje na zajedničke potrebe i prioritete u području obrazovanja, osposobljavanja, mladih i sporta 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omogućivanje transformacije i promene (na individualnoj, organizacijskoj ili sektorskoj razini), koje dovode do poboljšanja proporcionalno kontekstu svake organizacije</w:t>
      </w:r>
      <w:r>
        <w:rPr>
          <w:lang w:val="sr-Latn-BA"/>
        </w:rPr>
        <w:tab/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Privući i proširiti pristup programu za nove sudionike, organizacije s manje iskustva i male     dionike. Ova bi partnerstva trebala biti prvi korak za uspostavljanje saradnje među  organizacijama na evropskom nivou. </w:t>
      </w:r>
    </w:p>
    <w:p w:rsidR="00703AE7" w:rsidRDefault="00703AE7" w:rsidP="00703AE7">
      <w:pPr>
        <w:rPr>
          <w:lang w:val="sr-Latn-BA"/>
        </w:rPr>
      </w:pPr>
    </w:p>
    <w:p w:rsidR="00703AE7" w:rsidRDefault="00703AE7" w:rsidP="00703AE7">
      <w:pPr>
        <w:rPr>
          <w:lang w:val="sr-Latn-BA"/>
        </w:rPr>
      </w:pPr>
    </w:p>
    <w:p w:rsidR="00703AE7" w:rsidRPr="00A663AD" w:rsidRDefault="00703AE7" w:rsidP="00703AE7">
      <w:pPr>
        <w:rPr>
          <w:b/>
          <w:sz w:val="32"/>
          <w:szCs w:val="32"/>
          <w:lang w:val="sr-Latn-BA"/>
        </w:rPr>
      </w:pPr>
      <w:r w:rsidRPr="00A663AD">
        <w:rPr>
          <w:b/>
          <w:sz w:val="32"/>
          <w:szCs w:val="32"/>
          <w:lang w:val="sr-Latn-BA"/>
        </w:rPr>
        <w:t>Mogući aplikanti</w:t>
      </w:r>
    </w:p>
    <w:p w:rsidR="00703AE7" w:rsidRDefault="00703AE7" w:rsidP="00703AE7">
      <w:pPr>
        <w:rPr>
          <w:lang w:val="sr-Latn-BA"/>
        </w:rPr>
      </w:pPr>
      <w:r w:rsidRPr="00A663AD">
        <w:rPr>
          <w:lang w:val="sr-Latn-BA"/>
        </w:rPr>
        <w:t>U dokumentu o malim partnerstvima, navedeno je da svaka organizacija</w:t>
      </w:r>
      <w:r>
        <w:rPr>
          <w:lang w:val="sr-Latn-BA"/>
        </w:rPr>
        <w:t xml:space="preserve"> učesnika</w:t>
      </w:r>
      <w:r w:rsidRPr="00A663AD">
        <w:rPr>
          <w:lang w:val="sr-Latn-BA"/>
        </w:rPr>
        <w:t xml:space="preserve"> s poslovnim nastanom u državi članici EU-a ili trećoj zemlji pridruženoj programu može biti </w:t>
      </w:r>
      <w:r>
        <w:rPr>
          <w:lang w:val="sr-Latn-BA"/>
        </w:rPr>
        <w:t>podnosilac zahteva</w:t>
      </w:r>
      <w:r w:rsidRPr="00A663AD">
        <w:rPr>
          <w:lang w:val="sr-Latn-BA"/>
        </w:rPr>
        <w:t>. To znači da su mogući aplikanti organizacije koj</w:t>
      </w:r>
      <w:r>
        <w:rPr>
          <w:lang w:val="sr-Latn-BA"/>
        </w:rPr>
        <w:t>e se bave područjem odgoja i opšt</w:t>
      </w:r>
      <w:r w:rsidRPr="00A663AD">
        <w:rPr>
          <w:lang w:val="sr-Latn-BA"/>
        </w:rPr>
        <w:t>eg obrazovanja, obrazovanja odraslih, strukovnog obrazovanja i osposobljavanja, mladih i sporta.</w:t>
      </w:r>
    </w:p>
    <w:p w:rsidR="00703AE7" w:rsidRDefault="00703AE7" w:rsidP="00703AE7">
      <w:pPr>
        <w:rPr>
          <w:lang w:val="sr-Latn-BA"/>
        </w:rPr>
      </w:pPr>
      <w:r w:rsidRPr="00A663AD">
        <w:rPr>
          <w:lang w:val="sr-Latn-BA"/>
        </w:rPr>
        <w:t xml:space="preserve"> To uključuje škole, sveučilišta, udruge, sportske klubove i druge organizacije koje se bave ovim područjima. To znači da organizacija mora biti </w:t>
      </w:r>
      <w:r>
        <w:rPr>
          <w:lang w:val="sr-Latn-BA"/>
        </w:rPr>
        <w:t>registrovana</w:t>
      </w:r>
      <w:r w:rsidRPr="00A663AD">
        <w:rPr>
          <w:lang w:val="sr-Latn-BA"/>
        </w:rPr>
        <w:t xml:space="preserve"> kao pravna osoba u svojoj zemlji i mora imati valjan identifikacijski broj.</w:t>
      </w:r>
    </w:p>
    <w:p w:rsidR="00703AE7" w:rsidRPr="00A663AD" w:rsidRDefault="00703AE7" w:rsidP="00703AE7">
      <w:pPr>
        <w:rPr>
          <w:lang w:val="sr-Latn-BA"/>
        </w:rPr>
      </w:pPr>
      <w:bookmarkStart w:id="0" w:name="_GoBack"/>
      <w:bookmarkEnd w:id="0"/>
    </w:p>
    <w:p w:rsidR="00703AE7" w:rsidRPr="00A663AD" w:rsidRDefault="00703AE7" w:rsidP="00703AE7">
      <w:pPr>
        <w:rPr>
          <w:lang w:val="sr-Latn-BA"/>
        </w:rPr>
      </w:pPr>
    </w:p>
    <w:p w:rsidR="00703AE7" w:rsidRPr="00A663AD" w:rsidRDefault="00703AE7" w:rsidP="00703AE7">
      <w:pPr>
        <w:rPr>
          <w:b/>
          <w:sz w:val="32"/>
          <w:szCs w:val="32"/>
          <w:lang w:val="sr-Latn-BA"/>
        </w:rPr>
      </w:pPr>
      <w:r w:rsidRPr="00A663AD">
        <w:rPr>
          <w:b/>
          <w:sz w:val="32"/>
          <w:szCs w:val="32"/>
          <w:lang w:val="sr-Latn-BA"/>
        </w:rPr>
        <w:lastRenderedPageBreak/>
        <w:t>Trajanje projekta</w:t>
      </w:r>
    </w:p>
    <w:p w:rsidR="00703AE7" w:rsidRPr="00A663AD" w:rsidRDefault="00703AE7" w:rsidP="00703AE7">
      <w:pPr>
        <w:rPr>
          <w:lang w:val="sr-Latn-BA"/>
        </w:rPr>
      </w:pPr>
      <w:r w:rsidRPr="00A663AD">
        <w:rPr>
          <w:lang w:val="sr-Latn-BA"/>
        </w:rPr>
        <w:t xml:space="preserve">U skladu s dokumentom o malim partnerstvima, trajanje </w:t>
      </w:r>
      <w:r>
        <w:rPr>
          <w:lang w:val="sr-Latn-BA"/>
        </w:rPr>
        <w:t>projekta može biti od 6 do 24 m</w:t>
      </w:r>
      <w:r w:rsidRPr="00A663AD">
        <w:rPr>
          <w:lang w:val="sr-Latn-BA"/>
        </w:rPr>
        <w:t>eseca. To znači da organizacije koje se prijavljuju za finan</w:t>
      </w:r>
      <w:r>
        <w:rPr>
          <w:lang w:val="sr-Latn-BA"/>
        </w:rPr>
        <w:t>s</w:t>
      </w:r>
      <w:r w:rsidRPr="00A663AD">
        <w:rPr>
          <w:lang w:val="sr-Latn-BA"/>
        </w:rPr>
        <w:t>iranje u okviru ovog programa mogu planirati p</w:t>
      </w:r>
      <w:r>
        <w:rPr>
          <w:lang w:val="sr-Latn-BA"/>
        </w:rPr>
        <w:t>rojekte koji traju najmanje 6 meseci, a najduže 24 m</w:t>
      </w:r>
      <w:r w:rsidRPr="00A663AD">
        <w:rPr>
          <w:lang w:val="sr-Latn-BA"/>
        </w:rPr>
        <w:t xml:space="preserve">eseca. Trajanje projekta se određuje u fazi prijave, na temelju ciljeva projekta i vrste aktivnosti koje se planiraju. </w:t>
      </w:r>
      <w:r w:rsidRPr="00A8134B">
        <w:rPr>
          <w:lang w:val="sr-Latn-BA"/>
        </w:rPr>
        <w:t>U izvanrednim slučajevima trajanje malog partnerstva može se pro</w:t>
      </w:r>
      <w:r>
        <w:rPr>
          <w:lang w:val="sr-Latn-BA"/>
        </w:rPr>
        <w:t>dužiti na zaht</w:t>
      </w:r>
      <w:r w:rsidRPr="00A8134B">
        <w:rPr>
          <w:lang w:val="sr-Latn-BA"/>
        </w:rPr>
        <w:t>ev korisnika i uz suglasnost nacionalne ili Izvršne agencije. U tom se slučaju ukupan iznos be</w:t>
      </w:r>
      <w:r>
        <w:rPr>
          <w:lang w:val="sr-Latn-BA"/>
        </w:rPr>
        <w:t>spovratnih sredstava neće prom</w:t>
      </w:r>
      <w:r w:rsidRPr="00A8134B">
        <w:rPr>
          <w:lang w:val="sr-Latn-BA"/>
        </w:rPr>
        <w:t>eniti.</w:t>
      </w:r>
      <w:r>
        <w:t xml:space="preserve"> </w:t>
      </w:r>
      <w:r w:rsidRPr="00A663AD">
        <w:rPr>
          <w:lang w:val="sr-Latn-BA"/>
        </w:rPr>
        <w:t xml:space="preserve">Važno je napomenuti da organizacije trebaju pažljivo razmotriti vreme potrebno za </w:t>
      </w:r>
      <w:r>
        <w:rPr>
          <w:lang w:val="sr-Latn-BA"/>
        </w:rPr>
        <w:t>sprovodjenje</w:t>
      </w:r>
      <w:r w:rsidRPr="00A663AD">
        <w:rPr>
          <w:lang w:val="sr-Latn-BA"/>
        </w:rPr>
        <w:t xml:space="preserve"> svih aktivnosti projekta i</w:t>
      </w:r>
      <w:r w:rsidRPr="00887261">
        <w:t xml:space="preserve"> </w:t>
      </w:r>
      <w:r w:rsidRPr="00A663AD">
        <w:rPr>
          <w:lang w:val="sr-Latn-BA"/>
        </w:rPr>
        <w:t xml:space="preserve">osigurati da je trajanje projekta realistično i izvedivo. </w:t>
      </w:r>
    </w:p>
    <w:p w:rsidR="00703AE7" w:rsidRPr="00703AE7" w:rsidRDefault="00703AE7" w:rsidP="00703AE7">
      <w:pPr>
        <w:rPr>
          <w:lang w:val="sr-Latn-BA"/>
        </w:rPr>
      </w:pPr>
    </w:p>
    <w:p w:rsidR="00BD1E9B" w:rsidRPr="00E961C3" w:rsidRDefault="00BD1E9B">
      <w:pPr>
        <w:rPr>
          <w:lang w:val="sr-Latn-BA"/>
        </w:rPr>
      </w:pPr>
    </w:p>
    <w:sectPr w:rsidR="00BD1E9B" w:rsidRPr="00E961C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064D8"/>
    <w:multiLevelType w:val="hybridMultilevel"/>
    <w:tmpl w:val="FDF2E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92"/>
    <w:rsid w:val="00703AE7"/>
    <w:rsid w:val="00AF2C92"/>
    <w:rsid w:val="00BD1E9B"/>
    <w:rsid w:val="00E9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A06A"/>
  <w15:docId w15:val="{7B01658C-BDD2-4693-B7C6-94D8FFA1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1C3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EDINA KUCEVIC</cp:lastModifiedBy>
  <cp:revision>3</cp:revision>
  <dcterms:created xsi:type="dcterms:W3CDTF">2023-05-03T07:57:00Z</dcterms:created>
  <dcterms:modified xsi:type="dcterms:W3CDTF">2023-05-03T08:01:00Z</dcterms:modified>
</cp:coreProperties>
</file>