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1C3" w:rsidRDefault="00E961C3" w:rsidP="00E961C3">
      <w:pPr>
        <w:rPr>
          <w:b/>
          <w:bCs/>
          <w:sz w:val="32"/>
          <w:szCs w:val="32"/>
          <w:lang w:val="sr-Latn-BA"/>
        </w:rPr>
      </w:pPr>
      <w:r>
        <w:rPr>
          <w:b/>
          <w:bCs/>
          <w:sz w:val="32"/>
          <w:szCs w:val="32"/>
          <w:lang w:val="sr-Latn-BA"/>
        </w:rPr>
        <w:t>Opsti i posebni ciljevi projekta</w:t>
      </w:r>
    </w:p>
    <w:p w:rsidR="00E961C3" w:rsidRDefault="00E961C3" w:rsidP="00E961C3">
      <w:pPr>
        <w:rPr>
          <w:lang w:val="sr-Latn-BA"/>
        </w:rPr>
      </w:pPr>
      <w:r>
        <w:rPr>
          <w:lang w:val="sr-Latn-BA"/>
        </w:rPr>
        <w:t>Ciljevi, aktivnosti i željeni rezultati moraju biti jasno međusobno povezani i koherentno predstavljeni. Opšti ciljevi su širi ciljevi koje organizacija želi postići kroz svoj projekt, dok su specifični ciljevi konkretniji i detaljniji ciljevi koji se odnose na pojedinačne aktivnosti projekta. Na primer, opšti cilj projekta može biti poboljšanje kvalitete obrazovanja u lokalnoj zajednici, dok bi specifični cilj mogao biti organizacija radionica za učenike o određenoj temi.</w:t>
      </w:r>
    </w:p>
    <w:p w:rsidR="00E961C3" w:rsidRDefault="00E961C3" w:rsidP="00E961C3">
      <w:pPr>
        <w:rPr>
          <w:lang w:val="sr-Latn-BA"/>
        </w:rPr>
      </w:pPr>
      <w:r>
        <w:rPr>
          <w:lang w:val="sr-Latn-BA"/>
        </w:rPr>
        <w:t>Opšti cilj za mala partnerstva je da unaprede kvalitet rada i prakse organizacija i institucija koje su uključene, otvore se prema novim akterima koji nisu inače povezani sa njihovim sektorima, i time ojačaju njihove kapacitete za transnacionalnu i međusektorsku saradnju. Takođe, cilj je usredsrediti se na zajedničke potrebe i prioritete u oblasti obrazovanja, obuke, mladih i sporta, omogućiti transformaciju i promene koje dovode do poboljšanja u skladu sa specifičnim kontekstom svake organizacije.</w:t>
      </w:r>
    </w:p>
    <w:p w:rsidR="00E961C3" w:rsidRDefault="00E961C3" w:rsidP="00E961C3">
      <w:pPr>
        <w:rPr>
          <w:lang w:val="sr-Latn-BA"/>
        </w:rPr>
      </w:pPr>
      <w:r>
        <w:rPr>
          <w:lang w:val="sr-Latn-BA"/>
        </w:rPr>
        <w:t>A neki od specifičnih ciljeva jesu:</w:t>
      </w:r>
    </w:p>
    <w:p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Podupreti uključivanje ciljnih skupina s manje mogućnosti. </w:t>
      </w:r>
    </w:p>
    <w:p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Podupreti aktivno euvropsko građanstvo i dovesti evropsku dimenziju na lokalni nivo. Osim toga, glavni ciljevi suradničkog partnerstva primenjuju se i na mala partnerstva, proporcionalno opsegu i veličini svakog projekta: </w:t>
      </w:r>
    </w:p>
    <w:p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povećavanje kvalitete rada i prakse uključenih organizacija i ustanova te otvaranje prema novim akterima koji nisu sami po sebi uključeni u jedan sektor </w:t>
      </w:r>
    </w:p>
    <w:p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jačanje kapaciteta organizacija za transnacionalno i međusektorsko delovanje</w:t>
      </w:r>
    </w:p>
    <w:p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usmeravanje na zajedničke potrebe i prioritete u području obrazovanja, osposobljavanja, mladih i sporta </w:t>
      </w:r>
    </w:p>
    <w:p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omogućivanje transformacije i promene (na individualnoj, organizacijskoj ili sektorskoj razini), koje dovode do poboljšanja proporcionalno kontekstu svake organizacije</w:t>
      </w:r>
      <w:r>
        <w:rPr>
          <w:lang w:val="sr-Latn-BA"/>
        </w:rPr>
        <w:tab/>
      </w:r>
    </w:p>
    <w:p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Privući i proširiti pristup programu za nove sudionike, organizacije s manje iskustva i male     dionike. Ova bi partnerstva trebala biti prvi korak za uspostavljanje saradnje među  organizacijama na evropskom nivou. </w:t>
      </w:r>
    </w:p>
    <w:p w:rsidR="00BD1E9B" w:rsidRPr="00E961C3" w:rsidRDefault="00BD1E9B">
      <w:pPr>
        <w:rPr>
          <w:lang w:val="sr-Latn-BA"/>
        </w:rPr>
      </w:pPr>
      <w:bookmarkStart w:id="0" w:name="_GoBack"/>
      <w:bookmarkEnd w:id="0"/>
    </w:p>
    <w:sectPr w:rsidR="00BD1E9B" w:rsidRPr="00E961C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64D8"/>
    <w:multiLevelType w:val="hybridMultilevel"/>
    <w:tmpl w:val="FDF2E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92"/>
    <w:rsid w:val="00AF2C92"/>
    <w:rsid w:val="00BD1E9B"/>
    <w:rsid w:val="00E9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1C3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1C3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2023-05-03T07:57:00Z</dcterms:created>
  <dcterms:modified xsi:type="dcterms:W3CDTF">2023-05-03T07:57:00Z</dcterms:modified>
</cp:coreProperties>
</file>