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B5FB" w14:textId="77777777"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14:paraId="664122F7" w14:textId="77777777" w:rsidR="00B063AF" w:rsidRDefault="00B063AF" w:rsidP="00B063AF">
      <w:pPr>
        <w:jc w:val="center"/>
        <w:rPr>
          <w:sz w:val="36"/>
          <w:szCs w:val="36"/>
          <w:lang w:val="sr-Latn-BA"/>
        </w:rPr>
      </w:pPr>
    </w:p>
    <w:p w14:paraId="6BE75431" w14:textId="77777777" w:rsidR="00B063AF" w:rsidRPr="00A41441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14:paraId="2495BC4F" w14:textId="6C81D1F0"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  <w:r w:rsidR="00C53F83">
        <w:rPr>
          <w:sz w:val="24"/>
          <w:szCs w:val="24"/>
          <w:lang w:val="sr-Latn-BA"/>
        </w:rPr>
        <w:t>.</w:t>
      </w:r>
    </w:p>
    <w:p w14:paraId="1F65FABE" w14:textId="3A71D315" w:rsidR="00223900" w:rsidRPr="003E26E7" w:rsidRDefault="00223900">
      <w:pPr>
        <w:rPr>
          <w:lang w:val="pl-PL"/>
        </w:rPr>
      </w:pPr>
    </w:p>
    <w:p w14:paraId="05EAD7FD" w14:textId="77777777" w:rsidR="003E26E7" w:rsidRDefault="003E26E7" w:rsidP="003E26E7">
      <w:pPr>
        <w:ind w:left="360"/>
        <w:rPr>
          <w:b/>
          <w:sz w:val="32"/>
          <w:szCs w:val="32"/>
          <w:lang w:val="sr-Latn-BA"/>
        </w:rPr>
      </w:pPr>
      <w:r>
        <w:rPr>
          <w:rFonts w:ascii="Segoe UI" w:hAnsi="Segoe UI" w:cs="Segoe UI"/>
          <w:b/>
          <w:color w:val="2A2E34"/>
          <w:sz w:val="32"/>
          <w:szCs w:val="32"/>
          <w:shd w:val="clear" w:color="auto" w:fill="FFFFFF"/>
          <w:lang w:val="sr-Latn-BA"/>
        </w:rPr>
        <w:t>Specificne ciljevi i rezultati</w:t>
      </w:r>
      <w:r>
        <w:rPr>
          <w:b/>
          <w:sz w:val="32"/>
          <w:szCs w:val="32"/>
          <w:lang w:val="sr-Latn-BA"/>
        </w:rPr>
        <w:t>:</w:t>
      </w:r>
    </w:p>
    <w:p w14:paraId="1D6CAB80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14:paraId="6CFC15E1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14:paraId="1DE0446A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14:paraId="519C40BC" w14:textId="77777777" w:rsidR="004B0E3F" w:rsidRDefault="004B0E3F" w:rsidP="004B0E3F">
      <w:pPr>
        <w:spacing w:line="256" w:lineRule="auto"/>
        <w:ind w:left="720"/>
        <w:rPr>
          <w:sz w:val="24"/>
          <w:szCs w:val="24"/>
          <w:lang w:val="sr-Latn-BA"/>
        </w:rPr>
      </w:pPr>
    </w:p>
    <w:p w14:paraId="73375773" w14:textId="77777777" w:rsidR="004B0E3F" w:rsidRPr="004B0E3F" w:rsidRDefault="004B0E3F" w:rsidP="004B0E3F">
      <w:pPr>
        <w:tabs>
          <w:tab w:val="num" w:pos="720"/>
        </w:tabs>
        <w:rPr>
          <w:b/>
          <w:sz w:val="32"/>
          <w:szCs w:val="32"/>
          <w:lang w:val="sr-Latn-BA"/>
        </w:rPr>
      </w:pPr>
      <w:r w:rsidRPr="004B0E3F">
        <w:rPr>
          <w:b/>
          <w:sz w:val="32"/>
          <w:szCs w:val="32"/>
          <w:lang w:val="sr-Latn-BA"/>
        </w:rPr>
        <w:t>Rezultati specifičnih ciljeva su:</w:t>
      </w:r>
    </w:p>
    <w:p w14:paraId="2D22C97E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Povećanje kvaliteta obrazovanja i osposobljavanja kroz mobilnost i razmenu iskustava. </w:t>
      </w:r>
    </w:p>
    <w:p w14:paraId="2A98C43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Povećanje mogućnosti za razvoj veština i znanja kod mladih ljudi, studenata, nastavnika i drugih profesionalaca.</w:t>
      </w:r>
    </w:p>
    <w:p w14:paraId="41AC1280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međukulturnog dijaloga i razumevanja među mladima i obrazovnim ustanovama u Evrope.</w:t>
      </w:r>
    </w:p>
    <w:p w14:paraId="014E8BE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partnerstva i saradnje između obrazovnih ustanova, organizacija civilnog društva i drugih relevantnih aktera.</w:t>
      </w:r>
    </w:p>
    <w:p w14:paraId="3D59B06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inovacijama i razvoju novih pristupa u obrazovanju i osposobljavanju. Unapređenje kvaliteta obrazovanja i osposobljavanja kroz razmenu iskustava i dobre prakse.</w:t>
      </w:r>
    </w:p>
    <w:p w14:paraId="34D11B9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lastRenderedPageBreak/>
        <w:t>Podrška razvoju i implementaciji politika u oblasti obrazovanja i osposobljavanja u skladu sa evropskim standardima i ciljevima.</w:t>
      </w:r>
    </w:p>
    <w:p w14:paraId="551C2953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kvaliteta obrazovanja i osposobljavanja kroz razvoj novih pristupa, metodologija i alata.</w:t>
      </w:r>
    </w:p>
    <w:p w14:paraId="346A3B35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mogućnosti za mobilnost i internacionalizaciju u oblasti obrazovanja i osposobljavanja.</w:t>
      </w:r>
    </w:p>
    <w:p w14:paraId="6A6E22DD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Promocija sporta kao sredstva za ostvarivanje socijalnih, obrazovnih i zdravstvenih ciljeva. </w:t>
      </w:r>
    </w:p>
    <w:p w14:paraId="1E3C647C" w14:textId="6ACD995F" w:rsid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kapaciteta organizacija koje se bave sportom i sportistima. Podrška promociji dobrovoljnosti, društvene kohezije i interkulturalnog dijaloga kroz sport.</w:t>
      </w:r>
      <w:r w:rsidR="00C53F83">
        <w:rPr>
          <w:sz w:val="24"/>
          <w:szCs w:val="24"/>
          <w:lang w:val="sr-Latn-BA"/>
        </w:rPr>
        <w:t>.</w:t>
      </w:r>
    </w:p>
    <w:p w14:paraId="524BE9FE" w14:textId="77777777" w:rsidR="00AF3489" w:rsidRPr="004B0E3F" w:rsidRDefault="00AF3489" w:rsidP="00AF3489">
      <w:pPr>
        <w:pStyle w:val="ListParagraph"/>
        <w:rPr>
          <w:sz w:val="24"/>
          <w:szCs w:val="24"/>
          <w:lang w:val="sr-Latn-BA"/>
        </w:rPr>
      </w:pPr>
    </w:p>
    <w:p w14:paraId="3BBBADF6" w14:textId="455CA49E" w:rsidR="003E26E7" w:rsidRDefault="003E26E7">
      <w:pPr>
        <w:rPr>
          <w:lang w:val="sr-Latn-BA"/>
        </w:rPr>
      </w:pPr>
    </w:p>
    <w:p w14:paraId="1878FE69" w14:textId="77777777" w:rsidR="00AF3489" w:rsidRPr="00B451C5" w:rsidRDefault="00AF3489" w:rsidP="00AF3489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>
        <w:rPr>
          <w:b/>
          <w:sz w:val="32"/>
          <w:szCs w:val="32"/>
          <w:lang w:val="sr-Latn-BA"/>
        </w:rPr>
        <w:t>Ukupni budž</w:t>
      </w:r>
      <w:r w:rsidRPr="00B451C5">
        <w:rPr>
          <w:b/>
          <w:sz w:val="32"/>
          <w:szCs w:val="32"/>
          <w:lang w:val="sr-Latn-BA"/>
        </w:rPr>
        <w:t>et programa</w:t>
      </w:r>
    </w:p>
    <w:p w14:paraId="74C4BAB6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Ukupna indikativna financijska omotnica programa iznosi više od 26 milijardi EUR14 iz proračuna EU-a za sedam godina (2021. – 2027.). Godišnji proračun donosi proračunsko tijelo. </w:t>
      </w:r>
    </w:p>
    <w:p w14:paraId="3A3BDDA4" w14:textId="77777777" w:rsidR="00AF3489" w:rsidRPr="00B451C5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Koraci u donošenju proračuna EU-a mogu se pratiti na: https://ec.europa.eu/info/strategy/eu-budget/how-it-works/annual-lifecycle_en    </w:t>
      </w:r>
    </w:p>
    <w:p w14:paraId="25B2AA6E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 Informacije o dostupnim proračunskim sredstvima po pojedinoj aktivnosti potražite u Godišnjem programu rada za Erasmus+ za 2023.: https://ec.europa.eu/programmes/erasmus-plus/resources/documents/annual-work-programmes_en</w:t>
      </w:r>
    </w:p>
    <w:p w14:paraId="0E241818" w14:textId="77777777" w:rsidR="00AF3489" w:rsidRPr="003E26E7" w:rsidRDefault="00AF3489">
      <w:pPr>
        <w:rPr>
          <w:lang w:val="sr-Latn-BA"/>
        </w:rPr>
      </w:pPr>
    </w:p>
    <w:sectPr w:rsidR="00AF3489" w:rsidRPr="003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5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D"/>
    <w:rsid w:val="00122D2C"/>
    <w:rsid w:val="00223900"/>
    <w:rsid w:val="003E26E7"/>
    <w:rsid w:val="004B0E3F"/>
    <w:rsid w:val="00517FFD"/>
    <w:rsid w:val="00A13584"/>
    <w:rsid w:val="00A95F31"/>
    <w:rsid w:val="00AF3489"/>
    <w:rsid w:val="00B063AF"/>
    <w:rsid w:val="00C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C9DA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Džejlana</cp:lastModifiedBy>
  <cp:revision>6</cp:revision>
  <dcterms:created xsi:type="dcterms:W3CDTF">2023-05-03T07:16:00Z</dcterms:created>
  <dcterms:modified xsi:type="dcterms:W3CDTF">2023-05-03T08:24:00Z</dcterms:modified>
</cp:coreProperties>
</file>