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caps/>
          <w:color w:val="555555"/>
          <w:sz w:val="20"/>
          <w:szCs w:val="20"/>
        </w:rPr>
        <w:t xml:space="preserve">PROYECTO DE TESIS</w:t>
      </w:r>
    </w:p>
    <w:p>
      <w:pPr>
        <w:spacing w:after="60" w:before="0"/>
        <w:jc w:val="center"/>
      </w:pPr>
      <w:r>
        <w:rPr>
          <w:rFonts w:ascii="Arial" w:cs="Arial" w:eastAsia="Arial" w:hAnsi="Arial"/>
          <w:i/>
          <w:iCs/>
          <w:color w:val="1F3864"/>
          <w:sz w:val="22"/>
          <w:szCs w:val="22"/>
        </w:rPr>
        <w:t xml:space="preserve">Medición del impacto de técnicas de memoria y gestión de contexto sobre la degradación de respuestas en agentes LLM conectados a múltiples servidores MCP</w:t>
      </w:r>
    </w:p>
    <w:p>
      <w:pPr>
        <w:pBdr>
          <w:bottom w:val="single" w:color="2E75B6" w:sz="8" w:space="4"/>
        </w:pBdr>
        <w:spacing w:after="200" w:before="0"/>
        <w:jc w:val="center"/>
      </w:pPr>
      <w:r>
        <w:rPr>
          <w:rFonts w:ascii="Arial" w:cs="Arial" w:eastAsia="Arial" w:hAnsi="Arial"/>
          <w:b/>
          <w:bCs/>
          <w:color w:val="1F3864"/>
          <w:sz w:val="30"/>
          <w:szCs w:val="30"/>
        </w:rPr>
        <w:t xml:space="preserve">DOC-02  ·  CATÁLOGO DE FUENTES</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1. Introducción</w:t>
      </w:r>
    </w:p>
    <w:p>
      <w:pPr>
        <w:spacing w:after="80" w:before="80"/>
        <w:jc w:val="both"/>
      </w:pPr>
      <w:r>
        <w:rPr>
          <w:rFonts w:ascii="Arial" w:cs="Arial" w:eastAsia="Arial" w:hAnsi="Arial"/>
          <w:color w:val="1A1A1A"/>
          <w:sz w:val="20"/>
          <w:szCs w:val="20"/>
        </w:rPr>
        <w:t xml:space="preserve">Este catálogo centraliza todas las fuentes primarias y secundarias relevantes para la investigación: papers científicos, benchmarks, frameworks, SDKs y especificaciones técnicas. Para cada fuente se documenta: identificador, título, autores, institución, fecha, tipo, URL, descripción técnica, conclusiones clave y relevancia directa para la tesis.</w:t>
      </w:r>
    </w:p>
    <w:p>
      <w:pPr>
        <w:spacing w:after="80" w:before="80"/>
        <w:jc w:val="both"/>
      </w:pPr>
      <w:r>
        <w:rPr>
          <w:rFonts w:ascii="Arial" w:cs="Arial" w:eastAsia="Arial" w:hAnsi="Arial"/>
          <w:color w:val="1A1A1A"/>
          <w:sz w:val="20"/>
          <w:szCs w:val="20"/>
        </w:rPr>
        <w:t xml:space="preserve">Las fuentes están organizadas en seis categorías temáticas, ordenadas por su función en el marco teórico y metodológico de la investigación.</w:t>
      </w:r>
    </w:p>
    <w:p>
      <w:pPr>
        <w:spacing w:after="60" w:before="60"/>
      </w:pPr>
      <w:r>
        <w:t xml:space="preserve"/>
      </w:r>
    </w:p>
    <w:p>
      <w:pPr>
        <w:pStyle w:val="Heading1"/>
        <w:spacing w:after="160" w:before="320"/>
      </w:pPr>
      <w:r>
        <w:rPr>
          <w:rFonts w:ascii="Arial" w:cs="Arial" w:eastAsia="Arial" w:hAnsi="Arial"/>
          <w:b/>
          <w:bCs/>
          <w:color w:val="1F3864"/>
          <w:sz w:val="28"/>
          <w:szCs w:val="28"/>
        </w:rPr>
        <w:t xml:space="preserve">2. Resumen por categoría</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200"/>
        <w:gridCol w:w="63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 de la categoría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 fuentes</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Tipos principales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Papers Fundacionales – Razonamiento y Uso de Herramientas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Paper</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B</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Memoria en LLMs – Sistemas y Arquitecturas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4</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Paper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Recuperación Aumentada (RAG) y Variantes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Paper, Framework / Documentación técnica</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D</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Benchmarks de Herramientas y Evaluación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5</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Paper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Protocolos, Frameworks y Especificaciones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Especificación técnica / Estándar abierto, Framework OSS / Documentación técnica, SDK / Documentación técnica, Plataforma / Framework OSS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Arial" w:cs="Arial" w:eastAsia="Arial" w:hAnsi="Arial"/>
                <w:b/>
                <w:bCs/>
                <w:color w:val="1A1A1A"/>
                <w:sz w:val="18"/>
                <w:szCs w:val="18"/>
              </w:rPr>
              <w:t xml:space="preserve">F</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Herramientas de Evaluación y Observabilidad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3</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Paper + Framework OSS, Plataforma / Documentación técnica, Framework OSS / Documentación</w:t>
            </w:r>
          </w:p>
        </w:tc>
      </w:tr>
    </w:tbl>
    <w:p>
      <w:pPr>
        <w:spacing w:after="120" w:before="120"/>
      </w:pPr>
      <w:r>
        <w:t xml:space="preserve"/>
      </w:r>
    </w:p>
    <w:p>
      <w:r>
        <w:br w:type="page"/>
      </w:r>
    </w:p>
    <w:p>
      <w:pPr>
        <w:pStyle w:val="Heading1"/>
        <w:spacing w:after="160" w:before="320"/>
      </w:pPr>
      <w:r>
        <w:rPr>
          <w:rFonts w:ascii="Arial" w:cs="Arial" w:eastAsia="Arial" w:hAnsi="Arial"/>
          <w:b/>
          <w:bCs/>
          <w:color w:val="1F3864"/>
          <w:sz w:val="28"/>
          <w:szCs w:val="28"/>
        </w:rPr>
        <w:t xml:space="preserve">3. Catálogo detallado de fuentes</w:t>
      </w:r>
    </w:p>
    <w:p>
      <w:pPr>
        <w:pStyle w:val="Heading2"/>
        <w:spacing w:after="120" w:before="240"/>
      </w:pPr>
      <w:r>
        <w:rPr>
          <w:rFonts w:ascii="Arial" w:cs="Arial" w:eastAsia="Arial" w:hAnsi="Arial"/>
          <w:b/>
          <w:bCs/>
          <w:color w:val="2E75B6"/>
          <w:sz w:val="24"/>
          <w:szCs w:val="24"/>
        </w:rPr>
        <w:t xml:space="preserve">Categoría A: Papers Fundacionales – Razonamiento y Uso de Herramientas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A01</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ReAct: Synergizing Reasoning and Acting in Language Models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(ICLR)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Octubre 2022 (ICLR 2023)</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Google Brain / Princeton University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Shunyu Yao, Jeffrey Zhao, Dian Yu, Nan Du, Izhak Shafran, Karthik Narasimhan, Yuan Cao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phdx-pjz2qb2upkpxrjex">
              <w:r>
                <w:rPr>
                  <w:rFonts w:ascii="Arial" w:cs="Arial" w:eastAsia="Arial" w:hAnsi="Arial"/>
                  <w:color w:val="2E75B6"/>
                  <w:sz w:val="16"/>
                  <w:szCs w:val="16"/>
                  <w:u w:val="single"/>
                </w:rPr>
                <w:t xml:space="preserve">https://arxiv.org/abs/2210.03629</w:t>
              </w:r>
            </w:hyperlink>
            <w:r>
              <w:rPr>
                <w:rFonts w:ascii="Arial" w:cs="Arial" w:eastAsia="Arial" w:hAnsi="Arial"/>
                <w:color w:val="555555"/>
                <w:sz w:val="16"/>
                <w:szCs w:val="16"/>
              </w:rPr>
              <w:t xml:space="preserve">  |  GitHub: </w:t>
            </w:r>
            <w:hyperlink w:history="1" r:id="rIdldnxich6tgvweg-mufzb9">
              <w:r>
                <w:rPr>
                  <w:rFonts w:ascii="Arial" w:cs="Arial" w:eastAsia="Arial" w:hAnsi="Arial"/>
                  <w:color w:val="006666"/>
                  <w:sz w:val="16"/>
                  <w:szCs w:val="16"/>
                  <w:u w:val="single"/>
                </w:rPr>
                <w:t xml:space="preserve">https://github.com/ysymyth/ReAct</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Propone el paradigma ReAct que intercala trazas de razonamiento (chain-of-thought) y acciones sobre herramientas externas en un solo framework, permitiendo que el modelo razone sobre qué acción tomar y actualice su plan con los resultados obtenidos.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Los modelos que combinan razonamiento y acción superan a los baselines de solo-razonamiento o solo-acción en cuatro benchmarks (HotPotQA, Fever, ALFWorld, WebShop). ReAct reduce alucin aciones y mejora la interpretabilidad al exponer las trazas de pensamiento antes de actuar. Es el trabajo fundacional que justifica los modern agent loops.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1F3864"/>
                <w:sz w:val="18"/>
                <w:szCs w:val="18"/>
              </w:rPr>
              <w:t xml:space="preserve">Base teórica directa para entender por qué los agentes LLM necesitan razonamiento explícito antes de invocar tools MCP.</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A02</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Toolformer: Language Models Can Teach Themselves to Use Tools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(NeurIPS)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Febrero 2023 (NeurIPS 2023)</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Meta AI Research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Timo Schick, Jane Dwivedi-Yu, Roberto Dessì, Roberta Raileanu, Maria Lomeli, Luke Zettlemoyer, Nicola Cancedda, Thomas Scialom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ydcx8fmgir2cwnv2jb2z0">
              <w:r>
                <w:rPr>
                  <w:rFonts w:ascii="Arial" w:cs="Arial" w:eastAsia="Arial" w:hAnsi="Arial"/>
                  <w:color w:val="2E75B6"/>
                  <w:sz w:val="16"/>
                  <w:szCs w:val="16"/>
                  <w:u w:val="single"/>
                </w:rPr>
                <w:t xml:space="preserve">https://arxiv.org/abs/2302.04761</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Presenta Toolformer, un modelo entrenado de forma autosupervisada para decidir qué APIs llamar, cuándo hacerlo, con qué argumentos y cómo integrar los resultados. Las herramientas incluyen calculadora, Q&amp;A, motores de búsqueda, traducción y calendario.</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Toolformer logra rendimiento competitivo en zero-shot en múltiples benchmarks sin sacrificar capacidades core de lenguaje. Demuestra que el uso de herramientas puede aprenderse con pocos ejemplos por herramienta. Fundamento empírico para el diseño de agentes con tool-use selectivo.</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F3864"/>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1F3864"/>
                <w:sz w:val="18"/>
                <w:szCs w:val="18"/>
              </w:rPr>
              <w:t xml:space="preserve">Justifica el diseño de arquitecturas de tool-gating: los modelos no necesitan ver todas las tools para usarlas eficientemente.</w:t>
            </w:r>
          </w:p>
        </w:tc>
      </w:tr>
    </w:tbl>
    <w:p>
      <w:pPr>
        <w:spacing w:after="60" w:before="60"/>
      </w:pPr>
      <w:r>
        <w:t xml:space="preserve"/>
      </w:r>
    </w:p>
    <w:p>
      <w:r>
        <w:br w:type="page"/>
      </w:r>
    </w:p>
    <w:p>
      <w:pPr>
        <w:pStyle w:val="Heading2"/>
        <w:spacing w:after="120" w:before="240"/>
      </w:pPr>
      <w:r>
        <w:rPr>
          <w:rFonts w:ascii="Arial" w:cs="Arial" w:eastAsia="Arial" w:hAnsi="Arial"/>
          <w:b/>
          <w:bCs/>
          <w:color w:val="2E75B6"/>
          <w:sz w:val="24"/>
          <w:szCs w:val="24"/>
        </w:rPr>
        <w:t xml:space="preserve">Categoría B: Memoria en LLMs – Sistemas y Arquitecturas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B01</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5C2E"/>
                <w:sz w:val="20"/>
                <w:szCs w:val="20"/>
              </w:rPr>
              <w:t xml:space="preserve">MemGPT: Towards LLMs as Operating Systems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Octubre 2023</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UC Berkeley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Charles Packer, Vivian Fang, Shishir G. Patil, Kevin Lin, Sarah Wooders, Joseph Gonzalez</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av70vcfewjlzkkt-vzh5w">
              <w:r>
                <w:rPr>
                  <w:rFonts w:ascii="Arial" w:cs="Arial" w:eastAsia="Arial" w:hAnsi="Arial"/>
                  <w:color w:val="2E75B6"/>
                  <w:sz w:val="16"/>
                  <w:szCs w:val="16"/>
                  <w:u w:val="single"/>
                </w:rPr>
                <w:t xml:space="preserve">https://arxiv.org/abs/2310.08560</w:t>
              </w:r>
            </w:hyperlink>
            <w:r>
              <w:rPr>
                <w:rFonts w:ascii="Arial" w:cs="Arial" w:eastAsia="Arial" w:hAnsi="Arial"/>
                <w:color w:val="555555"/>
                <w:sz w:val="16"/>
                <w:szCs w:val="16"/>
              </w:rPr>
              <w:t xml:space="preserve">  |  GitHub: </w:t>
            </w:r>
            <w:hyperlink w:history="1" r:id="rIdlvc45vdzlzttloyg3ra3x">
              <w:r>
                <w:rPr>
                  <w:rFonts w:ascii="Arial" w:cs="Arial" w:eastAsia="Arial" w:hAnsi="Arial"/>
                  <w:color w:val="006666"/>
                  <w:sz w:val="16"/>
                  <w:szCs w:val="16"/>
                  <w:u w:val="single"/>
                </w:rPr>
                <w:t xml:space="preserve">https://github.com/cpacker/MemGPT</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Introduce MemGPT (ahora Letta), un sistema que gestiona memoria en capas jerárquicas inspirado en sistemas operativos: memoria en contexto (rápida/limitada) y memoria externa persistente (lenta/ilimitada), con interrupciones para controlar el flujo entre el agente y el usuario.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La gestión virtual de contexto permite a los LLMs operar sobre conversaciones y documentos que exceden su ventana de contexto. Reporta mejoras significativas en tareas de análisis de documentos largos y conversación multi-sesión extendida. Sienta las bases de Letta y del paradigma de memoria estructurada.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1E5C2E"/>
                <w:sz w:val="18"/>
                <w:szCs w:val="18"/>
              </w:rPr>
              <w:t xml:space="preserve">Referencia central para la arquitectura de memoria en capas propuesta en la tesis: working memory vs. long-term memory.</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B02</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5C2E"/>
                <w:sz w:val="20"/>
                <w:szCs w:val="20"/>
              </w:rPr>
              <w:t xml:space="preserve">MemoryBank: Enhancing Large Language Models with Long-Term Memory</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(AAAI)</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Mayo 2023 (AAAI 2024)</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Harbin Institute of Technology / Tencent</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Wanjun Zhong, Lianghong Guo, Qiqi Gao, He Ye, Yanlin Wang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4jiho2k_8eiif81-luriv">
              <w:r>
                <w:rPr>
                  <w:rFonts w:ascii="Arial" w:cs="Arial" w:eastAsia="Arial" w:hAnsi="Arial"/>
                  <w:color w:val="2E75B6"/>
                  <w:sz w:val="16"/>
                  <w:szCs w:val="16"/>
                  <w:u w:val="single"/>
                </w:rPr>
                <w:t xml:space="preserve">https://arxiv.org/abs/2305.10250</w:t>
              </w:r>
            </w:hyperlink>
            <w:r>
              <w:rPr>
                <w:rFonts w:ascii="Arial" w:cs="Arial" w:eastAsia="Arial" w:hAnsi="Arial"/>
                <w:color w:val="555555"/>
                <w:sz w:val="16"/>
                <w:szCs w:val="16"/>
              </w:rPr>
              <w:t xml:space="preserve">  |  GitHub: </w:t>
            </w:r>
            <w:hyperlink w:history="1" r:id="rIdvnobongtnisnnfwtlc2t1">
              <w:r>
                <w:rPr>
                  <w:rFonts w:ascii="Arial" w:cs="Arial" w:eastAsia="Arial" w:hAnsi="Arial"/>
                  <w:color w:val="006666"/>
                  <w:sz w:val="16"/>
                  <w:szCs w:val="16"/>
                  <w:u w:val="single"/>
                </w:rPr>
                <w:t xml:space="preserve">https://github.com/zhongwanjun/MemoryBank-SiliconFriend</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Propone MemoryBank, un mecanismo de memoria a largo plazo para LLMs que permite recuperar memorias relevantes, actualización continua y comprensión de la personalidad del usuario. Incorpora una mecánica de olvido inspirada en la Curva de Ebbinghaus para olvidar/reforzar memorias según tiempo e importancia.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SiliconFriend (basado en MemoryBank) muestra mayor empatía y coherencia en interacciones prolongadas. La combinación de recuperación semántica + mecanismo de olvido reduce contradicciones y stale memories. Validado en un escenario de compañero de IA a largo plazo.</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1E5C2E"/>
                <w:sz w:val="18"/>
                <w:szCs w:val="18"/>
              </w:rPr>
              <w:t xml:space="preserve">Directamente aplicable a sistemas emocionales o de acompañamiento de IA; modela cómo actualizar y olvidar memoria de forma controlada.</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B03</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5C2E"/>
                <w:sz w:val="20"/>
                <w:szCs w:val="20"/>
              </w:rPr>
              <w:t xml:space="preserve">Mem0: Building Production-Ready AI Agents with Scalable Long-Term Memory</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Abril 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Mem0 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Prateek Chhikara, Taranjeet Singh, Deshraj Yadav, Neo Nie, Tom Doerr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fqe3wr5kbu-51v3s-srtj">
              <w:r>
                <w:rPr>
                  <w:rFonts w:ascii="Arial" w:cs="Arial" w:eastAsia="Arial" w:hAnsi="Arial"/>
                  <w:color w:val="2E75B6"/>
                  <w:sz w:val="16"/>
                  <w:szCs w:val="16"/>
                  <w:u w:val="single"/>
                </w:rPr>
                <w:t xml:space="preserve">https://arxiv.org/abs/2504.19413</w:t>
              </w:r>
            </w:hyperlink>
            <w:r>
              <w:rPr>
                <w:rFonts w:ascii="Arial" w:cs="Arial" w:eastAsia="Arial" w:hAnsi="Arial"/>
                <w:color w:val="555555"/>
                <w:sz w:val="16"/>
                <w:szCs w:val="16"/>
              </w:rPr>
              <w:t xml:space="preserve">  |  GitHub: </w:t>
            </w:r>
            <w:hyperlink w:history="1" r:id="rIdj_vborauan51erhtvor1f">
              <w:r>
                <w:rPr>
                  <w:rFonts w:ascii="Arial" w:cs="Arial" w:eastAsia="Arial" w:hAnsi="Arial"/>
                  <w:color w:val="006666"/>
                  <w:sz w:val="16"/>
                  <w:szCs w:val="16"/>
                  <w:u w:val="single"/>
                </w:rPr>
                <w:t xml:space="preserve">https://github.com/mem0ai/mem0</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Presenta Mem0, una capa de memoria para agentes IA que extrae, consolida y recupera información saliente de conversaciones dinámicamente. Propone también una variante con memoria basada en grafos para capturar estructuras relacionales complejas entre elementos conversacionales.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Mem0 logra 26% de mejora relativa en LLM-as-a-Judge vs. OpenAI baseline, 91% de reducción en latencia p95 y &gt;90% de ahorro en costo de tokens. La variante con graph memory añade ~2% adicional. Benchmarks públicos disponibles en mem0.ai/research.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1E5C2E"/>
                <w:sz w:val="18"/>
                <w:szCs w:val="18"/>
              </w:rPr>
              <w:t xml:space="preserve">Candidato principal para la capa de memoria longitudinal en la arquitectura experimental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1E5C2E"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B04</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5C2E"/>
                <w:sz w:val="20"/>
                <w:szCs w:val="20"/>
              </w:rPr>
              <w:t xml:space="preserve">CarMem: Enhancing Long-Term Memory in LLM Voice Assistants through Category-Bounding</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(COLING – Industry Track)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Enero 2025 (COLING 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Technical University of Munich / University of Augsburg</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Johannes Kirmayr, Lukas Stappen, Phillip Schneider, Florian Matthes, Elisabeth André</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cwfob83rfp36sdd5-elze">
              <w:r>
                <w:rPr>
                  <w:rFonts w:ascii="Arial" w:cs="Arial" w:eastAsia="Arial" w:hAnsi="Arial"/>
                  <w:color w:val="2E75B6"/>
                  <w:sz w:val="16"/>
                  <w:szCs w:val="16"/>
                  <w:u w:val="single"/>
                </w:rPr>
                <w:t xml:space="preserve">https://arxiv.org/abs/2501.09645</w:t>
              </w:r>
            </w:hyperlink>
            <w:r>
              <w:rPr>
                <w:rFonts w:ascii="Arial" w:cs="Arial" w:eastAsia="Arial" w:hAnsi="Arial"/>
                <w:color w:val="555555"/>
                <w:sz w:val="16"/>
                <w:szCs w:val="16"/>
              </w:rPr>
              <w:t xml:space="preserve">  |  GitHub: </w:t>
            </w:r>
            <w:hyperlink w:history="1" r:id="rId6q5u0pqppbx3ncpectwqc">
              <w:r>
                <w:rPr>
                  <w:rFonts w:ascii="Arial" w:cs="Arial" w:eastAsia="Arial" w:hAnsi="Arial"/>
                  <w:color w:val="006666"/>
                  <w:sz w:val="16"/>
                  <w:szCs w:val="16"/>
                  <w:u w:val="single"/>
                </w:rPr>
                <w:t xml:space="preserve">https://github.com/johanneskirmayr/CarMem</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Propone un sistema de memoria a largo plazo estructurado en categorías predefinidas para asistentes de voz. Usa LLMs para extraer, almacenar y recuperar preferencias dentro de estas categorías, garantizando personalización y transparencia. Introduce un dataset sintético multi-turno y multi-sesión basado en datos industriales de asistentes en el automóvil.</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El acotamiento por categorías reduce significativamente las preferencias redundantes o contradictorias en la memoria. Mejora la personalización manteniendo trazabilidad y cumplimiento con regulaciones de privacidad (GDPR). El dataset CarMem se publica como recurso abierto para la comunidad.</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1E5C2E"/>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1E5C2E"/>
                <w:sz w:val="18"/>
                <w:szCs w:val="18"/>
              </w:rPr>
              <w:t xml:space="preserve">Modelo de referencia para el diseño de categorías de memoria en sistemas con requisitos de privacidad y trazabilidad.</w:t>
            </w:r>
          </w:p>
        </w:tc>
      </w:tr>
    </w:tbl>
    <w:p>
      <w:pPr>
        <w:spacing w:after="60" w:before="60"/>
      </w:pPr>
      <w:r>
        <w:t xml:space="preserve"/>
      </w:r>
    </w:p>
    <w:p>
      <w:r>
        <w:br w:type="page"/>
      </w:r>
    </w:p>
    <w:p>
      <w:pPr>
        <w:pStyle w:val="Heading2"/>
        <w:spacing w:after="120" w:before="240"/>
      </w:pPr>
      <w:r>
        <w:rPr>
          <w:rFonts w:ascii="Arial" w:cs="Arial" w:eastAsia="Arial" w:hAnsi="Arial"/>
          <w:b/>
          <w:bCs/>
          <w:color w:val="2E75B6"/>
          <w:sz w:val="24"/>
          <w:szCs w:val="24"/>
        </w:rPr>
        <w:t xml:space="preserve">Categoría C: Recuperación Aumentada (RAG) y Variantes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C01</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B0082"/>
                <w:sz w:val="20"/>
                <w:szCs w:val="20"/>
              </w:rPr>
              <w:t xml:space="preserve">Self-RAG: Learning to Retrieve, Generate, and Critique through Self-Reflection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(ICLR)</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Octubre 2023 (ICLR 2024)</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University of Washington / IBM Research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Akari Asai, Zeqiu Wu, Yizhong Wang, Avirup Sil, Hannaneh Hajishirzi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llneedf5_b9yhmtgbwysm">
              <w:r>
                <w:rPr>
                  <w:rFonts w:ascii="Arial" w:cs="Arial" w:eastAsia="Arial" w:hAnsi="Arial"/>
                  <w:color w:val="2E75B6"/>
                  <w:sz w:val="16"/>
                  <w:szCs w:val="16"/>
                  <w:u w:val="single"/>
                </w:rPr>
                <w:t xml:space="preserve">https://arxiv.org/abs/2310.11511</w:t>
              </w:r>
            </w:hyperlink>
            <w:r>
              <w:rPr>
                <w:rFonts w:ascii="Arial" w:cs="Arial" w:eastAsia="Arial" w:hAnsi="Arial"/>
                <w:color w:val="555555"/>
                <w:sz w:val="16"/>
                <w:szCs w:val="16"/>
              </w:rPr>
              <w:t xml:space="preserve">  |  GitHub: </w:t>
            </w:r>
            <w:hyperlink w:history="1" r:id="rId9qj6vio0ygdnrbosizqfn">
              <w:r>
                <w:rPr>
                  <w:rFonts w:ascii="Arial" w:cs="Arial" w:eastAsia="Arial" w:hAnsi="Arial"/>
                  <w:color w:val="006666"/>
                  <w:sz w:val="16"/>
                  <w:szCs w:val="16"/>
                  <w:u w:val="single"/>
                </w:rPr>
                <w:t xml:space="preserve">https://github.com/AkariAsai/self-rag</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Introduce Self-RAG, un framework que entrena un único LM para recuperar pasajes adaptativamente bajo demanda y reflexionar sobre ellos mediante tokens de reflexión especiales (reflection tokens), permitiendo al modelo decidir si recuperar, evaluar la relevancia y criticar su propia generación.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Self-RAG supera a ChatGPT y Llama2-chat con RAG estándar en QA de dominio abierto, verificación de hechos y generación larga. Mejora factualidad y precisión de citas. La recuperación adaptativa (solo cuando es necesario) es más eficiente que recuperar siempre.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4B0082"/>
                <w:sz w:val="18"/>
                <w:szCs w:val="18"/>
              </w:rPr>
              <w:t xml:space="preserve">Fundamenta la técnica de 'selective context injection': recuperar solo cuando aporta valor, clave para evitar context rot.</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C02</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B0082"/>
                <w:sz w:val="20"/>
                <w:szCs w:val="20"/>
              </w:rPr>
              <w:t xml:space="preserve">RAG-MCP: Mitigating Prompt Bloat in LLM Tool Selection via Retrieval-Augmented Generation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Mayo 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afiliación institucional publicada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Tiantian Gan, Qiyao Sun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4lamregzowk4qi4j0iizn">
              <w:r>
                <w:rPr>
                  <w:rFonts w:ascii="Arial" w:cs="Arial" w:eastAsia="Arial" w:hAnsi="Arial"/>
                  <w:color w:val="2E75B6"/>
                  <w:sz w:val="16"/>
                  <w:szCs w:val="16"/>
                  <w:u w:val="single"/>
                </w:rPr>
                <w:t xml:space="preserve">https://arxiv.org/abs/2505.03275</w:t>
              </w:r>
            </w:hyperlink>
            <w:r>
              <w:rPr>
                <w:rFonts w:ascii="Arial" w:cs="Arial" w:eastAsia="Arial" w:hAnsi="Arial"/>
                <w:color w:val="555555"/>
                <w:sz w:val="16"/>
                <w:szCs w:val="16"/>
              </w:rPr>
              <w:t xml:space="preserve">  |  GitHub: </w:t>
            </w:r>
            <w:hyperlink w:history="1" r:id="rIdgnb3aluvfc-uubh76uu1w">
              <w:r>
                <w:rPr>
                  <w:rFonts w:ascii="Arial" w:cs="Arial" w:eastAsia="Arial" w:hAnsi="Arial"/>
                  <w:color w:val="006666"/>
                  <w:sz w:val="16"/>
                  <w:szCs w:val="16"/>
                  <w:u w:val="single"/>
                </w:rPr>
                <w:t xml:space="preserve">https://github.com/memoverflow/rag-mcp</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Propone RAG-MCP, un framework que aplica recuperación semántica sobre descripciones de herramientas MCP para identificar los MCPs más relevantes para una consulta antes de pasarlos al LLM, en lugar de exponer el catálogo completo. Solo las descripciones de tools seleccionadas llegan al modelo.</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RAG-MCP reduce los tokens del prompt en más del 50% y más que triplica la precisión de selección de herramientas (43.13% vs 13.62% baseline) en benchmarks de estrés con muchas tools. Es el trabajo más directamente alineado con el problema de 'tool overload' en arquitecturas multi-MCP.</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4B0082"/>
                <w:sz w:val="18"/>
                <w:szCs w:val="18"/>
              </w:rPr>
              <w:t xml:space="preserve">Técnica central para la tesis: soluciona directamente el problema de catálogos grandes de tools MCP y prompt bloat.</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C03</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B0082"/>
                <w:sz w:val="20"/>
                <w:szCs w:val="20"/>
              </w:rPr>
              <w:t xml:space="preserve">From Local to Global: A Graph RAG Approach to Query-Focused Summarization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 / Proyecto OSS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Abril 2024</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Microsoft Research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Darren Edge, Ha Trinh, Newman Cheng, Joshua Bradley, Alex Chao, Apurva Mody, Steven Truitt, Jonathan Larson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fhu6mjeskrv1pccs9iqxt">
              <w:r>
                <w:rPr>
                  <w:rFonts w:ascii="Arial" w:cs="Arial" w:eastAsia="Arial" w:hAnsi="Arial"/>
                  <w:color w:val="2E75B6"/>
                  <w:sz w:val="16"/>
                  <w:szCs w:val="16"/>
                  <w:u w:val="single"/>
                </w:rPr>
                <w:t xml:space="preserve">https://arxiv.org/abs/2404.16130</w:t>
              </w:r>
            </w:hyperlink>
            <w:r>
              <w:rPr>
                <w:rFonts w:ascii="Arial" w:cs="Arial" w:eastAsia="Arial" w:hAnsi="Arial"/>
                <w:color w:val="555555"/>
                <w:sz w:val="16"/>
                <w:szCs w:val="16"/>
              </w:rPr>
              <w:t xml:space="preserve">  |  GitHub: </w:t>
            </w:r>
            <w:hyperlink w:history="1" r:id="rIdyuc-oecf_gmx4nny2babw">
              <w:r>
                <w:rPr>
                  <w:rFonts w:ascii="Arial" w:cs="Arial" w:eastAsia="Arial" w:hAnsi="Arial"/>
                  <w:color w:val="006666"/>
                  <w:sz w:val="16"/>
                  <w:szCs w:val="16"/>
                  <w:u w:val="single"/>
                </w:rPr>
                <w:t xml:space="preserve">https://github.com/microsoft/graphrag</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Presenta GraphRAG, un sistema modular que construye un grafo de conocimiento a partir de un corpus de texto y usa análisis de comunidades del grafo para generar resúmenes jerárquicos que enriquecen el contexto en tiempo de consulta. Permite consultas globales sobre grandes colecciones de documentos.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GraphRAG supera al RAG estándar en tareas de comprensión global y síntesis de información distribuida. La estructura en grafo permite responder preguntas que requieren integrar información de múltiples documentos. El repo advierte que el indexado puede ser costoso y el código es metodológico/demostrativo.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4B0082"/>
                <w:sz w:val="18"/>
                <w:szCs w:val="18"/>
              </w:rPr>
              <w:t xml:space="preserve">Útil para silos documentales complejos en arquitecturas multi-MCP, aunque no como default para cada servidor.</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4B0082"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C04</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4B0082"/>
                <w:sz w:val="20"/>
                <w:szCs w:val="20"/>
              </w:rPr>
              <w:t xml:space="preserve">FedRAG (Flower): Federated Retrieval-Augmented Generation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Framework / Documentación técnica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2024 (documentación / ejemplo oficial)</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Flower Labs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Flower Labs Team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jtztypik4xffwqswp6ov3">
              <w:r>
                <w:rPr>
                  <w:rFonts w:ascii="Arial" w:cs="Arial" w:eastAsia="Arial" w:hAnsi="Arial"/>
                  <w:color w:val="2E75B6"/>
                  <w:sz w:val="16"/>
                  <w:szCs w:val="16"/>
                  <w:u w:val="single"/>
                </w:rPr>
                <w:t xml:space="preserve">https://flower.ai/docs/examples/fedrag.html</w:t>
              </w:r>
            </w:hyperlink>
            <w:r>
              <w:rPr>
                <w:rFonts w:ascii="Arial" w:cs="Arial" w:eastAsia="Arial" w:hAnsi="Arial"/>
                <w:color w:val="555555"/>
                <w:sz w:val="16"/>
                <w:szCs w:val="16"/>
              </w:rPr>
              <w:t xml:space="preserve">  |  GitHub: </w:t>
            </w:r>
            <w:hyperlink w:history="1" r:id="rIdwwijfxsthkvvt6m1jmrp0">
              <w:r>
                <w:rPr>
                  <w:rFonts w:ascii="Arial" w:cs="Arial" w:eastAsia="Arial" w:hAnsi="Arial"/>
                  <w:color w:val="006666"/>
                  <w:sz w:val="16"/>
                  <w:szCs w:val="16"/>
                  <w:u w:val="single"/>
                </w:rPr>
                <w:t xml:space="preserve">https://github.com/adap/flower</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Ejemplo de referencia de RAG federado en el framework Flower, donde cada silo/participante recupera su top-k localmente y un broker central fusiona y rerankea los resultados sin centralizar los datos crudos.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Demuestra que la recuperación federada es viable: cada silo mantiene su índice privado y un broker central agrega resultados con reranking global. Reduce la mezcla de ruido entre dominios. Muy adecuado para arquitecturas donde cada servidor MCP representa una fuente con restricciones de acceso.</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4B0082"/>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4B0082"/>
                <w:sz w:val="18"/>
                <w:szCs w:val="18"/>
              </w:rPr>
              <w:t xml:space="preserve">Patrón de referencia para el broker de recuperación federada en arquitecturas multi-MCP.</w:t>
            </w:r>
          </w:p>
        </w:tc>
      </w:tr>
    </w:tbl>
    <w:p>
      <w:pPr>
        <w:spacing w:after="60" w:before="60"/>
      </w:pPr>
      <w:r>
        <w:t xml:space="preserve"/>
      </w:r>
    </w:p>
    <w:p>
      <w:r>
        <w:br w:type="page"/>
      </w:r>
    </w:p>
    <w:p>
      <w:pPr>
        <w:pStyle w:val="Heading2"/>
        <w:spacing w:after="120" w:before="240"/>
      </w:pPr>
      <w:r>
        <w:rPr>
          <w:rFonts w:ascii="Arial" w:cs="Arial" w:eastAsia="Arial" w:hAnsi="Arial"/>
          <w:b/>
          <w:bCs/>
          <w:color w:val="2E75B6"/>
          <w:sz w:val="24"/>
          <w:szCs w:val="24"/>
        </w:rPr>
        <w:t xml:space="preserve">Categoría D: Benchmarks de Herramientas y Evaluación</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7B38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D01</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3800"/>
                <w:sz w:val="20"/>
                <w:szCs w:val="20"/>
              </w:rPr>
              <w:t xml:space="preserve">ToolBeHonest (ToolBH): A Multi-level Hallucination Diagnostic Benchmark for Tool-Augmented LLMs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 / Benchmark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Junio 2024</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afiliación única publicada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Yuxiang Zhang y otros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dq-_b3l66cv775-h7g4s3">
              <w:r>
                <w:rPr>
                  <w:rFonts w:ascii="Arial" w:cs="Arial" w:eastAsia="Arial" w:hAnsi="Arial"/>
                  <w:color w:val="2E75B6"/>
                  <w:sz w:val="16"/>
                  <w:szCs w:val="16"/>
                  <w:u w:val="single"/>
                </w:rPr>
                <w:t xml:space="preserve">https://arxiv.org/abs/2406.20015</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Propone un benchmark diagnóstico multi-nivel para alucin aciones en LLMs con herramientas. El proceso diagnóstico evalúa: (1) detección de solucionabilidad, (2) planificación de solución y (3) análisis de herramientas faltantes. Incluye 700 muestras con anotación manual en 7 tareas.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Modelos avanzados como Gemini-1.5-Pro y GPT-4o solo alcanzan 45.3 y 37.0 sobre 100 respectivamente. Los fallos más frecuentes son: no detectar que una tarea no es solucionable, ignorar que falta una tool necesaria, y dejarse arrastrar por tools distractoras. Evidencia que el problema de selección de herramientas sigue sin resolverse.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7B3800"/>
                <w:sz w:val="18"/>
                <w:szCs w:val="18"/>
              </w:rPr>
              <w:t xml:space="preserve">Benchmark principal para medir la tasa de error en selección de tools en la fase experimental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7B38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D02</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3800"/>
                <w:sz w:val="20"/>
                <w:szCs w:val="20"/>
              </w:rPr>
              <w:t xml:space="preserve">ToolHaystack: Stress-Testing Tool-Augmented Language Models in Realistic Long-Term Interactions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 / Benchmark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Mayo 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afiliación única publicada</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No publicado completamente aún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7tu7oqqajd89cvonmoj7g">
              <w:r>
                <w:rPr>
                  <w:rFonts w:ascii="Arial" w:cs="Arial" w:eastAsia="Arial" w:hAnsi="Arial"/>
                  <w:color w:val="2E75B6"/>
                  <w:sz w:val="16"/>
                  <w:szCs w:val="16"/>
                  <w:u w:val="single"/>
                </w:rPr>
                <w:t xml:space="preserve">https://arxiv.org/html/2505.23662v1</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Benchmark para evaluar agentes LLM en escenarios de interacción larga con flujos de tareas intercalados y ruido contextual (tareas distractoras). Evalúa tres dimensiones: interacción larga con dependencias temporales, complejidad granular con niveles variables de dificultad, y robustez ante tareas irrelevantes intercaladas.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Incluso LLMs con modelado avanzado de contexto largo fallan en mantener consistencia y robustez bajo escenarios largos. Los benchmarks contemporáneos sobreestiman la preparación para despliegue real. Evaluó 14 agentes LLM state-of-the-art, documentando modos de fallo específicos.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7B3800"/>
                <w:sz w:val="18"/>
                <w:szCs w:val="18"/>
              </w:rPr>
              <w:t xml:space="preserve">Benchmark clave para medir la degradación de respuestas (context rot) en conversaciones largas con múltiples tools.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7B38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D03</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3800"/>
                <w:sz w:val="20"/>
                <w:szCs w:val="20"/>
              </w:rPr>
              <w:t xml:space="preserve">The Reasoning Trap: How Enhancing LLM Reasoning Amplifies Tool Hallucination (SimpleToolHalluBench)</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Preprint arXiv / Benchmark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Octubre 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No afiliación única publicada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No publicado completamente aún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sje12byqdwphft1vcthnx">
              <w:r>
                <w:rPr>
                  <w:rFonts w:ascii="Arial" w:cs="Arial" w:eastAsia="Arial" w:hAnsi="Arial"/>
                  <w:color w:val="2E75B6"/>
                  <w:sz w:val="16"/>
                  <w:szCs w:val="16"/>
                  <w:u w:val="single"/>
                </w:rPr>
                <w:t xml:space="preserve">https://arxiv.org/abs/2510.22977</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Introduce SimpleToolHalluBench para medir alucin aciones en dos modos de fallo: (i) ninguna tool disponible y (ii) solo tools distractoras disponibles. Investiga la paradoja de que mejorar el razonamiento del modelo incrementa la alucin ación de herramientas.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Reforzar el razonamiento vía RL incrementa la alucin ación de tools de forma proporcional. El efecto aparece también en fine-tuning de tareas sin tools (matemáticas) y con cualquier método de elicitación. Las estrategias de mitigación revelan un trade-off fundamental: reducir alucin ación degrada utilidad.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7B3800"/>
                <w:sz w:val="18"/>
                <w:szCs w:val="18"/>
              </w:rPr>
              <w:t xml:space="preserve">Evidencia de que mejorar capacidades generales no resuelve el problema de tool selection; justifica técnicas especializadas de gating.</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7B38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D04</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3800"/>
                <w:sz w:val="20"/>
                <w:szCs w:val="20"/>
              </w:rPr>
              <w:t xml:space="preserve">LongMemEval: Benchmarking Chat Assistants on Long-Term Interactive Memory</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(ICLR) / Benchmark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Octubre 2024 (ICLR 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UCLA / Tencent AI Lab</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Di Wu, Hongwei Wang, Wenhao Yu, Yuwei Zhang, Kai-Wei Chang, Dong Yu</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njcwxetmcd1zokkzyqbvz">
              <w:r>
                <w:rPr>
                  <w:rFonts w:ascii="Arial" w:cs="Arial" w:eastAsia="Arial" w:hAnsi="Arial"/>
                  <w:color w:val="2E75B6"/>
                  <w:sz w:val="16"/>
                  <w:szCs w:val="16"/>
                  <w:u w:val="single"/>
                </w:rPr>
                <w:t xml:space="preserve">https://arxiv.org/abs/2410.10813</w:t>
              </w:r>
            </w:hyperlink>
            <w:r>
              <w:rPr>
                <w:rFonts w:ascii="Arial" w:cs="Arial" w:eastAsia="Arial" w:hAnsi="Arial"/>
                <w:color w:val="555555"/>
                <w:sz w:val="16"/>
                <w:szCs w:val="16"/>
              </w:rPr>
              <w:t xml:space="preserve">  |  GitHub: </w:t>
            </w:r>
            <w:hyperlink w:history="1" r:id="rIdteee2mtng07jwmvgjv047">
              <w:r>
                <w:rPr>
                  <w:rFonts w:ascii="Arial" w:cs="Arial" w:eastAsia="Arial" w:hAnsi="Arial"/>
                  <w:color w:val="006666"/>
                  <w:sz w:val="16"/>
                  <w:szCs w:val="16"/>
                  <w:u w:val="single"/>
                </w:rPr>
                <w:t xml:space="preserve">https://github.com/xiaowu0162/LongMemEval</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Benchmark que evalúa cinco habilidades de memoria a largo plazo en asistentes de chat: extracción de información, razonamiento multi-sesión, razonamiento temporal, actualización de conocimiento y abstención. Incluye 500 preguntas embebidas en historiales de hasta 1.5 millones de tokens.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Los sistemas comerciales y LLMs de contexto largo muestran una caída del 30% en precisión al memorizar información a través de interacciones sostenidas. GPT-4o alcanza ~92% en sesiones con la respuesta visible pero cae a ~58% en modo interactivo completo. Propone tres optimizaciones: session decomposition, fact-augmented key expansion y time-aware query expansion.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7B3800"/>
                <w:sz w:val="18"/>
                <w:szCs w:val="18"/>
              </w:rPr>
              <w:t xml:space="preserve">Benchmark estándar para medir la memoria longitudinal en la fase experimental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7B38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D05</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7B3800"/>
                <w:sz w:val="20"/>
                <w:szCs w:val="20"/>
              </w:rPr>
              <w:t xml:space="preserve">LoCoMo: Evaluating Very Long-Term Conversational Memory of LLM Agents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Conferencia (ACL) / Benchmark</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Febrero 2024 (ACL 2024)</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University of North Carolina / Snap Research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Adyasha Maharana, Dong-Ho Lee, Sergey Tulyakov, Mohit Bansal, Francesco Barbieri, Yuwei Fang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ufu0ohxxoffsgx1kftn7c">
              <w:r>
                <w:rPr>
                  <w:rFonts w:ascii="Arial" w:cs="Arial" w:eastAsia="Arial" w:hAnsi="Arial"/>
                  <w:color w:val="2E75B6"/>
                  <w:sz w:val="16"/>
                  <w:szCs w:val="16"/>
                  <w:u w:val="single"/>
                </w:rPr>
                <w:t xml:space="preserve">https://arxiv.org/abs/2402.17753</w:t>
              </w:r>
            </w:hyperlink>
            <w:r>
              <w:rPr>
                <w:rFonts w:ascii="Arial" w:cs="Arial" w:eastAsia="Arial" w:hAnsi="Arial"/>
                <w:color w:val="555555"/>
                <w:sz w:val="16"/>
                <w:szCs w:val="16"/>
              </w:rPr>
              <w:t xml:space="preserve">  |  GitHub: </w:t>
            </w:r>
            <w:hyperlink w:history="1" r:id="rIdhhfunp6lci4mljqrljplv">
              <w:r>
                <w:rPr>
                  <w:rFonts w:ascii="Arial" w:cs="Arial" w:eastAsia="Arial" w:hAnsi="Arial"/>
                  <w:color w:val="006666"/>
                  <w:sz w:val="16"/>
                  <w:szCs w:val="16"/>
                  <w:u w:val="single"/>
                </w:rPr>
                <w:t xml:space="preserve">https://github.com/snap-research/locomo</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Introduce LoCoMo, un dataset de conversaciones muy largas (300 turnos, ~9K tokens por sesión, hasta 35 sesiones) generado con un pipeline máquina-humano basado en grafos de eventos temporales y personas. Evalúa memoria a largo plazo en QA, resumen de eventos y generación dialógica multimodal.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Los LLMs tienen dificultades con conversaciones largas y dinámicas causales de largo alcance. Estrategias como LLMs de contexto largo o RAG mejoran parcialmente pero siguen muy por debajo del rendimiento humano. Los grafos de eventos temporales son fundamentales para generar conversaciones coherentes a largo plazo.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7B3800"/>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7B3800"/>
                <w:sz w:val="18"/>
                <w:szCs w:val="18"/>
              </w:rPr>
              <w:t xml:space="preserve">Dataset de referencia para diseñar los experimentos de multi-sesión con degradación de memoria en la tesis.</w:t>
            </w:r>
          </w:p>
        </w:tc>
      </w:tr>
    </w:tbl>
    <w:p>
      <w:pPr>
        <w:spacing w:after="60" w:before="60"/>
      </w:pPr>
      <w:r>
        <w:t xml:space="preserve"/>
      </w:r>
    </w:p>
    <w:p>
      <w:r>
        <w:br w:type="page"/>
      </w:r>
    </w:p>
    <w:p>
      <w:pPr>
        <w:pStyle w:val="Heading2"/>
        <w:spacing w:after="120" w:before="240"/>
      </w:pPr>
      <w:r>
        <w:rPr>
          <w:rFonts w:ascii="Arial" w:cs="Arial" w:eastAsia="Arial" w:hAnsi="Arial"/>
          <w:b/>
          <w:bCs/>
          <w:color w:val="2E75B6"/>
          <w:sz w:val="24"/>
          <w:szCs w:val="24"/>
        </w:rPr>
        <w:t xml:space="preserve">Categoría E: Protocolos, Frameworks y Especificaciones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00666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E01</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6666"/>
                <w:sz w:val="20"/>
                <w:szCs w:val="20"/>
              </w:rPr>
              <w:t xml:space="preserve">Model Context Protocol (MCP) – Especificación Oficial</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Especificación técnica / Estándar abierto</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Noviembre 2024 (versión inicial) / actualización continua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Anthropic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Anthropic (equipo de producto)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_whpfodmxi9l3sjrchvqc">
              <w:r>
                <w:rPr>
                  <w:rFonts w:ascii="Arial" w:cs="Arial" w:eastAsia="Arial" w:hAnsi="Arial"/>
                  <w:color w:val="2E75B6"/>
                  <w:sz w:val="16"/>
                  <w:szCs w:val="16"/>
                  <w:u w:val="single"/>
                </w:rPr>
                <w:t xml:space="preserve">https://modelcontextprotocol.io/specification/2025-11-25</w:t>
              </w:r>
            </w:hyperlink>
            <w:r>
              <w:rPr>
                <w:rFonts w:ascii="Arial" w:cs="Arial" w:eastAsia="Arial" w:hAnsi="Arial"/>
                <w:color w:val="555555"/>
                <w:sz w:val="16"/>
                <w:szCs w:val="16"/>
              </w:rPr>
              <w:t xml:space="preserve">  |  GitHub: </w:t>
            </w:r>
            <w:hyperlink w:history="1" r:id="rIdpp0h8ycynbl0rccwxonvy">
              <w:r>
                <w:rPr>
                  <w:rFonts w:ascii="Arial" w:cs="Arial" w:eastAsia="Arial" w:hAnsi="Arial"/>
                  <w:color w:val="006666"/>
                  <w:sz w:val="16"/>
                  <w:szCs w:val="16"/>
                  <w:u w:val="single"/>
                </w:rPr>
                <w:t xml:space="preserve">https://github.com/modelcontextprotocol/modelcontextprotocol</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Estándar abierto que define cómo los asistentes de IA se conectan a fuentes de datos y herramientas externas. Define la arquitectura host-cliente-servidor, los primitivos del protocolo (Tools, Resources, Prompts), la negociación de capacidades y el control de flujo. Publicado con SDKs en Python, TypeScript, C# y Java.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MCP establece que las tools son model-controlled y los resources son application-driven, lo que implica que el host puede controlar qué contexto llega al modelo. La separación cliente-servidor permite modelar el estado por servidor. La notificación listChanged permite invalidar cachés de herramientas. Es la especificación de infraestructura central de la tesis.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006666"/>
                <w:sz w:val="18"/>
                <w:szCs w:val="18"/>
              </w:rPr>
              <w:t xml:space="preserve">Protocolo central de la tesis: define la arquitectura sobre la que se miden todas las técnicas experimentadas.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00666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E02</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6666"/>
                <w:sz w:val="20"/>
                <w:szCs w:val="20"/>
              </w:rPr>
              <w:t xml:space="preserve">LangGraph – State Management and Agent Orchestration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Framework OSS / Documentación técnica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2023–2025 (documentación activa)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LangChain Inc.</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LangChain Team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rlnel1jkswrrkdztei0mt">
              <w:r>
                <w:rPr>
                  <w:rFonts w:ascii="Arial" w:cs="Arial" w:eastAsia="Arial" w:hAnsi="Arial"/>
                  <w:color w:val="2E75B6"/>
                  <w:sz w:val="16"/>
                  <w:szCs w:val="16"/>
                  <w:u w:val="single"/>
                </w:rPr>
                <w:t xml:space="preserve">https://langchain-ai.github.io/langgraph/</w:t>
              </w:r>
            </w:hyperlink>
            <w:r>
              <w:rPr>
                <w:rFonts w:ascii="Arial" w:cs="Arial" w:eastAsia="Arial" w:hAnsi="Arial"/>
                <w:color w:val="555555"/>
                <w:sz w:val="16"/>
                <w:szCs w:val="16"/>
              </w:rPr>
              <w:t xml:space="preserve">  |  GitHub: </w:t>
            </w:r>
            <w:hyperlink w:history="1" r:id="rIdu1rvmx3qolaiss9wgghzz">
              <w:r>
                <w:rPr>
                  <w:rFonts w:ascii="Arial" w:cs="Arial" w:eastAsia="Arial" w:hAnsi="Arial"/>
                  <w:color w:val="006666"/>
                  <w:sz w:val="16"/>
                  <w:szCs w:val="16"/>
                  <w:u w:val="single"/>
                </w:rPr>
                <w:t xml:space="preserve">https://github.com/langchain-ai/langgraph</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Framework para construir agentes y flujos multi-actor con estado persistente. Soporta threads, checkpoints por paso, stores JSON para memoria larga, recuperación de fallos, HITL (human-in-the-loop) y evaluación offline/online con LangSmith. Arquitectura de grafo dirigido para orquestar agentes complejos.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Los threads y checkpoints permiten persistir y reanudar agentes con tolerancia a fallos. Las conversaciones largas incrementan costo y distraen al modelo con contenido viejo, justificando técnicas de compaction. Los stores JSON permiten separar working memory de long-term memory. Referencia de producción para la columna vertebral de estado en la tesis.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006666"/>
                <w:sz w:val="18"/>
                <w:szCs w:val="18"/>
              </w:rPr>
              <w:t xml:space="preserve">Plataforma de implementación principal para la arquitectura experimental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00666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E03</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6666"/>
                <w:sz w:val="20"/>
                <w:szCs w:val="20"/>
              </w:rPr>
              <w:t xml:space="preserve">OpenAI Agents SDK – Tool Filtering, MCP, Tracing</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SDK / Documentación técnica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2024–2025 (documentación activa)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OpenAI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OpenAI Team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ue_91kg1lf_mp2d1ed-cn">
              <w:r>
                <w:rPr>
                  <w:rFonts w:ascii="Arial" w:cs="Arial" w:eastAsia="Arial" w:hAnsi="Arial"/>
                  <w:color w:val="2E75B6"/>
                  <w:sz w:val="16"/>
                  <w:szCs w:val="16"/>
                  <w:u w:val="single"/>
                </w:rPr>
                <w:t xml:space="preserve">https://openai.github.io/openai-agents-python/</w:t>
              </w:r>
            </w:hyperlink>
            <w:r>
              <w:rPr>
                <w:rFonts w:ascii="Arial" w:cs="Arial" w:eastAsia="Arial" w:hAnsi="Arial"/>
                <w:color w:val="555555"/>
                <w:sz w:val="16"/>
                <w:szCs w:val="16"/>
              </w:rPr>
              <w:t xml:space="preserve">  |  GitHub: </w:t>
            </w:r>
            <w:hyperlink w:history="1" r:id="rIdunbhvjgnbd7na1dbqfmow">
              <w:r>
                <w:rPr>
                  <w:rFonts w:ascii="Arial" w:cs="Arial" w:eastAsia="Arial" w:hAnsi="Arial"/>
                  <w:color w:val="006666"/>
                  <w:sz w:val="16"/>
                  <w:szCs w:val="16"/>
                  <w:u w:val="single"/>
                </w:rPr>
                <w:t xml:space="preserve">https://github.com/openai/openai-agents-python</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SDK para construir agentes con soporte a tool filtering estático y dinámico, HostedMCPTool con filtros y aprobaciones, ToolSearchTool para búsqueda semántica sobre catálogos de tools, deferred loading, sesiones, usage y tracing. Soporta compaction de conversaciones largas.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El tool gating con filtros allowlist/denylist y el ToolSearchTool son las técnicas más directamente aplicables al problema de catálogos grandes de tools. El prompt caching y la compaction reducen latencia y costo en conversaciones largas. Usage y tracing permiten observabilidad granular por turno y paso.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006666"/>
                <w:sz w:val="18"/>
                <w:szCs w:val="18"/>
              </w:rPr>
              <w:t xml:space="preserve">Fuente de patrones de implementación para tool gating, deferred loading y métricas de tokens en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00666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E04</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6666"/>
                <w:sz w:val="20"/>
                <w:szCs w:val="20"/>
              </w:rPr>
              <w:t xml:space="preserve">LlamaIndex – Router Retriever, Federated Retrieval, Auto-Merging</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Framework OSS / Documentación técnica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2023–2025 (documentación activa)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LlamaIndex Inc.</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LlamaIndex Team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e_uqhajx45x8gzsc7gq1a">
              <w:r>
                <w:rPr>
                  <w:rFonts w:ascii="Arial" w:cs="Arial" w:eastAsia="Arial" w:hAnsi="Arial"/>
                  <w:color w:val="2E75B6"/>
                  <w:sz w:val="16"/>
                  <w:szCs w:val="16"/>
                  <w:u w:val="single"/>
                </w:rPr>
                <w:t xml:space="preserve">https://docs.llamaindex.ai/</w:t>
              </w:r>
            </w:hyperlink>
            <w:r>
              <w:rPr>
                <w:rFonts w:ascii="Arial" w:cs="Arial" w:eastAsia="Arial" w:hAnsi="Arial"/>
                <w:color w:val="555555"/>
                <w:sz w:val="16"/>
                <w:szCs w:val="16"/>
              </w:rPr>
              <w:t xml:space="preserve">  |  GitHub: </w:t>
            </w:r>
            <w:hyperlink w:history="1" r:id="rIderkqrn4_hagtiaw_q8qcq">
              <w:r>
                <w:rPr>
                  <w:rFonts w:ascii="Arial" w:cs="Arial" w:eastAsia="Arial" w:hAnsi="Arial"/>
                  <w:color w:val="006666"/>
                  <w:sz w:val="16"/>
                  <w:szCs w:val="16"/>
                  <w:u w:val="single"/>
                </w:rPr>
                <w:t xml:space="preserve">https://github.com/run-llama/llama_index</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Framework para recuperación avanzada que incluye RouterRetriever (selección de índice por consulta), SubQuestionQueryEngine (decomposición de consultas complejas), AutoMergingRetriever (recuperación jerárquica padre-hijo) y fusión con Reciprocal Rerank Fusion.</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La combinación de router + sub-question engine permite recuperación federada multi-fuente sin centralizar ruido. El AutoMergingRetriever mejora la síntesis de información fragmentada. Es la pieza más fuerte para un broker de retrieval federado en arquitecturas multi-MCP.</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006666"/>
                <w:sz w:val="18"/>
                <w:szCs w:val="18"/>
              </w:rPr>
              <w:t xml:space="preserve">Broker de recuperación federada: capa central del diseño arquitectónico experimental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006666"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E05</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6666"/>
                <w:sz w:val="20"/>
                <w:szCs w:val="20"/>
              </w:rPr>
              <w:t xml:space="preserve">Letta (MemGPT Platform) – Stateful Agents with Memory Blocks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Plataforma / Framework OSS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2024–2025 (plataforma activa)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Letta 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Charles Packer y equipo Letta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iwzuedhekn27e3dbsyoua">
              <w:r>
                <w:rPr>
                  <w:rFonts w:ascii="Arial" w:cs="Arial" w:eastAsia="Arial" w:hAnsi="Arial"/>
                  <w:color w:val="2E75B6"/>
                  <w:sz w:val="16"/>
                  <w:szCs w:val="16"/>
                  <w:u w:val="single"/>
                </w:rPr>
                <w:t xml:space="preserve">https://docs.letta.com/</w:t>
              </w:r>
            </w:hyperlink>
            <w:r>
              <w:rPr>
                <w:rFonts w:ascii="Arial" w:cs="Arial" w:eastAsia="Arial" w:hAnsi="Arial"/>
                <w:color w:val="555555"/>
                <w:sz w:val="16"/>
                <w:szCs w:val="16"/>
              </w:rPr>
              <w:t xml:space="preserve">  |  GitHub: </w:t>
            </w:r>
            <w:hyperlink w:history="1" r:id="rIdkvgzokqgm_5aiycrso28a">
              <w:r>
                <w:rPr>
                  <w:rFonts w:ascii="Arial" w:cs="Arial" w:eastAsia="Arial" w:hAnsi="Arial"/>
                  <w:color w:val="006666"/>
                  <w:sz w:val="16"/>
                  <w:szCs w:val="16"/>
                  <w:u w:val="single"/>
                </w:rPr>
                <w:t xml:space="preserve">https://github.com/letta-ai/letta</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Plataforma de producción derivada de MemGPT que implementa agentes realmente stateful con memory blocks siempre visibles en contexto, subagentes y mejora continua. Soporta core memory (siempre en contexto), archival memory (recuperable) y recall memory (historial de conversación).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Los memory blocks explícitos (persona, humano, sistema) garantizan que cierta información siempre esté disponible al modelo sin recuperación. La separación entre memoria siempre-visible y recuperable bajo demanda es el patrón correcto para gestionar memoria emocional vs. operacional.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6666"/>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006666"/>
                <w:sz w:val="18"/>
                <w:szCs w:val="18"/>
              </w:rPr>
              <w:t xml:space="preserve">Referencia para el diseño de bloques de memoria estructurada (perfil, preferencias, estado afectivo).</w:t>
            </w:r>
          </w:p>
        </w:tc>
      </w:tr>
    </w:tbl>
    <w:p>
      <w:pPr>
        <w:spacing w:after="60" w:before="60"/>
      </w:pPr>
      <w:r>
        <w:t xml:space="preserve"/>
      </w:r>
    </w:p>
    <w:p>
      <w:pPr>
        <w:pStyle w:val="Heading2"/>
        <w:spacing w:after="120" w:before="240"/>
      </w:pPr>
      <w:r>
        <w:rPr>
          <w:rFonts w:ascii="Arial" w:cs="Arial" w:eastAsia="Arial" w:hAnsi="Arial"/>
          <w:b/>
          <w:bCs/>
          <w:color w:val="2E75B6"/>
          <w:sz w:val="24"/>
          <w:szCs w:val="24"/>
        </w:rPr>
        <w:t>Categoría H: Marcos Teóricos Unificadores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80"/>
        <w:gridCol w:w="3680"/>
        <w:gridCol w:w="3400"/>
      </w:tblGrid>
      <w:tr>
        <w:tc>
          <w:tcPr>
            <w:tcW w:type="dxa" w:w="1000"/>
          </w:tcPr>
          <w:p>
            <w:r>
              <w:rPr>
                <w:rFonts w:ascii="Arial" w:cs="Arial" w:hAnsi="Arial"/>
                <w:b/>
                <w:color w:val="2E75B6"/>
                <w:sz w:val="18"/>
              </w:rPr>
              <w:t>ID</w:t>
            </w:r>
          </w:p>
        </w:tc>
        <w:tc>
          <w:tcPr>
            <w:tcW w:type="dxa" w:w="3000"/>
          </w:tcPr>
          <w:p>
            <w:r>
              <w:rPr>
                <w:rFonts w:ascii="Arial" w:cs="Arial" w:hAnsi="Arial"/>
                <w:b/>
                <w:color w:val="2E75B6"/>
                <w:sz w:val="18"/>
              </w:rPr>
              <w:t>Fuente</w:t>
            </w:r>
          </w:p>
        </w:tc>
        <w:tc>
          <w:tcPr>
            <w:tcW w:type="dxa" w:w="2280"/>
          </w:tcPr>
          <w:p>
            <w:r>
              <w:rPr>
                <w:rFonts w:ascii="Arial" w:cs="Arial" w:hAnsi="Arial"/>
                <w:b/>
                <w:color w:val="2E75B6"/>
                <w:sz w:val="18"/>
              </w:rPr>
              <w:t>Tipo</w:t>
            </w:r>
          </w:p>
        </w:tc>
        <w:tc>
          <w:tcPr>
            <w:tcW w:type="dxa" w:w="3680"/>
          </w:tcPr>
          <w:p>
            <w:r>
              <w:rPr>
                <w:rFonts w:ascii="Arial" w:cs="Arial" w:hAnsi="Arial"/>
                <w:b/>
                <w:color w:val="2E75B6"/>
                <w:sz w:val="18"/>
              </w:rPr>
              <w:t>Hallazgo clave</w:t>
            </w:r>
          </w:p>
        </w:tc>
        <w:tc>
          <w:tcPr>
            <w:tcW w:type="dxa" w:w="3400"/>
          </w:tcPr>
          <w:p>
            <w:r>
              <w:rPr>
                <w:rFonts w:ascii="Arial" w:cs="Arial" w:hAnsi="Arial"/>
                <w:b/>
                <w:color w:val="2E75B6"/>
                <w:sz w:val="18"/>
              </w:rPr>
              <w:t>Relevancia para la tesis</w:t>
            </w:r>
          </w:p>
        </w:tc>
      </w:tr>
      <w:tr>
        <w:tc>
          <w:tcPr>
            <w:tcW w:type="dxa" w:w="1000"/>
          </w:tcPr>
          <w:p>
            <w:r>
              <w:rPr>
                <w:rFonts w:ascii="Arial" w:cs="Arial" w:hAnsi="Arial"/>
                <w:sz w:val="18"/>
              </w:rPr>
              <w:t>H-01</w:t>
            </w:r>
          </w:p>
        </w:tc>
        <w:tc>
          <w:tcPr>
            <w:tcW w:type="dxa" w:w="3000"/>
          </w:tcPr>
          <w:p>
            <w:r>
              <w:rPr>
                <w:rFonts w:ascii="Arial" w:cs="Arial" w:hAnsi="Arial"/>
                <w:sz w:val="18"/>
              </w:rPr>
              <w:t xml:space="preserve">Zhou, C., et al. (2026). Externalization in LLM-Based Agents: A Survey. arXiv:2604.08224. https://arxiv.org/abs/2604.08224</w:t>
            </w:r>
          </w:p>
        </w:tc>
        <w:tc>
          <w:tcPr>
            <w:tcW w:type="dxa" w:w="2280"/>
          </w:tcPr>
          <w:p>
            <w:r>
              <w:rPr>
                <w:rFonts w:ascii="Arial" w:cs="Arial" w:hAnsi="Arial"/>
                <w:sz w:val="18"/>
              </w:rPr>
              <w:t>Survey académico (preprint)</w:t>
            </w:r>
          </w:p>
        </w:tc>
        <w:tc>
          <w:tcPr>
            <w:tcW w:type="dxa" w:w="3680"/>
          </w:tcPr>
          <w:p>
            <w:r>
              <w:rPr>
                <w:rFonts w:ascii="Arial" w:cs="Arial" w:hAnsi="Arial"/>
                <w:sz w:val="18"/>
              </w:rPr>
              <w:t xml:space="preserve">Paradigma de externalización: memoria externaliza estado, skills externalizan conocimiento procedural, protocolos externalizan estructura de interacción, harness coordina todo. Progresión histórica: pesos → contexto → harness.</w:t>
            </w:r>
          </w:p>
        </w:tc>
        <w:tc>
          <w:tcPr>
            <w:tcW w:type="dxa" w:w="3400"/>
          </w:tcPr>
          <w:p>
            <w:r>
              <w:rPr>
                <w:rFonts w:ascii="Arial" w:cs="Arial" w:hAnsi="Arial"/>
                <w:i/>
                <w:color w:val="006666"/>
                <w:sz w:val="18"/>
              </w:rPr>
              <w:t xml:space="preserve">Marco unificador que posiciona la tesis en la era del harness engineering. Cita directamente MemGPT, MemoryBank y Mem0. Fundamenta el Bloque 8 de Bases Teóricas.</w:t>
            </w:r>
          </w:p>
        </w:tc>
      </w:tr>
    </w:tbl>
    <w:p>
      <w:pPr>
        <w:pStyle w:val="Heading2"/>
        <w:spacing w:after="120" w:before="240"/>
      </w:pPr>
      <w:r>
        <w:rPr>
          <w:rFonts w:ascii="Arial" w:cs="Arial" w:eastAsia="Arial" w:hAnsi="Arial"/>
          <w:b/>
          <w:bCs/>
          <w:color w:val="2E75B6"/>
          <w:sz w:val="24"/>
          <w:szCs w:val="24"/>
        </w:rPr>
        <w:t>Categoría I: Fuentes Institucionales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80"/>
        <w:gridCol w:w="3680"/>
        <w:gridCol w:w="3400"/>
      </w:tblGrid>
      <w:tr>
        <w:tc>
          <w:tcPr>
            <w:tcW w:type="dxa" w:w="1000"/>
          </w:tcPr>
          <w:p>
            <w:r>
              <w:rPr>
                <w:rFonts w:ascii="Arial" w:cs="Arial" w:hAnsi="Arial"/>
                <w:b/>
                <w:color w:val="2E75B6"/>
                <w:sz w:val="18"/>
              </w:rPr>
              <w:t>ID</w:t>
            </w:r>
          </w:p>
        </w:tc>
        <w:tc>
          <w:tcPr>
            <w:tcW w:type="dxa" w:w="3000"/>
          </w:tcPr>
          <w:p>
            <w:r>
              <w:rPr>
                <w:rFonts w:ascii="Arial" w:cs="Arial" w:hAnsi="Arial"/>
                <w:b/>
                <w:color w:val="2E75B6"/>
                <w:sz w:val="18"/>
              </w:rPr>
              <w:t>Fuente</w:t>
            </w:r>
          </w:p>
        </w:tc>
        <w:tc>
          <w:tcPr>
            <w:tcW w:type="dxa" w:w="2280"/>
          </w:tcPr>
          <w:p>
            <w:r>
              <w:rPr>
                <w:rFonts w:ascii="Arial" w:cs="Arial" w:hAnsi="Arial"/>
                <w:b/>
                <w:color w:val="2E75B6"/>
                <w:sz w:val="18"/>
              </w:rPr>
              <w:t>Tipo</w:t>
            </w:r>
          </w:p>
        </w:tc>
        <w:tc>
          <w:tcPr>
            <w:tcW w:type="dxa" w:w="3680"/>
          </w:tcPr>
          <w:p>
            <w:r>
              <w:rPr>
                <w:rFonts w:ascii="Arial" w:cs="Arial" w:hAnsi="Arial"/>
                <w:b/>
                <w:color w:val="2E75B6"/>
                <w:sz w:val="18"/>
              </w:rPr>
              <w:t>Hallazgo clave</w:t>
            </w:r>
          </w:p>
        </w:tc>
        <w:tc>
          <w:tcPr>
            <w:tcW w:type="dxa" w:w="3400"/>
          </w:tcPr>
          <w:p>
            <w:r>
              <w:rPr>
                <w:rFonts w:ascii="Arial" w:cs="Arial" w:hAnsi="Arial"/>
                <w:b/>
                <w:color w:val="2E75B6"/>
                <w:sz w:val="18"/>
              </w:rPr>
              <w:t>Relevancia para la tesis</w:t>
            </w:r>
          </w:p>
        </w:tc>
      </w:tr>
      <w:tr>
        <w:tc>
          <w:tcPr>
            <w:tcW w:type="dxa" w:w="1000"/>
          </w:tcPr>
          <w:p>
            <w:r>
              <w:rPr>
                <w:rFonts w:ascii="Arial" w:cs="Arial" w:hAnsi="Arial"/>
                <w:sz w:val="18"/>
              </w:rPr>
              <w:t>I-01</w:t>
            </w:r>
          </w:p>
        </w:tc>
        <w:tc>
          <w:tcPr>
            <w:tcW w:type="dxa" w:w="3000"/>
          </w:tcPr>
          <w:p>
            <w:r>
              <w:rPr>
                <w:rFonts w:ascii="Arial" w:cs="Arial" w:hAnsi="Arial"/>
                <w:sz w:val="18"/>
              </w:rPr>
              <w:t xml:space="preserve">Gartner. (2025, junio 25). Gartner predicts over 40 percent of agentic AI projects will be canceled by end of 2027 [Press release]. https://www.gartner.com/en/newsroom/press-releases/2025-06-25-gartner-predicts-over-40-percent-of-agentic-ai-projects-will-be-canceled-by-end-of-2027</w:t>
            </w:r>
          </w:p>
        </w:tc>
        <w:tc>
          <w:tcPr>
            <w:tcW w:type="dxa" w:w="2280"/>
          </w:tcPr>
          <w:p>
            <w:r>
              <w:rPr>
                <w:rFonts w:ascii="Arial" w:cs="Arial" w:hAnsi="Arial"/>
                <w:sz w:val="18"/>
              </w:rPr>
              <w:t>Press release institucional</w:t>
            </w:r>
          </w:p>
        </w:tc>
        <w:tc>
          <w:tcPr>
            <w:tcW w:type="dxa" w:w="3680"/>
          </w:tcPr>
          <w:p>
            <w:r>
              <w:rPr>
                <w:rFonts w:ascii="Arial" w:cs="Arial" w:hAnsi="Arial"/>
                <w:sz w:val="18"/>
              </w:rPr>
              <w:t xml:space="preserve">Más del 40% de proyectos de IA agéntica serán cancelados antes de 2027 por costos escalantes y complejidad técnica de despliegue. Solo ~130 de miles de vendors tienen capacidades agénticas genuinas.</w:t>
            </w:r>
          </w:p>
        </w:tc>
        <w:tc>
          <w:tcPr>
            <w:tcW w:type="dxa" w:w="3400"/>
          </w:tcPr>
          <w:p>
            <w:r>
              <w:rPr>
                <w:rFonts w:ascii="Arial" w:cs="Arial" w:hAnsi="Arial"/>
                <w:i/>
                <w:color w:val="006666"/>
                <w:sz w:val="18"/>
              </w:rPr>
              <w:t xml:space="preserve">Evidencia institucional de que los agentes en producción siguen siendo un problema no resuelto. Refuerza la justificación en Realidad Problemática. No citar como evidencia directa de context rot.</w:t>
            </w:r>
          </w:p>
        </w:tc>
      </w:tr>
    </w:tbl>
    <w:p>
      <w:pPr>
        <w:pStyle w:val="Heading2"/>
        <w:spacing w:after="120" w:before="240"/>
      </w:pPr>
      <w:r>
        <w:rPr>
          <w:rFonts w:ascii="Arial" w:cs="Arial" w:eastAsia="Arial" w:hAnsi="Arial"/>
          <w:b/>
          <w:bCs/>
          <w:color w:val="2E75B6"/>
          <w:sz w:val="24"/>
          <w:szCs w:val="24"/>
        </w:rPr>
        <w:t xml:space="preserve">Categoría G: Casos de Producción (Evidencia Industrial)</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280"/>
        <w:gridCol w:w="3680"/>
        <w:gridCol w:w="3400"/>
      </w:tblGrid>
      <w:tr>
        <w:tc>
          <w:tcPr>
            <w:tcW w:type="dxa" w:w="1000"/>
          </w:tcPr>
          <w:p>
            <w:r>
              <w:rPr>
                <w:rFonts w:ascii="Arial" w:cs="Arial" w:hAnsi="Arial"/>
                <w:b/>
                <w:color w:val="2E75B6"/>
                <w:sz w:val="18"/>
              </w:rPr>
              <w:t>ID</w:t>
            </w:r>
          </w:p>
        </w:tc>
        <w:tc>
          <w:tcPr>
            <w:tcW w:type="dxa" w:w="3000"/>
          </w:tcPr>
          <w:p>
            <w:r>
              <w:rPr>
                <w:rFonts w:ascii="Arial" w:cs="Arial" w:hAnsi="Arial"/>
                <w:b/>
                <w:color w:val="2E75B6"/>
                <w:sz w:val="18"/>
              </w:rPr>
              <w:t>Fuente</w:t>
            </w:r>
          </w:p>
        </w:tc>
        <w:tc>
          <w:tcPr>
            <w:tcW w:type="dxa" w:w="2280"/>
          </w:tcPr>
          <w:p>
            <w:r>
              <w:rPr>
                <w:rFonts w:ascii="Arial" w:cs="Arial" w:hAnsi="Arial"/>
                <w:b/>
                <w:color w:val="2E75B6"/>
                <w:sz w:val="18"/>
              </w:rPr>
              <w:t>Tipo</w:t>
            </w:r>
          </w:p>
        </w:tc>
        <w:tc>
          <w:tcPr>
            <w:tcW w:type="dxa" w:w="3680"/>
          </w:tcPr>
          <w:p>
            <w:r>
              <w:rPr>
                <w:rFonts w:ascii="Arial" w:cs="Arial" w:hAnsi="Arial"/>
                <w:b/>
                <w:color w:val="2E75B6"/>
                <w:sz w:val="18"/>
              </w:rPr>
              <w:t>Hallazgo clave</w:t>
            </w:r>
          </w:p>
        </w:tc>
        <w:tc>
          <w:tcPr>
            <w:tcW w:type="dxa" w:w="3400"/>
          </w:tcPr>
          <w:p>
            <w:r>
              <w:rPr>
                <w:rFonts w:ascii="Arial" w:cs="Arial" w:hAnsi="Arial"/>
                <w:b/>
                <w:color w:val="2E75B6"/>
                <w:sz w:val="18"/>
              </w:rPr>
              <w:t>Relevancia para la tesis</w:t>
            </w:r>
          </w:p>
        </w:tc>
      </w:tr>
      <w:tr>
        <w:tc>
          <w:tcPr>
            <w:tcW w:type="dxa" w:w="1000"/>
          </w:tcPr>
          <w:p>
            <w:r>
              <w:rPr>
                <w:rFonts w:ascii="Arial" w:cs="Arial" w:hAnsi="Arial"/>
                <w:sz w:val="18"/>
              </w:rPr>
              <w:t>G-01</w:t>
            </w:r>
          </w:p>
        </w:tc>
        <w:tc>
          <w:tcPr>
            <w:tcW w:type="dxa" w:w="3000"/>
          </w:tcPr>
          <w:p>
            <w:r>
              <w:rPr>
                <w:rFonts w:ascii="Arial" w:cs="Arial" w:hAnsi="Arial"/>
                <w:sz w:val="18"/>
              </w:rPr>
              <w:t xml:space="preserve">Vercel. (2025, diciembre). We removed 80% of our agent’s tools. Vercel Engineering Blog. https://vercel.com/blog/we-removed-80-percent-of-our-agents-tools</w:t>
            </w:r>
          </w:p>
        </w:tc>
        <w:tc>
          <w:tcPr>
            <w:tcW w:type="dxa" w:w="2280"/>
          </w:tcPr>
          <w:p>
            <w:r>
              <w:rPr>
                <w:rFonts w:ascii="Arial" w:cs="Arial" w:hAnsi="Arial"/>
                <w:sz w:val="18"/>
              </w:rPr>
              <w:t>Caso de producción (blog técnico)</w:t>
            </w:r>
          </w:p>
        </w:tc>
        <w:tc>
          <w:tcPr>
            <w:tcW w:type="dxa" w:w="3680"/>
          </w:tcPr>
          <w:p>
            <w:r>
              <w:rPr>
                <w:rFonts w:ascii="Arial" w:cs="Arial" w:hAnsi="Arial"/>
                <w:sz w:val="18"/>
              </w:rPr>
              <w:t xml:space="preserve">Agente d0 (text-to-SQL): reducción de 17–18 herramientas a conjunto mínimo. Tasa de éxito: 80%→100%. Tokens: −37%. Velocidad: 3.5×. Pasos: −42%.</w:t>
            </w:r>
          </w:p>
        </w:tc>
        <w:tc>
          <w:tcPr>
            <w:tcW w:type="dxa" w:w="3400"/>
          </w:tcPr>
          <w:p>
            <w:r>
              <w:rPr>
                <w:rFonts w:ascii="Arial" w:cs="Arial" w:hAnsi="Arial"/>
                <w:i/>
                <w:color w:val="006666"/>
                <w:sz w:val="18"/>
              </w:rPr>
              <w:t xml:space="preserve">Evidencia industrial del tool overload. Valida la dirección del efecto esperado en HE3. Contrasta enfoque estático (Vercel) vs. dinámico (RAG-MCP) estudiado en la tesis.</w:t>
            </w:r>
          </w:p>
        </w:tc>
      </w:tr>
    </w:tbl>
    <w:p>
      <w:pPr>
        <w:spacing w:after="60" w:before="60"/>
      </w:pPr>
      <w:r>
        <w:t xml:space="preserve"/>
      </w:r>
    </w:p>
    <w:p>
      <w:r>
        <w:br w:type="page"/>
      </w:r>
    </w:p>
    <w:p>
      <w:pPr>
        <w:pStyle w:val="Heading2"/>
        <w:spacing w:after="120" w:before="240"/>
      </w:pPr>
      <w:r>
        <w:rPr>
          <w:rFonts w:ascii="Arial" w:cs="Arial" w:eastAsia="Arial" w:hAnsi="Arial"/>
          <w:b/>
          <w:bCs/>
          <w:color w:val="2E75B6"/>
          <w:sz w:val="24"/>
          <w:szCs w:val="24"/>
        </w:rPr>
        <w:t xml:space="preserve">Categoría F: Herramientas de Evaluación y Observabilidad</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555555"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F01</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555555"/>
                <w:sz w:val="20"/>
                <w:szCs w:val="20"/>
              </w:rPr>
              <w:t xml:space="preserve">Ragas: Automated Evaluation of Retrieval Augmented Generation</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Paper + Framework OSS</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2023–2025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Cardiff University / Explodinggradients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Shahul Es, Jithin James, Luis Espinosa Anke, Steven Schockaert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8bozt84g-lbtoaknwhski">
              <w:r>
                <w:rPr>
                  <w:rFonts w:ascii="Arial" w:cs="Arial" w:eastAsia="Arial" w:hAnsi="Arial"/>
                  <w:color w:val="2E75B6"/>
                  <w:sz w:val="16"/>
                  <w:szCs w:val="16"/>
                  <w:u w:val="single"/>
                </w:rPr>
                <w:t xml:space="preserve">https://arxiv.org/abs/2309.15217</w:t>
              </w:r>
            </w:hyperlink>
            <w:r>
              <w:rPr>
                <w:rFonts w:ascii="Arial" w:cs="Arial" w:eastAsia="Arial" w:hAnsi="Arial"/>
                <w:color w:val="555555"/>
                <w:sz w:val="16"/>
                <w:szCs w:val="16"/>
              </w:rPr>
              <w:t xml:space="preserve">  |  GitHub: </w:t>
            </w:r>
            <w:hyperlink w:history="1" r:id="rIdiaymd7h8ybqw4o2cgjstp">
              <w:r>
                <w:rPr>
                  <w:rFonts w:ascii="Arial" w:cs="Arial" w:eastAsia="Arial" w:hAnsi="Arial"/>
                  <w:color w:val="006666"/>
                  <w:sz w:val="16"/>
                  <w:szCs w:val="16"/>
                  <w:u w:val="single"/>
                </w:rPr>
                <w:t xml:space="preserve">https://github.com/explodinggradients/ragas</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Framework de evaluación automatizada para sistemas RAG y agentes. Provee métricas de: context precision, context recall, faithfulness, answer relevancy, noise sensitivity, y métricas para agentes (tool call accuracy, step correctness). Soporta evaluación offline con datasets y online con trazas reales.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La evaluación automática de RAG con jueces LLM es comparable a la evaluación humana en varias métricas. La separación entre métricas de recuperación (precision/recall de contexto) y generación (faithfulness/relevancy) permite identificar dónde está el cuello de botella. Framework de referencia para la fase de evaluación experimental.</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555555"/>
                <w:sz w:val="18"/>
                <w:szCs w:val="18"/>
              </w:rPr>
              <w:t xml:space="preserve">Suite de evaluación principal para las métricas de retrieval y generación en los experimentos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555555"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F02</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555555"/>
                <w:sz w:val="20"/>
                <w:szCs w:val="20"/>
              </w:rPr>
              <w:t xml:space="preserve">LangSmith – LLM Application Evaluation and Observability</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Plataforma / Documentación técnica</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2023–2025 (plataforma activa)</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LangChain Inc.</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Autores</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1A1A1A"/>
                <w:sz w:val="18"/>
                <w:szCs w:val="18"/>
              </w:rPr>
              <w:t xml:space="preserve">LangChain Team</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URL / DOI</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hyperlink w:history="1" r:id="rId90fkjov0cb9ldoostlb1i">
              <w:r>
                <w:rPr>
                  <w:rFonts w:ascii="Arial" w:cs="Arial" w:eastAsia="Arial" w:hAnsi="Arial"/>
                  <w:color w:val="2E75B6"/>
                  <w:sz w:val="16"/>
                  <w:szCs w:val="16"/>
                  <w:u w:val="single"/>
                </w:rPr>
                <w:t xml:space="preserve">https://docs.smith.langchain.com/</w:t>
              </w:r>
            </w:hyperlink>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Plataforma de observabilidad y evaluación para aplicaciones LLM y agentes. Soporta evaluación offline con datasets de regresión, evaluación online con muestreo de trazas reales, comparación A/B entre variantes del sistema, y jueces LLM configurables.</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color w:val="1A1A1A"/>
                <w:sz w:val="18"/>
                <w:szCs w:val="18"/>
              </w:rPr>
              <w:t xml:space="preserve">La distinción entre evaluación offline (datasets curados) y online (trazas en producción) es fundamental para un ciclo de mejora continuo. Las trazas permiten identificar fallos en el routing de servidores, selección de tools y degradación por versión de sistema. Integración nativa con LangGraph.</w:t>
            </w:r>
          </w:p>
        </w:tc>
      </w:tr>
      <w:tr>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Relevancia</w:t>
            </w:r>
          </w:p>
        </w:tc>
        <w:tc>
          <w:tcPr>
            <w:tcW w:type="dxa" w:w="12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jc w:val="both"/>
            </w:pPr>
            <w:r>
              <w:rPr>
                <w:rFonts w:ascii="Arial" w:cs="Arial" w:eastAsia="Arial" w:hAnsi="Arial"/>
                <w:i/>
                <w:iCs/>
                <w:color w:val="555555"/>
                <w:sz w:val="18"/>
                <w:szCs w:val="18"/>
              </w:rPr>
              <w:t xml:space="preserve">Herramienta de observabilidad para el circuito de evaluación continua en los experimentos de la tesis.</w:t>
            </w:r>
          </w:p>
        </w:tc>
      </w:tr>
    </w:tbl>
    <w:p>
      <w:pPr>
        <w:spacing w:after="60" w:before="60"/>
      </w:pPr>
      <w:r>
        <w:t xml:space="preserve"/>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1000"/>
        <w:gridCol w:w="5180"/>
        <w:gridCol w:w="2280"/>
        <w:gridCol w:w="1500"/>
        <w:gridCol w:w="3400"/>
      </w:tblGrid>
      <w:tr>
        <w:tc>
          <w:tcPr>
            <w:tcW w:type="dxa" w:w="1000"/>
            <w:tcBorders>
              <w:top w:val="single" w:color="CCCCCC" w:sz="1"/>
              <w:left w:val="single" w:color="CCCCCC" w:sz="1"/>
              <w:bottom w:val="single" w:color="CCCCCC" w:sz="1"/>
              <w:right w:val="single" w:color="CCCCCC" w:sz="1"/>
            </w:tcBorders>
            <w:shd w:fill="555555"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F03</w:t>
            </w:r>
          </w:p>
        </w:tc>
        <w:tc>
          <w:tcPr>
            <w:tcW w:type="dxa" w:w="51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555555"/>
                <w:sz w:val="20"/>
                <w:szCs w:val="20"/>
              </w:rPr>
              <w:t xml:space="preserve">DeepEval – LLM Evaluation Framework with Hallucination Metrics</w:t>
            </w:r>
          </w:p>
        </w:tc>
        <w:tc>
          <w:tcPr>
            <w:tcW w:type="dxa" w:w="2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555555"/>
                <w:sz w:val="18"/>
                <w:szCs w:val="18"/>
              </w:rPr>
              <w:t xml:space="preserve">Framework OSS / Documentación</w:t>
            </w:r>
          </w:p>
        </w:tc>
        <w:tc>
          <w:tcPr>
            <w:tcW w:type="dxa" w:w="1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1A1A1A"/>
                <w:sz w:val="18"/>
                <w:szCs w:val="18"/>
              </w:rPr>
              <w:t xml:space="preserve">2023–2025</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1A1A1A"/>
                <w:sz w:val="18"/>
                <w:szCs w:val="18"/>
              </w:rPr>
              <w:t xml:space="preserve">Confident AI</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Autores</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1A1A1A"/>
                <w:sz w:val="18"/>
                <w:szCs w:val="18"/>
              </w:rPr>
              <w:t xml:space="preserve">Confident AI Team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URL / DOI</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hyperlink w:history="1" r:id="rIdmdl-rsog6knuaitg9fion">
              <w:r>
                <w:rPr>
                  <w:rFonts w:ascii="Arial" w:cs="Arial" w:eastAsia="Arial" w:hAnsi="Arial"/>
                  <w:color w:val="2E75B6"/>
                  <w:sz w:val="16"/>
                  <w:szCs w:val="16"/>
                  <w:u w:val="single"/>
                </w:rPr>
                <w:t xml:space="preserve">https://docs.confident-ai.com/</w:t>
              </w:r>
            </w:hyperlink>
            <w:r>
              <w:rPr>
                <w:rFonts w:ascii="Arial" w:cs="Arial" w:eastAsia="Arial" w:hAnsi="Arial"/>
                <w:color w:val="555555"/>
                <w:sz w:val="16"/>
                <w:szCs w:val="16"/>
              </w:rPr>
              <w:t xml:space="preserve">  |  GitHub: </w:t>
            </w:r>
            <w:hyperlink w:history="1" r:id="rIdy1i8y-fkwy312r3dgstv2">
              <w:r>
                <w:rPr>
                  <w:rFonts w:ascii="Arial" w:cs="Arial" w:eastAsia="Arial" w:hAnsi="Arial"/>
                  <w:color w:val="006666"/>
                  <w:sz w:val="16"/>
                  <w:szCs w:val="16"/>
                  <w:u w:val="single"/>
                </w:rPr>
                <w:t xml:space="preserve">https://github.com/confident-ai/deepeval</w:t>
              </w:r>
            </w:hyperlink>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Descripción</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Framework de evaluación de LLMs con métricas especializadas en alucin ación, correctness, groundedness, y evaluación de agentes. Soporta integración con CI/CD para pruebas de regresión automáticas en cada release.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Conclusiones clave</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color w:val="1A1A1A"/>
                <w:sz w:val="18"/>
                <w:szCs w:val="18"/>
              </w:rPr>
              <w:t xml:space="preserve">Las métricas de hallucination rate y groundedness son complementarias a las métricas de retrieval de Ragas. La integración con CI/CD permite detectar degradación de respuestas causada por cambios en el sistema o incorporación de nuevos servers MCP. Herramienta complementaria para la fase de evaluación.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555555"/>
                <w:sz w:val="18"/>
                <w:szCs w:val="18"/>
              </w:rPr>
              <w:t xml:space="preserve">Relevancia</w:t>
            </w:r>
          </w:p>
        </w:tc>
        <w:tc>
          <w:tcPr>
            <w:tcW w:type="dxa" w:w="1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both"/>
            </w:pPr>
            <w:r>
              <w:rPr>
                <w:rFonts w:ascii="Arial" w:cs="Arial" w:eastAsia="Arial" w:hAnsi="Arial"/>
                <w:i/>
                <w:iCs/>
                <w:color w:val="555555"/>
                <w:sz w:val="18"/>
                <w:szCs w:val="18"/>
              </w:rPr>
              <w:t xml:space="preserve">Métrica de alucin ación y grounding para validar las respuestas del agente en los experimentos de la tesis.</w:t>
            </w:r>
          </w:p>
        </w:tc>
      </w:tr>
    </w:tbl>
    <w:p>
      <w:pPr>
        <w:spacing w:after="60" w:before="60"/>
      </w:pPr>
      <w:r>
        <w:t xml:space="preserve"/>
      </w:r>
    </w:p>
    <w:p>
      <w:pPr>
        <w:spacing w:after="120" w:before="120"/>
      </w:pPr>
      <w:r>
        <w:t xml:space="preserve"/>
      </w:r>
    </w:p>
    <w:p>
      <w:r>
        <w:br w:type="page"/>
      </w:r>
    </w:p>
    <w:p>
      <w:pPr>
        <w:pStyle w:val="Heading1"/>
        <w:spacing w:after="160" w:before="320"/>
      </w:pPr>
      <w:r>
        <w:rPr>
          <w:rFonts w:ascii="Arial" w:cs="Arial" w:eastAsia="Arial" w:hAnsi="Arial"/>
          <w:b/>
          <w:bCs/>
          <w:color w:val="1F3864"/>
          <w:sz w:val="28"/>
          <w:szCs w:val="28"/>
        </w:rPr>
        <w:t xml:space="preserve">4. Notas metodológicas</w:t>
      </w:r>
    </w:p>
    <w:p>
      <w:pPr>
        <w:spacing w:after="80" w:before="80"/>
        <w:jc w:val="both"/>
      </w:pPr>
      <w:r>
        <w:rPr>
          <w:rFonts w:ascii="Arial" w:cs="Arial" w:eastAsia="Arial" w:hAnsi="Arial"/>
          <w:color w:val="1A1A1A"/>
          <w:sz w:val="20"/>
          <w:szCs w:val="20"/>
        </w:rPr>
        <w:t xml:space="preserve">4.1  Criterios de inclusión: se incluyen fuentes que abordan al menos uno de los tres ejes temáticos de la tesis: (a) técnicas de memoria en LLMs, (b) gestión de degradación de contexto (context rot), o (c) arquitecturas de agentes con herramientas y MCP.</w:t>
      </w:r>
    </w:p>
    <w:p>
      <w:pPr>
        <w:spacing w:after="60" w:before="60"/>
      </w:pPr>
      <w:r>
        <w:t xml:space="preserve"/>
      </w:r>
    </w:p>
    <w:p>
      <w:pPr>
        <w:spacing w:after="80" w:before="80"/>
        <w:jc w:val="both"/>
      </w:pPr>
      <w:r>
        <w:rPr>
          <w:rFonts w:ascii="Arial" w:cs="Arial" w:eastAsia="Arial" w:hAnsi="Arial"/>
          <w:color w:val="1A1A1A"/>
          <w:sz w:val="20"/>
          <w:szCs w:val="20"/>
        </w:rPr>
        <w:t xml:space="preserve">4.2  Priorización: se priorizan fuentes primarias (papers con arXiv o publicados en conferencias top: NeurIPS, ICLR, ACL, AAAI) sobre divulgación secundaria. La evidencia de rendimiento de frameworks de proveedores (Mem0, Letta, OpenAI) se contrasta con benchmarks abiertos cuando están disponibles.</w:t>
      </w:r>
    </w:p>
    <w:p>
      <w:pPr>
        <w:spacing w:after="60" w:before="60"/>
      </w:pPr>
      <w:r>
        <w:t xml:space="preserve"/>
      </w:r>
    </w:p>
    <w:p>
      <w:pPr>
        <w:spacing w:after="80" w:before="80"/>
        <w:jc w:val="both"/>
      </w:pPr>
      <w:r>
        <w:rPr>
          <w:rFonts w:ascii="Arial" w:cs="Arial" w:eastAsia="Arial" w:hAnsi="Arial"/>
          <w:color w:val="1A1A1A"/>
          <w:sz w:val="20"/>
          <w:szCs w:val="20"/>
        </w:rPr>
        <w:t xml:space="preserve">4.3  Idioma: la mayoría de las fuentes relevantes sobre MCP, guardrails y memory layers está disponible en inglés. No se encontró un cuerpo equivalente de papers primarios en español específicamente sobre este subproblema al momento de la revisión (abril 2026).</w:t>
      </w:r>
    </w:p>
    <w:p>
      <w:pPr>
        <w:spacing w:after="60" w:before="60"/>
      </w:pPr>
      <w:r>
        <w:t xml:space="preserve"/>
      </w:r>
    </w:p>
    <w:p>
      <w:pPr>
        <w:spacing w:after="80" w:before="80"/>
        <w:jc w:val="both"/>
      </w:pPr>
      <w:r>
        <w:rPr>
          <w:rFonts w:ascii="Arial" w:cs="Arial" w:eastAsia="Arial" w:hAnsi="Arial"/>
          <w:color w:val="1A1A1A"/>
          <w:sz w:val="20"/>
          <w:szCs w:val="20"/>
        </w:rPr>
        <w:t xml:space="preserve">4.4  Actualización: este catálogo debe actualizarse antes de la defensa de la tesis para incluir publicaciones nuevas, especialmente en el área de benchmarks de memoria (el campo avanza rápidamente: LongMemEval, LoCoMo y ToolHaystack son de 2024-2025).</w:t>
      </w:r>
    </w:p>
    <w:sectPr>
      <w:headerReference w:type="default" r:id="rId7"/>
      <w:footerReference w:type="default" r:id="rId8"/>
      <w:pgSz w:w="12240" w:h="15840" w:orient="landscape"/>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60"/>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60"/>
    </w:pPr>
    <w:r>
      <w:rPr>
        <w:rFonts w:ascii="Arial" w:cs="Arial" w:eastAsia="Arial" w:hAnsi="Arial"/>
        <w:b/>
        <w:bCs/>
        <w:color w:val="1F3864"/>
        <w:sz w:val="18"/>
        <w:szCs w:val="18"/>
      </w:rPr>
      <w:t xml:space="preserve">TESIS  |  DOC-02: Catálogo de Fuentes</w:t>
    </w:r>
    <w:r>
      <w:rPr>
        <w:rFonts w:ascii="Arial" w:cs="Arial" w:eastAsia="Arial" w:hAnsi="Arial"/>
        <w:color w:val="555555"/>
        <w:sz w:val="18"/>
        <w:szCs w:val="18"/>
      </w:rPr>
      <w:t xml:space="preserve">  —  Edinson Núñez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6666"/>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phdx-pjz2qb2upkpxrjex" Type="http://schemas.openxmlformats.org/officeDocument/2006/relationships/hyperlink" Target="https://arxiv.org/abs/2210.03629" TargetMode="External"/>
  <Relationship Id="rIdldnxich6tgvweg-mufzb9" Type="http://schemas.openxmlformats.org/officeDocument/2006/relationships/hyperlink" Target="https://github.com/ysymyth/ReAct" TargetMode="External"/>
  <Relationship Id="rIdydcx8fmgir2cwnv2jb2z0" Type="http://schemas.openxmlformats.org/officeDocument/2006/relationships/hyperlink" Target="https://arxiv.org/abs/2302.04761" TargetMode="External"/>
  <Relationship Id="rIdav70vcfewjlzkkt-vzh5w" Type="http://schemas.openxmlformats.org/officeDocument/2006/relationships/hyperlink" Target="https://arxiv.org/abs/2310.08560" TargetMode="External"/>
  <Relationship Id="rIdlvc45vdzlzttloyg3ra3x" Type="http://schemas.openxmlformats.org/officeDocument/2006/relationships/hyperlink" Target="https://github.com/cpacker/MemGPT" TargetMode="External"/>
  <Relationship Id="rId4jiho2k_8eiif81-luriv" Type="http://schemas.openxmlformats.org/officeDocument/2006/relationships/hyperlink" Target="https://arxiv.org/abs/2305.10250" TargetMode="External"/>
  <Relationship Id="rIdvnobongtnisnnfwtlc2t1" Type="http://schemas.openxmlformats.org/officeDocument/2006/relationships/hyperlink" Target="https://github.com/zhongwanjun/MemoryBank-SiliconFriend" TargetMode="External"/>
  <Relationship Id="rIdfqe3wr5kbu-51v3s-srtj" Type="http://schemas.openxmlformats.org/officeDocument/2006/relationships/hyperlink" Target="https://arxiv.org/abs/2504.19413" TargetMode="External"/>
  <Relationship Id="rIdj_vborauan51erhtvor1f" Type="http://schemas.openxmlformats.org/officeDocument/2006/relationships/hyperlink" Target="https://github.com/mem0ai/mem0" TargetMode="External"/>
  <Relationship Id="rIdcwfob83rfp36sdd5-elze" Type="http://schemas.openxmlformats.org/officeDocument/2006/relationships/hyperlink" Target="https://arxiv.org/abs/2501.09645" TargetMode="External"/>
  <Relationship Id="rId6q5u0pqppbx3ncpectwqc" Type="http://schemas.openxmlformats.org/officeDocument/2006/relationships/hyperlink" Target="https://github.com/johanneskirmayr/CarMem" TargetMode="External"/>
  <Relationship Id="rIdllneedf5_b9yhmtgbwysm" Type="http://schemas.openxmlformats.org/officeDocument/2006/relationships/hyperlink" Target="https://arxiv.org/abs/2310.11511" TargetMode="External"/>
  <Relationship Id="rId9qj6vio0ygdnrbosizqfn" Type="http://schemas.openxmlformats.org/officeDocument/2006/relationships/hyperlink" Target="https://github.com/AkariAsai/self-rag" TargetMode="External"/>
  <Relationship Id="rId4lamregzowk4qi4j0iizn" Type="http://schemas.openxmlformats.org/officeDocument/2006/relationships/hyperlink" Target="https://arxiv.org/abs/2505.03275" TargetMode="External"/>
  <Relationship Id="rIdgnb3aluvfc-uubh76uu1w" Type="http://schemas.openxmlformats.org/officeDocument/2006/relationships/hyperlink" Target="https://github.com/memoverflow/rag-mcp" TargetMode="External"/>
  <Relationship Id="rIdfhu6mjeskrv1pccs9iqxt" Type="http://schemas.openxmlformats.org/officeDocument/2006/relationships/hyperlink" Target="https://arxiv.org/abs/2404.16130" TargetMode="External"/>
  <Relationship Id="rIdyuc-oecf_gmx4nny2babw" Type="http://schemas.openxmlformats.org/officeDocument/2006/relationships/hyperlink" Target="https://github.com/microsoft/graphrag" TargetMode="External"/>
  <Relationship Id="rIdjtztypik4xffwqswp6ov3" Type="http://schemas.openxmlformats.org/officeDocument/2006/relationships/hyperlink" Target="https://flower.ai/docs/examples/fedrag.html" TargetMode="External"/>
  <Relationship Id="rIdwwijfxsthkvvt6m1jmrp0" Type="http://schemas.openxmlformats.org/officeDocument/2006/relationships/hyperlink" Target="https://github.com/adap/flower" TargetMode="External"/>
  <Relationship Id="rIddq-_b3l66cv775-h7g4s3" Type="http://schemas.openxmlformats.org/officeDocument/2006/relationships/hyperlink" Target="https://arxiv.org/abs/2406.20015" TargetMode="External"/>
  <Relationship Id="rId7tu7oqqajd89cvonmoj7g" Type="http://schemas.openxmlformats.org/officeDocument/2006/relationships/hyperlink" Target="https://arxiv.org/html/2505.23662v1" TargetMode="External"/>
  <Relationship Id="rIdsje12byqdwphft1vcthnx" Type="http://schemas.openxmlformats.org/officeDocument/2006/relationships/hyperlink" Target="https://arxiv.org/abs/2510.22977" TargetMode="External"/>
  <Relationship Id="rIdnjcwxetmcd1zokkzyqbvz" Type="http://schemas.openxmlformats.org/officeDocument/2006/relationships/hyperlink" Target="https://arxiv.org/abs/2410.10813" TargetMode="External"/>
  <Relationship Id="rIdteee2mtng07jwmvgjv047" Type="http://schemas.openxmlformats.org/officeDocument/2006/relationships/hyperlink" Target="https://github.com/xiaowu0162/LongMemEval" TargetMode="External"/>
  <Relationship Id="rIdufu0ohxxoffsgx1kftn7c" Type="http://schemas.openxmlformats.org/officeDocument/2006/relationships/hyperlink" Target="https://arxiv.org/abs/2402.17753" TargetMode="External"/>
  <Relationship Id="rIdhhfunp6lci4mljqrljplv" Type="http://schemas.openxmlformats.org/officeDocument/2006/relationships/hyperlink" Target="https://github.com/snap-research/locomo" TargetMode="External"/>
  <Relationship Id="rId_whpfodmxi9l3sjrchvqc" Type="http://schemas.openxmlformats.org/officeDocument/2006/relationships/hyperlink" Target="https://modelcontextprotocol.io/specification/2025-11-25" TargetMode="External"/>
  <Relationship Id="rIdpp0h8ycynbl0rccwxonvy" Type="http://schemas.openxmlformats.org/officeDocument/2006/relationships/hyperlink" Target="https://github.com/modelcontextprotocol/modelcontextprotocol" TargetMode="External"/>
  <Relationship Id="rIdrlnel1jkswrrkdztei0mt" Type="http://schemas.openxmlformats.org/officeDocument/2006/relationships/hyperlink" Target="https://langchain-ai.github.io/langgraph/" TargetMode="External"/>
  <Relationship Id="rIdu1rvmx3qolaiss9wgghzz" Type="http://schemas.openxmlformats.org/officeDocument/2006/relationships/hyperlink" Target="https://github.com/langchain-ai/langgraph" TargetMode="External"/>
  <Relationship Id="rIdue_91kg1lf_mp2d1ed-cn" Type="http://schemas.openxmlformats.org/officeDocument/2006/relationships/hyperlink" Target="https://openai.github.io/openai-agents-python/" TargetMode="External"/>
  <Relationship Id="rIdunbhvjgnbd7na1dbqfmow" Type="http://schemas.openxmlformats.org/officeDocument/2006/relationships/hyperlink" Target="https://github.com/openai/openai-agents-python" TargetMode="External"/>
  <Relationship Id="rIde_uqhajx45x8gzsc7gq1a" Type="http://schemas.openxmlformats.org/officeDocument/2006/relationships/hyperlink" Target="https://docs.llamaindex.ai/" TargetMode="External"/>
  <Relationship Id="rIderkqrn4_hagtiaw_q8qcq" Type="http://schemas.openxmlformats.org/officeDocument/2006/relationships/hyperlink" Target="https://github.com/run-llama/llama_index" TargetMode="External"/>
  <Relationship Id="rIdiwzuedhekn27e3dbsyoua" Type="http://schemas.openxmlformats.org/officeDocument/2006/relationships/hyperlink" Target="https://docs.letta.com/" TargetMode="External"/>
  <Relationship Id="rIdkvgzokqgm_5aiycrso28a" Type="http://schemas.openxmlformats.org/officeDocument/2006/relationships/hyperlink" Target="https://github.com/letta-ai/letta" TargetMode="External"/>
  <Relationship Id="rId8bozt84g-lbtoaknwhski" Type="http://schemas.openxmlformats.org/officeDocument/2006/relationships/hyperlink" Target="https://arxiv.org/abs/2309.15217" TargetMode="External"/>
  <Relationship Id="rIdiaymd7h8ybqw4o2cgjstp" Type="http://schemas.openxmlformats.org/officeDocument/2006/relationships/hyperlink" Target="https://github.com/explodinggradients/ragas" TargetMode="External"/>
  <Relationship Id="rId90fkjov0cb9ldoostlb1i" Type="http://schemas.openxmlformats.org/officeDocument/2006/relationships/hyperlink" Target="https://docs.smith.langchain.com/" TargetMode="External"/>
  <Relationship Id="rIdmdl-rsog6knuaitg9fion" Type="http://schemas.openxmlformats.org/officeDocument/2006/relationships/hyperlink" Target="https://docs.confident-ai.com/" TargetMode="External"/>
  <Relationship Id="rIdy1i8y-fkwy312r3dgstv2" Type="http://schemas.openxmlformats.org/officeDocument/2006/relationships/hyperlink" Target="https://github.com/confident-ai/deepeval" TargetMode="External"/>
  <Relationship Id="rId50"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2026-04-25T23:04:07.458Z</dcterms:created>
  <dcterms:modified xsi:type="dcterms:W3CDTF">2026-04-25T23:04:07.459Z</dcterms:modified>
</cp:coreProperties>
</file>

<file path=docProps/custom.xml><?xml version="1.0" encoding="utf-8"?>
<Properties xmlns="http://schemas.openxmlformats.org/officeDocument/2006/custom-properties" xmlns:vt="http://schemas.openxmlformats.org/officeDocument/2006/docPropsVTypes"/>
</file>